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35C510" w14:textId="77777777" w:rsidR="00A41391" w:rsidRPr="00A41391" w:rsidRDefault="00A41391" w:rsidP="00A41391">
      <w:pPr>
        <w:spacing w:after="0" w:line="240" w:lineRule="auto"/>
        <w:contextualSpacing/>
        <w:rPr>
          <w:rFonts w:ascii="Calibri" w:eastAsia="MS Gothic" w:hAnsi="Calibri" w:cs="Times New Roman"/>
          <w:color w:val="C00000"/>
          <w:spacing w:val="-10"/>
          <w:kern w:val="28"/>
          <w:sz w:val="56"/>
          <w:szCs w:val="56"/>
          <w:lang w:val="en-US"/>
        </w:rPr>
      </w:pPr>
      <w:bookmarkStart w:id="0" w:name="_Hlk24529534"/>
      <w:bookmarkEnd w:id="0"/>
      <w:r w:rsidRPr="00A41391">
        <w:rPr>
          <w:rFonts w:ascii="Calibri" w:eastAsia="MS Gothic" w:hAnsi="Calibri" w:cs="Times New Roman"/>
          <w:color w:val="C00000"/>
          <w:spacing w:val="-10"/>
          <w:kern w:val="28"/>
          <w:sz w:val="56"/>
          <w:szCs w:val="56"/>
          <w:lang w:val="en-US"/>
        </w:rPr>
        <w:t>Consultation Summary</w:t>
      </w:r>
    </w:p>
    <w:p w14:paraId="2BE67EBE" w14:textId="6A68E8A5" w:rsidR="0093551C" w:rsidRDefault="00A41391" w:rsidP="00A41391">
      <w:pPr>
        <w:spacing w:after="0" w:line="240" w:lineRule="auto"/>
        <w:contextualSpacing/>
        <w:rPr>
          <w:rFonts w:ascii="Calibri" w:eastAsia="MS Gothic" w:hAnsi="Calibri" w:cs="Times New Roman"/>
          <w:color w:val="C00000"/>
          <w:spacing w:val="-10"/>
          <w:kern w:val="28"/>
          <w:sz w:val="56"/>
          <w:szCs w:val="56"/>
          <w:lang w:val="en-US"/>
        </w:rPr>
      </w:pPr>
      <w:r w:rsidRPr="00A41391">
        <w:rPr>
          <w:rFonts w:ascii="Calibri" w:eastAsia="MS Gothic" w:hAnsi="Calibri" w:cs="Times New Roman"/>
          <w:color w:val="C00000"/>
          <w:spacing w:val="-10"/>
          <w:kern w:val="28"/>
          <w:sz w:val="56"/>
          <w:szCs w:val="56"/>
          <w:lang w:val="en-US"/>
        </w:rPr>
        <w:t>A compendium to the National Strategic Action Plan for Kidney Disease</w:t>
      </w:r>
    </w:p>
    <w:p w14:paraId="55B1E781" w14:textId="77777777" w:rsidR="00F57BAB" w:rsidRPr="00FA2937" w:rsidRDefault="00F57BAB" w:rsidP="00A41391">
      <w:pPr>
        <w:spacing w:after="0" w:line="240" w:lineRule="auto"/>
        <w:contextualSpacing/>
        <w:rPr>
          <w:rFonts w:ascii="Calibri" w:eastAsia="MS Gothic" w:hAnsi="Calibri" w:cs="Times New Roman"/>
          <w:color w:val="C00000"/>
          <w:spacing w:val="-10"/>
          <w:kern w:val="28"/>
          <w:sz w:val="56"/>
          <w:szCs w:val="56"/>
          <w:lang w:val="en-US"/>
        </w:rPr>
      </w:pPr>
    </w:p>
    <w:p w14:paraId="193A7572" w14:textId="463B846F" w:rsidR="00A41391" w:rsidRDefault="00F57BAB">
      <w:pPr>
        <w:rPr>
          <w:rFonts w:ascii="HelveticaNeue" w:hAnsi="HelveticaNeue" w:cs="HelveticaNeue"/>
          <w:color w:val="000000" w:themeColor="text1"/>
          <w:szCs w:val="20"/>
        </w:rPr>
      </w:pPr>
      <w:r>
        <w:rPr>
          <w:rFonts w:ascii="Calibri" w:eastAsia="MS Gothic" w:hAnsi="Calibri" w:cs="Times New Roman"/>
          <w:noProof/>
          <w:color w:val="FF0000"/>
          <w:spacing w:val="-10"/>
          <w:kern w:val="28"/>
          <w:sz w:val="56"/>
          <w:szCs w:val="56"/>
          <w:lang w:eastAsia="en-AU"/>
        </w:rPr>
        <w:drawing>
          <wp:inline distT="0" distB="0" distL="0" distR="0" wp14:anchorId="249EA0CE" wp14:editId="1E06F493">
            <wp:extent cx="5791322" cy="4965700"/>
            <wp:effectExtent l="0" t="0" r="0" b="6350"/>
            <wp:docPr id="250" name="Picture 250" descr="Compendium 1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5 Cover.jpg"/>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5798260" cy="4971649"/>
                    </a:xfrm>
                    <a:prstGeom prst="rect">
                      <a:avLst/>
                    </a:prstGeom>
                    <a:ln>
                      <a:noFill/>
                    </a:ln>
                    <a:extLst>
                      <a:ext uri="{53640926-AAD7-44D8-BBD7-CCE9431645EC}">
                        <a14:shadowObscured xmlns:a14="http://schemas.microsoft.com/office/drawing/2010/main"/>
                      </a:ext>
                    </a:extLst>
                  </pic:spPr>
                </pic:pic>
              </a:graphicData>
            </a:graphic>
          </wp:inline>
        </w:drawing>
      </w:r>
    </w:p>
    <w:p w14:paraId="27726DE7" w14:textId="5CA449AB" w:rsidR="00A41391" w:rsidRDefault="00A41391">
      <w:pPr>
        <w:rPr>
          <w:rFonts w:ascii="HelveticaNeue" w:hAnsi="HelveticaNeue" w:cs="HelveticaNeue"/>
          <w:color w:val="000000" w:themeColor="text1"/>
          <w:szCs w:val="20"/>
        </w:rPr>
      </w:pPr>
    </w:p>
    <w:p w14:paraId="4860ADD4" w14:textId="53F559EF" w:rsidR="00A41391" w:rsidRDefault="00A41391">
      <w:pPr>
        <w:rPr>
          <w:rFonts w:ascii="HelveticaNeue" w:hAnsi="HelveticaNeue" w:cs="HelveticaNeue"/>
          <w:color w:val="000000" w:themeColor="text1"/>
          <w:szCs w:val="20"/>
        </w:rPr>
      </w:pPr>
    </w:p>
    <w:p w14:paraId="2834A482" w14:textId="30D5281F" w:rsidR="00A41391" w:rsidRDefault="00A41391">
      <w:pPr>
        <w:rPr>
          <w:rFonts w:ascii="HelveticaNeue" w:hAnsi="HelveticaNeue" w:cs="HelveticaNeue"/>
          <w:color w:val="000000" w:themeColor="text1"/>
          <w:szCs w:val="20"/>
        </w:rPr>
      </w:pPr>
    </w:p>
    <w:p w14:paraId="5FE264F4" w14:textId="63B58851" w:rsidR="00A41391" w:rsidRPr="00A41391" w:rsidRDefault="00A41391">
      <w:pPr>
        <w:rPr>
          <w:rFonts w:ascii="HelveticaNeue" w:hAnsi="HelveticaNeue" w:cs="HelveticaNeue"/>
          <w:i/>
          <w:iCs/>
          <w:color w:val="000000" w:themeColor="text1"/>
          <w:szCs w:val="20"/>
        </w:rPr>
      </w:pPr>
      <w:r w:rsidRPr="00A41391">
        <w:rPr>
          <w:rFonts w:ascii="HelveticaNeue" w:hAnsi="HelveticaNeue" w:cs="HelveticaNeue"/>
          <w:i/>
          <w:iCs/>
          <w:color w:val="000000" w:themeColor="text1"/>
          <w:szCs w:val="20"/>
        </w:rPr>
        <w:t>“We want to be active partners in our own care, advocates for better kidney health and finally we want to know that our efforts and the work of clinical carers and researchers will lead to better outcomes for future patients – all patients, no matter where they live, how much they earn, their age or gender or how they are valued by the wider society. Every person with chronic kidney disease deserves nothing less.”</w:t>
      </w:r>
    </w:p>
    <w:p w14:paraId="23DCA076" w14:textId="77777777" w:rsidR="00287B00" w:rsidRDefault="00287B00" w:rsidP="00CE3831">
      <w:pPr>
        <w:spacing w:after="0" w:line="240" w:lineRule="auto"/>
        <w:rPr>
          <w:rFonts w:ascii="Calibri" w:eastAsia="MS Mincho" w:hAnsi="Calibri" w:cs="Arial"/>
          <w:b/>
          <w:bCs/>
          <w:lang w:val="en-US"/>
        </w:rPr>
      </w:pPr>
      <w:r>
        <w:rPr>
          <w:rFonts w:ascii="Calibri" w:eastAsia="MS Mincho" w:hAnsi="Calibri" w:cs="Arial"/>
          <w:b/>
          <w:bCs/>
          <w:lang w:val="en-US"/>
        </w:rPr>
        <w:br w:type="page"/>
      </w:r>
    </w:p>
    <w:p w14:paraId="59BE4E6D" w14:textId="6ACBB49B" w:rsidR="00CE3831" w:rsidRPr="00CE3831" w:rsidRDefault="00CE3831" w:rsidP="00CE3831">
      <w:pPr>
        <w:spacing w:after="0" w:line="240" w:lineRule="auto"/>
        <w:rPr>
          <w:rFonts w:ascii="Calibri" w:eastAsia="MS Mincho" w:hAnsi="Calibri" w:cs="Arial"/>
          <w:lang w:val="en-US"/>
        </w:rPr>
      </w:pPr>
      <w:r w:rsidRPr="00CE3831">
        <w:rPr>
          <w:rFonts w:ascii="Calibri" w:eastAsia="MS Mincho" w:hAnsi="Calibri" w:cs="Arial"/>
          <w:b/>
          <w:bCs/>
          <w:lang w:val="en-US"/>
        </w:rPr>
        <w:lastRenderedPageBreak/>
        <w:t>Quote from front page:</w:t>
      </w:r>
      <w:r w:rsidRPr="00CE3831">
        <w:rPr>
          <w:rFonts w:ascii="Calibri" w:eastAsia="MS Mincho" w:hAnsi="Calibri" w:cs="Arial"/>
          <w:lang w:val="en-US"/>
        </w:rPr>
        <w:t xml:space="preserve"> Phil </w:t>
      </w:r>
      <w:proofErr w:type="spellStart"/>
      <w:r w:rsidRPr="00CE3831">
        <w:rPr>
          <w:rFonts w:ascii="Calibri" w:eastAsia="MS Mincho" w:hAnsi="Calibri" w:cs="Arial"/>
          <w:lang w:val="en-US"/>
        </w:rPr>
        <w:t>Carwsell</w:t>
      </w:r>
      <w:proofErr w:type="spellEnd"/>
      <w:r w:rsidRPr="00CE3831">
        <w:rPr>
          <w:rFonts w:ascii="Calibri" w:eastAsia="MS Mincho" w:hAnsi="Calibri" w:cs="Arial"/>
          <w:lang w:val="en-US"/>
        </w:rPr>
        <w:t xml:space="preserve"> OAM, </w:t>
      </w:r>
      <w:r w:rsidR="003F7028">
        <w:rPr>
          <w:rFonts w:ascii="Calibri" w:eastAsia="MS Mincho" w:hAnsi="Calibri" w:cs="Arial"/>
          <w:lang w:val="en-US"/>
        </w:rPr>
        <w:t>P</w:t>
      </w:r>
      <w:r w:rsidRPr="00CE3831">
        <w:rPr>
          <w:rFonts w:ascii="Calibri" w:eastAsia="MS Mincho" w:hAnsi="Calibri" w:cs="Arial"/>
          <w:lang w:val="en-US"/>
        </w:rPr>
        <w:t xml:space="preserve">atient </w:t>
      </w:r>
      <w:r w:rsidR="003F7028">
        <w:rPr>
          <w:rFonts w:ascii="Calibri" w:eastAsia="MS Mincho" w:hAnsi="Calibri" w:cs="Arial"/>
          <w:lang w:val="en-US"/>
        </w:rPr>
        <w:t>P</w:t>
      </w:r>
      <w:r w:rsidRPr="00CE3831">
        <w:rPr>
          <w:rFonts w:ascii="Calibri" w:eastAsia="MS Mincho" w:hAnsi="Calibri" w:cs="Arial"/>
          <w:lang w:val="en-US"/>
        </w:rPr>
        <w:t>artner</w:t>
      </w:r>
    </w:p>
    <w:p w14:paraId="74D394A5" w14:textId="77777777" w:rsidR="00CE3831" w:rsidRPr="00CE3831" w:rsidRDefault="00CE3831" w:rsidP="00CE3831">
      <w:pPr>
        <w:spacing w:after="0" w:line="240" w:lineRule="auto"/>
        <w:rPr>
          <w:rFonts w:ascii="Calibri" w:eastAsia="MS Mincho" w:hAnsi="Calibri" w:cs="Arial"/>
          <w:lang w:val="en-US"/>
        </w:rPr>
      </w:pPr>
    </w:p>
    <w:p w14:paraId="73FA711A" w14:textId="4D8F9534" w:rsidR="00CE3831" w:rsidRPr="00A41391" w:rsidRDefault="00CE3831" w:rsidP="00CE3831">
      <w:pPr>
        <w:spacing w:after="0" w:line="240" w:lineRule="auto"/>
        <w:rPr>
          <w:rFonts w:ascii="Calibri" w:eastAsia="MS Mincho" w:hAnsi="Calibri" w:cs="Arial"/>
          <w:color w:val="C00000"/>
          <w:lang w:val="en-US"/>
        </w:rPr>
      </w:pPr>
      <w:r w:rsidRPr="00A41391">
        <w:rPr>
          <w:rFonts w:ascii="Calibri" w:eastAsia="MS Mincho" w:hAnsi="Calibri" w:cs="Arial"/>
          <w:color w:val="C00000"/>
          <w:lang w:val="en-US"/>
        </w:rPr>
        <w:t xml:space="preserve">We acknowledge </w:t>
      </w:r>
      <w:r w:rsidR="003F7028" w:rsidRPr="00A41391">
        <w:rPr>
          <w:rFonts w:ascii="Calibri" w:eastAsia="MS Mincho" w:hAnsi="Calibri" w:cs="Arial"/>
          <w:color w:val="C00000"/>
          <w:lang w:val="en-US"/>
        </w:rPr>
        <w:t xml:space="preserve">the </w:t>
      </w:r>
      <w:r w:rsidRPr="00A41391">
        <w:rPr>
          <w:rFonts w:ascii="Calibri" w:eastAsia="MS Mincho" w:hAnsi="Calibri" w:cs="Arial"/>
          <w:color w:val="C00000"/>
          <w:lang w:val="en-US"/>
        </w:rPr>
        <w:t xml:space="preserve">Traditional Owners of Country throughout Australia and </w:t>
      </w:r>
      <w:proofErr w:type="spellStart"/>
      <w:r w:rsidRPr="00A41391">
        <w:rPr>
          <w:rFonts w:ascii="Calibri" w:eastAsia="MS Mincho" w:hAnsi="Calibri" w:cs="Arial"/>
          <w:color w:val="C00000"/>
          <w:lang w:val="en-US"/>
        </w:rPr>
        <w:t>recognise</w:t>
      </w:r>
      <w:proofErr w:type="spellEnd"/>
      <w:r w:rsidRPr="00A41391">
        <w:rPr>
          <w:rFonts w:ascii="Calibri" w:eastAsia="MS Mincho" w:hAnsi="Calibri" w:cs="Arial"/>
          <w:color w:val="C00000"/>
          <w:lang w:val="en-US"/>
        </w:rPr>
        <w:t xml:space="preserve"> the</w:t>
      </w:r>
      <w:r w:rsidR="003F7028" w:rsidRPr="00A41391">
        <w:rPr>
          <w:rFonts w:ascii="Calibri" w:eastAsia="MS Mincho" w:hAnsi="Calibri" w:cs="Arial"/>
          <w:color w:val="C00000"/>
          <w:lang w:val="en-US"/>
        </w:rPr>
        <w:t>ir</w:t>
      </w:r>
      <w:r w:rsidRPr="00A41391">
        <w:rPr>
          <w:rFonts w:ascii="Calibri" w:eastAsia="MS Mincho" w:hAnsi="Calibri" w:cs="Arial"/>
          <w:color w:val="C00000"/>
          <w:lang w:val="en-US"/>
        </w:rPr>
        <w:t xml:space="preserve"> continuing connection to lands, waters and communities. We pay our respect to Aboriginal and Torres Strait Islander cultures; and to Elders both past</w:t>
      </w:r>
      <w:r w:rsidR="003F7028" w:rsidRPr="00A41391">
        <w:rPr>
          <w:rFonts w:ascii="Calibri" w:eastAsia="MS Mincho" w:hAnsi="Calibri" w:cs="Arial"/>
          <w:color w:val="C00000"/>
          <w:lang w:val="en-US"/>
        </w:rPr>
        <w:t>,</w:t>
      </w:r>
      <w:r w:rsidR="00A30182" w:rsidRPr="00A41391">
        <w:rPr>
          <w:rFonts w:ascii="Calibri" w:eastAsia="MS Mincho" w:hAnsi="Calibri" w:cs="Arial"/>
          <w:color w:val="C00000"/>
          <w:lang w:val="en-US"/>
        </w:rPr>
        <w:t xml:space="preserve"> </w:t>
      </w:r>
      <w:r w:rsidRPr="00A41391">
        <w:rPr>
          <w:rFonts w:ascii="Calibri" w:eastAsia="MS Mincho" w:hAnsi="Calibri" w:cs="Arial"/>
          <w:color w:val="C00000"/>
          <w:lang w:val="en-US"/>
        </w:rPr>
        <w:t>present</w:t>
      </w:r>
      <w:r w:rsidR="003F7028" w:rsidRPr="00A41391">
        <w:rPr>
          <w:rFonts w:ascii="Calibri" w:eastAsia="MS Mincho" w:hAnsi="Calibri" w:cs="Arial"/>
          <w:color w:val="C00000"/>
          <w:lang w:val="en-US"/>
        </w:rPr>
        <w:t xml:space="preserve"> and emerging</w:t>
      </w:r>
      <w:r w:rsidRPr="00A41391">
        <w:rPr>
          <w:rFonts w:ascii="Calibri" w:eastAsia="MS Mincho" w:hAnsi="Calibri" w:cs="Arial"/>
          <w:color w:val="C00000"/>
          <w:lang w:val="en-US"/>
        </w:rPr>
        <w:t>.</w:t>
      </w:r>
    </w:p>
    <w:p w14:paraId="69D1F9B0" w14:textId="77777777" w:rsidR="00CE3831" w:rsidRPr="00AE383C" w:rsidRDefault="00CE3831" w:rsidP="00CE3831">
      <w:pPr>
        <w:spacing w:after="0" w:line="240" w:lineRule="auto"/>
        <w:rPr>
          <w:rFonts w:ascii="Calibri" w:eastAsia="MS Mincho" w:hAnsi="Calibri" w:cs="Arial"/>
          <w:lang w:val="en-US"/>
        </w:rPr>
      </w:pPr>
    </w:p>
    <w:p w14:paraId="28C878D0" w14:textId="0F711232" w:rsidR="001F7D30" w:rsidRPr="00010716" w:rsidRDefault="001F7D30" w:rsidP="001F7D30">
      <w:pPr>
        <w:spacing w:after="0" w:line="240" w:lineRule="auto"/>
        <w:rPr>
          <w:b/>
          <w:bCs/>
        </w:rPr>
      </w:pPr>
      <w:r w:rsidRPr="00010716">
        <w:rPr>
          <w:rFonts w:ascii="Calibri" w:eastAsia="MS Mincho" w:hAnsi="Calibri" w:cs="Arial"/>
          <w:b/>
          <w:bCs/>
          <w:lang w:val="en-US"/>
        </w:rPr>
        <w:t>The National Strategic Action Plan for Kidney Disease was led by Kidney Health Australia with funding from the Australian Government Department of Health.</w:t>
      </w:r>
    </w:p>
    <w:p w14:paraId="2DCF7923" w14:textId="77777777" w:rsidR="001F7D30" w:rsidRPr="00AE383C" w:rsidRDefault="001F7D30" w:rsidP="001F7D30">
      <w:pPr>
        <w:spacing w:after="0" w:line="240" w:lineRule="auto"/>
        <w:rPr>
          <w:rFonts w:ascii="Calibri" w:eastAsia="MS Mincho" w:hAnsi="Calibri" w:cs="Arial"/>
          <w:lang w:val="en-US"/>
        </w:rPr>
      </w:pPr>
    </w:p>
    <w:p w14:paraId="25B9AF4C" w14:textId="0B6708B0" w:rsidR="001F7D30" w:rsidRPr="00AE383C" w:rsidRDefault="001F7D30" w:rsidP="001F7D30">
      <w:pPr>
        <w:spacing w:after="0" w:line="240" w:lineRule="auto"/>
        <w:rPr>
          <w:rFonts w:ascii="Calibri" w:eastAsia="MS Mincho" w:hAnsi="Calibri" w:cs="Arial"/>
          <w:b/>
          <w:bCs/>
          <w:lang w:val="en-US"/>
        </w:rPr>
      </w:pPr>
      <w:bookmarkStart w:id="1" w:name="_Hlk11166008"/>
      <w:r w:rsidRPr="00AE383C">
        <w:rPr>
          <w:rFonts w:ascii="Calibri" w:eastAsia="MS Mincho" w:hAnsi="Calibri" w:cs="Arial"/>
          <w:lang w:val="en-US"/>
        </w:rPr>
        <w:t xml:space="preserve">For enquiries about the National Strategic Action Plan for Kidney Disease, and for information about kidney health and support, please contact the Kidney Health Australia </w:t>
      </w:r>
      <w:r w:rsidRPr="00AE383C">
        <w:rPr>
          <w:rFonts w:ascii="Calibri" w:eastAsia="MS Mincho" w:hAnsi="Calibri" w:cs="Arial"/>
          <w:b/>
          <w:bCs/>
          <w:lang w:val="en-US"/>
        </w:rPr>
        <w:t>Kidney Helpline</w:t>
      </w:r>
      <w:r w:rsidRPr="00AE383C">
        <w:rPr>
          <w:rFonts w:ascii="Calibri" w:eastAsia="MS Mincho" w:hAnsi="Calibri" w:cs="Arial"/>
          <w:lang w:val="en-US"/>
        </w:rPr>
        <w:t xml:space="preserve"> on </w:t>
      </w:r>
      <w:r w:rsidRPr="00AE383C">
        <w:rPr>
          <w:rFonts w:ascii="Calibri" w:eastAsia="MS Mincho" w:hAnsi="Calibri" w:cs="Arial"/>
          <w:b/>
          <w:bCs/>
          <w:lang w:val="en-US"/>
        </w:rPr>
        <w:t>1800 454 363</w:t>
      </w:r>
      <w:r w:rsidRPr="00AE383C">
        <w:rPr>
          <w:rFonts w:ascii="Calibri" w:eastAsia="MS Mincho" w:hAnsi="Calibri" w:cs="Arial"/>
          <w:lang w:val="en-US"/>
        </w:rPr>
        <w:t xml:space="preserve"> or visit the website </w:t>
      </w:r>
      <w:r w:rsidRPr="00AE383C">
        <w:rPr>
          <w:rFonts w:ascii="Calibri" w:eastAsia="MS Mincho" w:hAnsi="Calibri" w:cs="Arial"/>
          <w:b/>
          <w:bCs/>
          <w:lang w:val="en-US"/>
        </w:rPr>
        <w:t>kidney.org.au</w:t>
      </w:r>
      <w:bookmarkEnd w:id="1"/>
      <w:r w:rsidRPr="00AE383C">
        <w:rPr>
          <w:rFonts w:ascii="Calibri" w:eastAsia="MS Mincho" w:hAnsi="Calibri" w:cs="Arial"/>
          <w:b/>
          <w:bCs/>
          <w:lang w:val="en-US"/>
        </w:rPr>
        <w:t>.</w:t>
      </w:r>
    </w:p>
    <w:p w14:paraId="5AAADB44" w14:textId="575148F5" w:rsidR="0093551C" w:rsidRDefault="0093551C" w:rsidP="0093551C">
      <w:pPr>
        <w:spacing w:after="0" w:line="240" w:lineRule="auto"/>
        <w:jc w:val="right"/>
        <w:rPr>
          <w:rFonts w:ascii="Calibri" w:eastAsia="MS Mincho" w:hAnsi="Calibri" w:cs="Arial"/>
          <w:color w:val="000000" w:themeColor="text1"/>
          <w:lang w:val="en-US"/>
        </w:rPr>
      </w:pPr>
    </w:p>
    <w:p w14:paraId="367229D0" w14:textId="73584122" w:rsidR="001F7D30" w:rsidRPr="001F7D30" w:rsidRDefault="001F7D30" w:rsidP="001F7D30">
      <w:pPr>
        <w:spacing w:after="0" w:line="240" w:lineRule="auto"/>
        <w:rPr>
          <w:rFonts w:ascii="Calibri" w:eastAsia="MS Mincho" w:hAnsi="Calibri" w:cs="Arial"/>
          <w:b/>
          <w:bCs/>
          <w:color w:val="000000" w:themeColor="text1"/>
          <w:lang w:val="en-US"/>
        </w:rPr>
      </w:pPr>
      <w:r w:rsidRPr="001F7D30">
        <w:rPr>
          <w:rFonts w:ascii="Calibri" w:eastAsia="MS Mincho" w:hAnsi="Calibri" w:cs="Arial"/>
          <w:b/>
          <w:bCs/>
          <w:color w:val="000000" w:themeColor="text1"/>
          <w:lang w:val="en-US"/>
        </w:rPr>
        <w:t>Citation</w:t>
      </w:r>
    </w:p>
    <w:p w14:paraId="54BACF5A" w14:textId="39C15D5A" w:rsidR="001F7D30" w:rsidRPr="001F7D30" w:rsidRDefault="001F7D30" w:rsidP="001F7D30">
      <w:pPr>
        <w:spacing w:after="0" w:line="240" w:lineRule="auto"/>
        <w:rPr>
          <w:rFonts w:ascii="Calibri" w:eastAsia="MS Mincho" w:hAnsi="Calibri" w:cs="Arial"/>
          <w:color w:val="000000" w:themeColor="text1"/>
          <w:lang w:val="en-US"/>
        </w:rPr>
      </w:pPr>
      <w:r w:rsidRPr="001F7D30">
        <w:rPr>
          <w:rFonts w:ascii="Calibri" w:eastAsia="MS Mincho" w:hAnsi="Calibri" w:cs="Arial"/>
          <w:color w:val="000000" w:themeColor="text1"/>
          <w:lang w:val="en-US"/>
        </w:rPr>
        <w:t xml:space="preserve">Kidney Health Australia 2019. </w:t>
      </w:r>
      <w:r>
        <w:rPr>
          <w:rFonts w:ascii="Calibri" w:eastAsia="MS Mincho" w:hAnsi="Calibri" w:cs="Arial"/>
          <w:color w:val="000000" w:themeColor="text1"/>
          <w:lang w:val="en-US"/>
        </w:rPr>
        <w:t xml:space="preserve">Consultation Summary: A compendium to the </w:t>
      </w:r>
      <w:r w:rsidRPr="001F7D30">
        <w:rPr>
          <w:rFonts w:ascii="Calibri" w:eastAsia="MS Mincho" w:hAnsi="Calibri" w:cs="Arial"/>
          <w:color w:val="000000" w:themeColor="text1"/>
          <w:lang w:val="en-US"/>
        </w:rPr>
        <w:t>National Strategic Action Plan for Kidney Disease. Available from kidney.org.au</w:t>
      </w:r>
    </w:p>
    <w:p w14:paraId="1DB191C7" w14:textId="77777777" w:rsidR="001F7D30" w:rsidRPr="001F7D30" w:rsidRDefault="001F7D30" w:rsidP="001F7D30">
      <w:pPr>
        <w:spacing w:after="0" w:line="240" w:lineRule="auto"/>
        <w:rPr>
          <w:rFonts w:ascii="Calibri" w:eastAsia="MS Mincho" w:hAnsi="Calibri" w:cs="Arial"/>
          <w:color w:val="000000" w:themeColor="text1"/>
          <w:lang w:val="en-US"/>
        </w:rPr>
      </w:pPr>
    </w:p>
    <w:p w14:paraId="40325037" w14:textId="148F885A" w:rsidR="001F7D30" w:rsidRPr="001F7D30" w:rsidRDefault="001F7D30" w:rsidP="001F7D30">
      <w:pPr>
        <w:spacing w:after="0" w:line="240" w:lineRule="auto"/>
        <w:rPr>
          <w:rFonts w:ascii="Calibri" w:eastAsia="MS Mincho" w:hAnsi="Calibri" w:cs="Arial"/>
          <w:color w:val="000000" w:themeColor="text1"/>
          <w:lang w:val="en-US"/>
        </w:rPr>
      </w:pPr>
      <w:r w:rsidRPr="001F7D30">
        <w:rPr>
          <w:rFonts w:ascii="Calibri" w:eastAsia="MS Mincho" w:hAnsi="Calibri" w:cs="Arial"/>
          <w:color w:val="000000" w:themeColor="text1"/>
          <w:lang w:val="en-US"/>
        </w:rPr>
        <w:t xml:space="preserve">ISBN: </w:t>
      </w:r>
      <w:r w:rsidR="000E5D1E" w:rsidRPr="000E5D1E">
        <w:rPr>
          <w:rFonts w:ascii="Calibri" w:eastAsia="MS Mincho" w:hAnsi="Calibri" w:cs="Arial"/>
          <w:color w:val="000000" w:themeColor="text1"/>
          <w:lang w:val="en-US"/>
        </w:rPr>
        <w:t>978-0-6485572-9-6</w:t>
      </w:r>
    </w:p>
    <w:p w14:paraId="417E75C6" w14:textId="3D251CFD" w:rsidR="001F7D30" w:rsidRDefault="001F7D30" w:rsidP="001F7D30">
      <w:pPr>
        <w:spacing w:after="0" w:line="240" w:lineRule="auto"/>
        <w:rPr>
          <w:rFonts w:ascii="Calibri" w:eastAsia="MS Mincho" w:hAnsi="Calibri" w:cs="Arial"/>
          <w:color w:val="000000" w:themeColor="text1"/>
          <w:lang w:val="en-US"/>
        </w:rPr>
      </w:pPr>
      <w:r w:rsidRPr="001F7D30">
        <w:rPr>
          <w:rFonts w:ascii="Calibri" w:eastAsia="MS Mincho" w:hAnsi="Calibri" w:cs="Arial"/>
          <w:color w:val="000000" w:themeColor="text1"/>
          <w:lang w:val="en-US"/>
        </w:rPr>
        <w:t>Online ISBN:</w:t>
      </w:r>
      <w:r w:rsidR="000E5D1E" w:rsidRPr="000E5D1E">
        <w:rPr>
          <w:rFonts w:ascii="Calibri" w:eastAsia="MS Mincho" w:hAnsi="Calibri" w:cs="Arial"/>
          <w:color w:val="000000" w:themeColor="text1"/>
          <w:lang w:val="en-US"/>
        </w:rPr>
        <w:t xml:space="preserve"> 978-0-6485572-8-9</w:t>
      </w:r>
    </w:p>
    <w:p w14:paraId="31A7A3FD" w14:textId="77777777" w:rsidR="00ED25D0" w:rsidRDefault="00ED25D0" w:rsidP="00573809">
      <w:pPr>
        <w:spacing w:after="0" w:line="240" w:lineRule="auto"/>
        <w:rPr>
          <w:rFonts w:ascii="Calibri" w:eastAsia="MS Mincho" w:hAnsi="Calibri" w:cs="Arial"/>
          <w:color w:val="000000" w:themeColor="text1"/>
          <w:lang w:val="en-US"/>
        </w:rPr>
      </w:pPr>
    </w:p>
    <w:p w14:paraId="0AA2CFE3" w14:textId="3671FF03" w:rsidR="00573809" w:rsidRDefault="00573809" w:rsidP="00573809">
      <w:pPr>
        <w:spacing w:after="0" w:line="240" w:lineRule="auto"/>
        <w:rPr>
          <w:rFonts w:ascii="Calibri" w:eastAsia="MS Mincho" w:hAnsi="Calibri" w:cs="Arial"/>
          <w:color w:val="000000" w:themeColor="text1"/>
          <w:lang w:val="en-US"/>
        </w:rPr>
      </w:pPr>
      <w:r w:rsidRPr="00573809">
        <w:rPr>
          <w:rFonts w:ascii="Calibri" w:eastAsia="MS Mincho" w:hAnsi="Calibri" w:cs="Arial"/>
          <w:color w:val="000000" w:themeColor="text1"/>
          <w:lang w:val="en-US"/>
        </w:rPr>
        <w:t xml:space="preserve">The </w:t>
      </w:r>
      <w:r>
        <w:rPr>
          <w:rFonts w:ascii="Calibri" w:eastAsia="MS Mincho" w:hAnsi="Calibri" w:cs="Arial"/>
          <w:color w:val="000000" w:themeColor="text1"/>
          <w:lang w:val="en-US"/>
        </w:rPr>
        <w:t xml:space="preserve">National Strategic </w:t>
      </w:r>
      <w:r w:rsidRPr="00573809">
        <w:rPr>
          <w:rFonts w:ascii="Calibri" w:eastAsia="MS Mincho" w:hAnsi="Calibri" w:cs="Arial"/>
          <w:color w:val="000000" w:themeColor="text1"/>
          <w:lang w:val="en-US"/>
        </w:rPr>
        <w:t xml:space="preserve">Action Plan </w:t>
      </w:r>
      <w:r>
        <w:rPr>
          <w:rFonts w:ascii="Calibri" w:eastAsia="MS Mincho" w:hAnsi="Calibri" w:cs="Arial"/>
          <w:color w:val="000000" w:themeColor="text1"/>
          <w:lang w:val="en-US"/>
        </w:rPr>
        <w:t xml:space="preserve">for Kidney Disease and the compendium documents were </w:t>
      </w:r>
      <w:r w:rsidRPr="00573809">
        <w:rPr>
          <w:rFonts w:ascii="Calibri" w:eastAsia="MS Mincho" w:hAnsi="Calibri" w:cs="Arial"/>
          <w:color w:val="000000" w:themeColor="text1"/>
          <w:lang w:val="en-US"/>
        </w:rPr>
        <w:t>managed and written by Dr</w:t>
      </w:r>
      <w:r>
        <w:rPr>
          <w:rFonts w:ascii="Calibri" w:eastAsia="MS Mincho" w:hAnsi="Calibri" w:cs="Arial"/>
          <w:color w:val="000000" w:themeColor="text1"/>
          <w:lang w:val="en-US"/>
        </w:rPr>
        <w:t xml:space="preserve"> </w:t>
      </w:r>
      <w:r w:rsidRPr="00573809">
        <w:rPr>
          <w:rFonts w:ascii="Calibri" w:eastAsia="MS Mincho" w:hAnsi="Calibri" w:cs="Arial"/>
          <w:color w:val="000000" w:themeColor="text1"/>
          <w:lang w:val="en-US"/>
        </w:rPr>
        <w:t>Emma Tinning, Dr Lisa Murphy</w:t>
      </w:r>
      <w:r>
        <w:rPr>
          <w:rFonts w:ascii="Calibri" w:eastAsia="MS Mincho" w:hAnsi="Calibri" w:cs="Arial"/>
          <w:color w:val="000000" w:themeColor="text1"/>
          <w:lang w:val="en-US"/>
        </w:rPr>
        <w:t xml:space="preserve"> </w:t>
      </w:r>
      <w:r w:rsidRPr="00573809">
        <w:rPr>
          <w:rFonts w:ascii="Calibri" w:eastAsia="MS Mincho" w:hAnsi="Calibri" w:cs="Arial"/>
          <w:color w:val="000000" w:themeColor="text1"/>
          <w:lang w:val="en-US"/>
        </w:rPr>
        <w:t>and A/Prof Shilpa Jesudason</w:t>
      </w:r>
      <w:r>
        <w:rPr>
          <w:rFonts w:ascii="Calibri" w:eastAsia="MS Mincho" w:hAnsi="Calibri" w:cs="Arial"/>
          <w:color w:val="000000" w:themeColor="text1"/>
          <w:lang w:val="en-US"/>
        </w:rPr>
        <w:t xml:space="preserve"> </w:t>
      </w:r>
      <w:r w:rsidRPr="00573809">
        <w:rPr>
          <w:rFonts w:ascii="Calibri" w:eastAsia="MS Mincho" w:hAnsi="Calibri" w:cs="Arial"/>
          <w:color w:val="000000" w:themeColor="text1"/>
          <w:lang w:val="en-US"/>
        </w:rPr>
        <w:t>of Kidney Health Australia.</w:t>
      </w:r>
    </w:p>
    <w:p w14:paraId="48AEF1BD" w14:textId="77777777" w:rsidR="008C3A51" w:rsidRDefault="008C3A51">
      <w:pPr>
        <w:rPr>
          <w:rFonts w:ascii="Calibri" w:eastAsia="MS Mincho" w:hAnsi="Calibri" w:cs="Arial"/>
          <w:color w:val="FF0000"/>
          <w:sz w:val="28"/>
          <w:szCs w:val="28"/>
          <w:lang w:val="en-US"/>
        </w:rPr>
      </w:pPr>
      <w:r>
        <w:rPr>
          <w:rFonts w:ascii="Calibri" w:eastAsia="MS Mincho" w:hAnsi="Calibri" w:cs="Arial"/>
          <w:color w:val="FF0000"/>
          <w:sz w:val="28"/>
          <w:szCs w:val="28"/>
          <w:lang w:val="en-US"/>
        </w:rPr>
        <w:br w:type="page"/>
      </w:r>
    </w:p>
    <w:p w14:paraId="318860CE" w14:textId="75CB48B6" w:rsidR="00CE3831" w:rsidRPr="00A41391" w:rsidRDefault="00CE3831" w:rsidP="00010716">
      <w:pPr>
        <w:pStyle w:val="KidneyHeading"/>
        <w:rPr>
          <w:color w:val="C00000"/>
        </w:rPr>
      </w:pPr>
      <w:r w:rsidRPr="00A41391">
        <w:rPr>
          <w:color w:val="C00000"/>
        </w:rPr>
        <w:lastRenderedPageBreak/>
        <w:t>Contents</w:t>
      </w:r>
    </w:p>
    <w:p w14:paraId="12B15931" w14:textId="38B77602" w:rsidR="000902E7" w:rsidRDefault="000902E7" w:rsidP="00CE3831">
      <w:pPr>
        <w:spacing w:after="0" w:line="240" w:lineRule="auto"/>
        <w:rPr>
          <w:rFonts w:ascii="Calibri" w:eastAsia="MS Mincho" w:hAnsi="Calibri" w:cs="Arial"/>
          <w:color w:val="FF0000"/>
          <w:sz w:val="28"/>
          <w:szCs w:val="28"/>
          <w:lang w:val="en-US"/>
        </w:rPr>
      </w:pPr>
    </w:p>
    <w:p w14:paraId="63A083E9" w14:textId="1D746B55" w:rsidR="000902E7" w:rsidRPr="00782640" w:rsidRDefault="000902E7" w:rsidP="000902E7">
      <w:pPr>
        <w:pStyle w:val="TOC1"/>
        <w:tabs>
          <w:tab w:val="right" w:pos="9010"/>
        </w:tabs>
        <w:rPr>
          <w:i w:val="0"/>
          <w:iCs w:val="0"/>
          <w:noProof/>
        </w:rPr>
      </w:pPr>
      <w:r w:rsidRPr="000902E7">
        <w:rPr>
          <w:i w:val="0"/>
          <w:iCs w:val="0"/>
          <w:noProof/>
        </w:rPr>
        <w:t>C</w:t>
      </w:r>
      <w:r w:rsidR="00326031">
        <w:rPr>
          <w:i w:val="0"/>
          <w:iCs w:val="0"/>
          <w:noProof/>
        </w:rPr>
        <w:t>onsultation Summary</w:t>
      </w:r>
      <w:r w:rsidRPr="000902E7">
        <w:rPr>
          <w:i w:val="0"/>
          <w:iCs w:val="0"/>
          <w:noProof/>
        </w:rPr>
        <w:tab/>
      </w:r>
      <w:r w:rsidRPr="00010716">
        <w:rPr>
          <w:i w:val="0"/>
          <w:iCs w:val="0"/>
          <w:noProof/>
        </w:rPr>
        <w:fldChar w:fldCharType="begin"/>
      </w:r>
      <w:r w:rsidRPr="00010716">
        <w:rPr>
          <w:i w:val="0"/>
          <w:iCs w:val="0"/>
          <w:noProof/>
        </w:rPr>
        <w:instrText xml:space="preserve"> PAGEREF _Toc11324608 \h </w:instrText>
      </w:r>
      <w:r w:rsidRPr="00010716">
        <w:rPr>
          <w:i w:val="0"/>
          <w:iCs w:val="0"/>
          <w:noProof/>
        </w:rPr>
      </w:r>
      <w:r w:rsidRPr="00010716">
        <w:rPr>
          <w:i w:val="0"/>
          <w:iCs w:val="0"/>
          <w:noProof/>
        </w:rPr>
        <w:fldChar w:fldCharType="separate"/>
      </w:r>
      <w:r w:rsidR="007D6052">
        <w:rPr>
          <w:b w:val="0"/>
          <w:bCs w:val="0"/>
          <w:i w:val="0"/>
          <w:iCs w:val="0"/>
          <w:noProof/>
          <w:lang w:val="en-US"/>
        </w:rPr>
        <w:t>4</w:t>
      </w:r>
      <w:r w:rsidRPr="00010716">
        <w:rPr>
          <w:i w:val="0"/>
          <w:iCs w:val="0"/>
          <w:noProof/>
        </w:rPr>
        <w:fldChar w:fldCharType="end"/>
      </w:r>
    </w:p>
    <w:p w14:paraId="415A1D8D" w14:textId="05C56002" w:rsidR="001F0065" w:rsidRDefault="001F0065">
      <w:pPr>
        <w:pStyle w:val="TOC1"/>
        <w:tabs>
          <w:tab w:val="right" w:pos="9010"/>
        </w:tabs>
        <w:rPr>
          <w:i w:val="0"/>
          <w:iCs w:val="0"/>
          <w:noProof/>
        </w:rPr>
      </w:pPr>
      <w:r w:rsidRPr="001F0065">
        <w:rPr>
          <w:i w:val="0"/>
          <w:iCs w:val="0"/>
          <w:noProof/>
        </w:rPr>
        <w:t>A</w:t>
      </w:r>
      <w:r w:rsidR="00326031">
        <w:rPr>
          <w:i w:val="0"/>
          <w:iCs w:val="0"/>
          <w:noProof/>
        </w:rPr>
        <w:t>bbreviations</w:t>
      </w:r>
      <w:r w:rsidRPr="000902E7">
        <w:rPr>
          <w:i w:val="0"/>
          <w:iCs w:val="0"/>
          <w:noProof/>
        </w:rPr>
        <w:tab/>
      </w:r>
      <w:r w:rsidRPr="001F0065">
        <w:rPr>
          <w:b w:val="0"/>
          <w:i w:val="0"/>
          <w:iCs w:val="0"/>
          <w:noProof/>
        </w:rPr>
        <w:t>9</w:t>
      </w:r>
    </w:p>
    <w:p w14:paraId="3DA61C2D" w14:textId="0B5E22AB" w:rsidR="000902E7" w:rsidRPr="00010716" w:rsidRDefault="000902E7">
      <w:pPr>
        <w:pStyle w:val="TOC1"/>
        <w:tabs>
          <w:tab w:val="right" w:pos="9010"/>
        </w:tabs>
        <w:rPr>
          <w:rFonts w:eastAsiaTheme="minorEastAsia"/>
          <w:b w:val="0"/>
          <w:bCs w:val="0"/>
          <w:i w:val="0"/>
          <w:iCs w:val="0"/>
          <w:caps/>
          <w:noProof/>
        </w:rPr>
      </w:pPr>
      <w:r w:rsidRPr="000902E7">
        <w:rPr>
          <w:i w:val="0"/>
          <w:iCs w:val="0"/>
          <w:noProof/>
        </w:rPr>
        <w:t>A</w:t>
      </w:r>
      <w:r w:rsidR="00326031">
        <w:rPr>
          <w:i w:val="0"/>
          <w:iCs w:val="0"/>
          <w:noProof/>
        </w:rPr>
        <w:t>ppendices</w:t>
      </w:r>
      <w:r w:rsidRPr="000902E7">
        <w:rPr>
          <w:i w:val="0"/>
          <w:iCs w:val="0"/>
          <w:noProof/>
        </w:rPr>
        <w:tab/>
      </w:r>
      <w:r w:rsidR="001F0065">
        <w:rPr>
          <w:b w:val="0"/>
          <w:i w:val="0"/>
          <w:iCs w:val="0"/>
          <w:noProof/>
        </w:rPr>
        <w:t>10</w:t>
      </w:r>
    </w:p>
    <w:p w14:paraId="2893B74D" w14:textId="5A93C7C9" w:rsidR="000902E7" w:rsidRPr="007D6052" w:rsidRDefault="000902E7" w:rsidP="00E34DEA">
      <w:pPr>
        <w:pStyle w:val="TOC2"/>
        <w:rPr>
          <w:rFonts w:eastAsiaTheme="minorEastAsia"/>
          <w:noProof/>
          <w:sz w:val="24"/>
          <w:szCs w:val="24"/>
        </w:rPr>
      </w:pPr>
      <w:r w:rsidRPr="007D6052">
        <w:rPr>
          <w:noProof/>
        </w:rPr>
        <w:t xml:space="preserve">Appendix 1: </w:t>
      </w:r>
      <w:r w:rsidRPr="00FA2937">
        <w:rPr>
          <w:b w:val="0"/>
          <w:bCs w:val="0"/>
          <w:noProof/>
        </w:rPr>
        <w:t>Acknowledgements</w:t>
      </w:r>
      <w:r w:rsidR="00F85B84">
        <w:rPr>
          <w:b w:val="0"/>
          <w:bCs w:val="0"/>
          <w:noProof/>
        </w:rPr>
        <w:tab/>
        <w:t>10</w:t>
      </w:r>
    </w:p>
    <w:p w14:paraId="45EBCD5A" w14:textId="68691DF7" w:rsidR="000902E7" w:rsidRPr="00FA2937" w:rsidRDefault="000902E7" w:rsidP="00E34DEA">
      <w:pPr>
        <w:pStyle w:val="TOC2"/>
        <w:rPr>
          <w:rFonts w:eastAsiaTheme="minorEastAsia"/>
          <w:b w:val="0"/>
          <w:bCs w:val="0"/>
          <w:noProof/>
          <w:sz w:val="24"/>
          <w:szCs w:val="24"/>
        </w:rPr>
      </w:pPr>
      <w:r w:rsidRPr="007D6052">
        <w:rPr>
          <w:noProof/>
        </w:rPr>
        <w:t xml:space="preserve">Appendix 2: </w:t>
      </w:r>
      <w:r w:rsidRPr="00FA2937">
        <w:rPr>
          <w:b w:val="0"/>
          <w:bCs w:val="0"/>
          <w:noProof/>
        </w:rPr>
        <w:t>Summary Report of Stakeholder Survey</w:t>
      </w:r>
      <w:r w:rsidRPr="00FA2937">
        <w:rPr>
          <w:b w:val="0"/>
          <w:bCs w:val="0"/>
          <w:noProof/>
        </w:rPr>
        <w:tab/>
      </w:r>
      <w:r w:rsidR="00380A28" w:rsidRPr="00FA2937">
        <w:rPr>
          <w:b w:val="0"/>
          <w:bCs w:val="0"/>
          <w:noProof/>
        </w:rPr>
        <w:t>14</w:t>
      </w:r>
    </w:p>
    <w:p w14:paraId="0231E15F" w14:textId="2C577170" w:rsidR="000902E7" w:rsidRPr="00FA2937" w:rsidRDefault="000902E7" w:rsidP="00E34DEA">
      <w:pPr>
        <w:pStyle w:val="TOC2"/>
        <w:rPr>
          <w:rFonts w:eastAsiaTheme="minorEastAsia"/>
          <w:b w:val="0"/>
          <w:bCs w:val="0"/>
          <w:noProof/>
          <w:sz w:val="24"/>
          <w:szCs w:val="24"/>
        </w:rPr>
      </w:pPr>
      <w:r w:rsidRPr="007D6052">
        <w:rPr>
          <w:noProof/>
        </w:rPr>
        <w:t xml:space="preserve">Appendix 3: </w:t>
      </w:r>
      <w:r w:rsidRPr="00FA2937">
        <w:rPr>
          <w:b w:val="0"/>
          <w:bCs w:val="0"/>
        </w:rPr>
        <w:t>The Transplant</w:t>
      </w:r>
      <w:r w:rsidR="00782640" w:rsidRPr="00FA2937">
        <w:rPr>
          <w:b w:val="0"/>
          <w:bCs w:val="0"/>
        </w:rPr>
        <w:t>ation</w:t>
      </w:r>
      <w:r w:rsidRPr="00FA2937">
        <w:rPr>
          <w:b w:val="0"/>
          <w:bCs w:val="0"/>
        </w:rPr>
        <w:t xml:space="preserve"> Society of Australia and New Zealand (TSANZ) Performance Report - </w:t>
      </w:r>
      <w:r w:rsidR="00782640" w:rsidRPr="00FA2937">
        <w:rPr>
          <w:b w:val="0"/>
          <w:bCs w:val="0"/>
        </w:rPr>
        <w:t>Improving Access to and Outcomes of Kidney Transplantation for Aboriginal and Torres Strait Islander People in Australia</w:t>
      </w:r>
    </w:p>
    <w:p w14:paraId="4E9FADA9" w14:textId="6A5C50FE" w:rsidR="000902E7" w:rsidRPr="00FA2937" w:rsidRDefault="000902E7" w:rsidP="00E34DEA">
      <w:pPr>
        <w:pStyle w:val="TOC2"/>
        <w:rPr>
          <w:rFonts w:eastAsiaTheme="minorEastAsia"/>
          <w:b w:val="0"/>
          <w:bCs w:val="0"/>
          <w:noProof/>
          <w:sz w:val="24"/>
          <w:szCs w:val="24"/>
        </w:rPr>
      </w:pPr>
      <w:r w:rsidRPr="007D6052">
        <w:rPr>
          <w:noProof/>
        </w:rPr>
        <w:t xml:space="preserve">Appendix 4: </w:t>
      </w:r>
      <w:r w:rsidRPr="00FA2937">
        <w:rPr>
          <w:b w:val="0"/>
          <w:bCs w:val="0"/>
        </w:rPr>
        <w:t xml:space="preserve">Expert Clinician Panel Report for the Kidney Health Australia </w:t>
      </w:r>
      <w:r w:rsidR="00782640" w:rsidRPr="00FA2937">
        <w:rPr>
          <w:b w:val="0"/>
          <w:bCs w:val="0"/>
        </w:rPr>
        <w:t xml:space="preserve">Caring for </w:t>
      </w:r>
      <w:r w:rsidRPr="00FA2937">
        <w:rPr>
          <w:b w:val="0"/>
          <w:bCs w:val="0"/>
        </w:rPr>
        <w:t>Australasians with Renal Impairment (KHA-CARI) Guidelines for the Management of Chronic Kidney Disease among Aboriginal and Torres Strait Islander Peoples</w:t>
      </w:r>
    </w:p>
    <w:p w14:paraId="30198EAA" w14:textId="4D965586" w:rsidR="000902E7" w:rsidRPr="00FA2937" w:rsidRDefault="000902E7" w:rsidP="00E34DEA">
      <w:pPr>
        <w:pStyle w:val="TOC2"/>
        <w:rPr>
          <w:rFonts w:eastAsiaTheme="minorEastAsia"/>
          <w:b w:val="0"/>
          <w:bCs w:val="0"/>
          <w:noProof/>
          <w:sz w:val="24"/>
          <w:szCs w:val="24"/>
        </w:rPr>
      </w:pPr>
      <w:r w:rsidRPr="007D6052">
        <w:rPr>
          <w:noProof/>
        </w:rPr>
        <w:t xml:space="preserve">Appendix 5: </w:t>
      </w:r>
      <w:r w:rsidRPr="00287B00">
        <w:rPr>
          <w:b w:val="0"/>
          <w:bCs w:val="0"/>
        </w:rPr>
        <w:t>Catching Some Air -</w:t>
      </w:r>
      <w:r w:rsidRPr="007D6052">
        <w:t xml:space="preserve"> </w:t>
      </w:r>
      <w:r w:rsidRPr="00FA2937">
        <w:rPr>
          <w:b w:val="0"/>
          <w:bCs w:val="0"/>
        </w:rPr>
        <w:t>Asserting Indigenous Information Rights in Renal Disease</w:t>
      </w:r>
    </w:p>
    <w:p w14:paraId="7136EFF5" w14:textId="1B5BD06C" w:rsidR="000902E7" w:rsidRPr="00010716" w:rsidRDefault="000902E7" w:rsidP="00010716">
      <w:pPr>
        <w:pStyle w:val="TOC1"/>
        <w:tabs>
          <w:tab w:val="right" w:pos="9010"/>
        </w:tabs>
        <w:rPr>
          <w:rFonts w:eastAsiaTheme="minorEastAsia"/>
          <w:caps/>
          <w:noProof/>
        </w:rPr>
      </w:pPr>
      <w:r w:rsidRPr="00FB67EE">
        <w:rPr>
          <w:i w:val="0"/>
          <w:iCs w:val="0"/>
          <w:noProof/>
        </w:rPr>
        <w:tab/>
      </w:r>
    </w:p>
    <w:p w14:paraId="57F685CB" w14:textId="77777777" w:rsidR="00CE3831" w:rsidRPr="00CE3831" w:rsidRDefault="00CE3831" w:rsidP="00CE3831">
      <w:pPr>
        <w:spacing w:after="0" w:line="240" w:lineRule="auto"/>
        <w:rPr>
          <w:rFonts w:ascii="Calibri" w:eastAsia="MS Mincho" w:hAnsi="Calibri" w:cs="Arial"/>
          <w:color w:val="FF0000"/>
          <w:sz w:val="28"/>
          <w:szCs w:val="28"/>
          <w:lang w:val="en-US"/>
        </w:rPr>
      </w:pPr>
    </w:p>
    <w:p w14:paraId="2811A94B" w14:textId="77777777" w:rsidR="00CE3831" w:rsidRPr="00CE3831" w:rsidRDefault="00CE3831" w:rsidP="00CE3831">
      <w:pPr>
        <w:spacing w:after="0" w:line="240" w:lineRule="auto"/>
        <w:rPr>
          <w:rFonts w:ascii="Calibri" w:eastAsia="MS Mincho" w:hAnsi="Calibri" w:cs="Arial"/>
          <w:color w:val="FF0000"/>
          <w:sz w:val="28"/>
          <w:szCs w:val="28"/>
          <w:lang w:val="en-US"/>
        </w:rPr>
      </w:pPr>
      <w:r w:rsidRPr="00CE3831">
        <w:rPr>
          <w:rFonts w:ascii="Calibri" w:eastAsia="MS Mincho" w:hAnsi="Calibri" w:cs="Arial"/>
          <w:color w:val="FF0000"/>
          <w:sz w:val="28"/>
          <w:szCs w:val="28"/>
          <w:lang w:val="en-US"/>
        </w:rPr>
        <w:br w:type="page"/>
      </w:r>
    </w:p>
    <w:p w14:paraId="3D19813F" w14:textId="6EA15885" w:rsidR="001F0065" w:rsidRPr="00A41391" w:rsidRDefault="001F0065" w:rsidP="00010716">
      <w:pPr>
        <w:pStyle w:val="KidneyHeading"/>
        <w:rPr>
          <w:color w:val="C00000"/>
          <w:szCs w:val="40"/>
        </w:rPr>
      </w:pPr>
      <w:r w:rsidRPr="00A41391">
        <w:rPr>
          <w:color w:val="C00000"/>
          <w:szCs w:val="40"/>
        </w:rPr>
        <w:lastRenderedPageBreak/>
        <w:t>C</w:t>
      </w:r>
      <w:r w:rsidR="00326031">
        <w:rPr>
          <w:color w:val="C00000"/>
          <w:szCs w:val="40"/>
        </w:rPr>
        <w:t>onsultation Summary</w:t>
      </w:r>
      <w:r w:rsidRPr="00A41391">
        <w:rPr>
          <w:color w:val="C00000"/>
          <w:szCs w:val="40"/>
        </w:rPr>
        <w:t xml:space="preserve"> </w:t>
      </w:r>
    </w:p>
    <w:p w14:paraId="48986801" w14:textId="6BF66111" w:rsidR="00CE3831" w:rsidRPr="00A41391" w:rsidRDefault="00886070" w:rsidP="00010716">
      <w:pPr>
        <w:pStyle w:val="KidneyHeading"/>
        <w:rPr>
          <w:color w:val="C00000"/>
          <w:sz w:val="28"/>
        </w:rPr>
      </w:pPr>
      <w:r w:rsidRPr="00A41391">
        <w:rPr>
          <w:color w:val="C00000"/>
          <w:sz w:val="28"/>
        </w:rPr>
        <w:t>Introduction</w:t>
      </w:r>
    </w:p>
    <w:p w14:paraId="79DD5D72" w14:textId="4B30EF36" w:rsidR="00CE3831" w:rsidRPr="00CE3831" w:rsidRDefault="00CE3831" w:rsidP="00CE3831">
      <w:pPr>
        <w:spacing w:after="0" w:line="240" w:lineRule="auto"/>
        <w:rPr>
          <w:rFonts w:ascii="Calibri" w:eastAsia="MS Mincho" w:hAnsi="Calibri" w:cs="Arial"/>
          <w:lang w:val="en-US"/>
        </w:rPr>
      </w:pPr>
      <w:r w:rsidRPr="00CE3831">
        <w:rPr>
          <w:rFonts w:ascii="Calibri" w:eastAsia="MS Mincho" w:hAnsi="Calibri" w:cs="Arial"/>
          <w:lang w:val="en-US"/>
        </w:rPr>
        <w:t>This document is a compendium document to</w:t>
      </w:r>
      <w:r w:rsidR="003F7028">
        <w:rPr>
          <w:rFonts w:ascii="Calibri" w:eastAsia="MS Mincho" w:hAnsi="Calibri" w:cs="Arial"/>
          <w:lang w:val="en-US"/>
        </w:rPr>
        <w:t xml:space="preserve"> accompany</w:t>
      </w:r>
      <w:r w:rsidRPr="00CE3831">
        <w:rPr>
          <w:rFonts w:ascii="Calibri" w:eastAsia="MS Mincho" w:hAnsi="Calibri" w:cs="Arial"/>
          <w:lang w:val="en-US"/>
        </w:rPr>
        <w:t xml:space="preserve"> the National Strategic Action Plan for Kidney Disease (the Action Plan). It provides an overview of the consultation process that was undertaken to formulate the three </w:t>
      </w:r>
      <w:r w:rsidR="00F91461">
        <w:rPr>
          <w:rFonts w:ascii="Calibri" w:eastAsia="MS Mincho" w:hAnsi="Calibri" w:cs="Arial"/>
          <w:lang w:val="en-US"/>
        </w:rPr>
        <w:t>p</w:t>
      </w:r>
      <w:r w:rsidRPr="00CE3831">
        <w:rPr>
          <w:rFonts w:ascii="Calibri" w:eastAsia="MS Mincho" w:hAnsi="Calibri" w:cs="Arial"/>
          <w:lang w:val="en-US"/>
        </w:rPr>
        <w:t xml:space="preserve">riority </w:t>
      </w:r>
      <w:r w:rsidR="00F91461">
        <w:rPr>
          <w:rFonts w:ascii="Calibri" w:eastAsia="MS Mincho" w:hAnsi="Calibri" w:cs="Arial"/>
          <w:lang w:val="en-US"/>
        </w:rPr>
        <w:t>a</w:t>
      </w:r>
      <w:r w:rsidRPr="00CE3831">
        <w:rPr>
          <w:rFonts w:ascii="Calibri" w:eastAsia="MS Mincho" w:hAnsi="Calibri" w:cs="Arial"/>
          <w:lang w:val="en-US"/>
        </w:rPr>
        <w:t>reas</w:t>
      </w:r>
      <w:r w:rsidR="003F7028">
        <w:rPr>
          <w:rFonts w:ascii="Calibri" w:eastAsia="MS Mincho" w:hAnsi="Calibri" w:cs="Arial"/>
          <w:lang w:val="en-US"/>
        </w:rPr>
        <w:t>,</w:t>
      </w:r>
      <w:r w:rsidRPr="00CE3831">
        <w:rPr>
          <w:rFonts w:ascii="Calibri" w:eastAsia="MS Mincho" w:hAnsi="Calibri" w:cs="Arial"/>
          <w:lang w:val="en-US"/>
        </w:rPr>
        <w:t xml:space="preserve"> including</w:t>
      </w:r>
      <w:r w:rsidR="003F7028">
        <w:rPr>
          <w:rFonts w:ascii="Calibri" w:eastAsia="MS Mincho" w:hAnsi="Calibri" w:cs="Arial"/>
          <w:lang w:val="en-US"/>
        </w:rPr>
        <w:t xml:space="preserve"> their</w:t>
      </w:r>
      <w:r w:rsidRPr="00CE3831">
        <w:rPr>
          <w:rFonts w:ascii="Calibri" w:eastAsia="MS Mincho" w:hAnsi="Calibri" w:cs="Arial"/>
          <w:lang w:val="en-US"/>
        </w:rPr>
        <w:t xml:space="preserve"> </w:t>
      </w:r>
      <w:r w:rsidR="00F91461">
        <w:rPr>
          <w:rFonts w:ascii="Calibri" w:eastAsia="MS Mincho" w:hAnsi="Calibri" w:cs="Arial"/>
          <w:lang w:val="en-US"/>
        </w:rPr>
        <w:t>o</w:t>
      </w:r>
      <w:r w:rsidRPr="00CE3831">
        <w:rPr>
          <w:rFonts w:ascii="Calibri" w:eastAsia="MS Mincho" w:hAnsi="Calibri" w:cs="Arial"/>
          <w:lang w:val="en-US"/>
        </w:rPr>
        <w:t xml:space="preserve">bjectives and </w:t>
      </w:r>
      <w:r w:rsidR="00F91461">
        <w:rPr>
          <w:rFonts w:ascii="Calibri" w:eastAsia="MS Mincho" w:hAnsi="Calibri" w:cs="Arial"/>
          <w:lang w:val="en-US"/>
        </w:rPr>
        <w:t>a</w:t>
      </w:r>
      <w:r w:rsidRPr="00CE3831">
        <w:rPr>
          <w:rFonts w:ascii="Calibri" w:eastAsia="MS Mincho" w:hAnsi="Calibri" w:cs="Arial"/>
          <w:lang w:val="en-US"/>
        </w:rPr>
        <w:t>ctions for implementation.</w:t>
      </w:r>
    </w:p>
    <w:p w14:paraId="3C56E1B0" w14:textId="77777777" w:rsidR="00CE3831" w:rsidRPr="00CE3831" w:rsidRDefault="00CE3831" w:rsidP="00CE3831">
      <w:pPr>
        <w:spacing w:after="0" w:line="240" w:lineRule="auto"/>
        <w:rPr>
          <w:rFonts w:ascii="Calibri" w:eastAsia="MS Mincho" w:hAnsi="Calibri" w:cs="Arial"/>
          <w:lang w:val="en-US"/>
        </w:rPr>
      </w:pPr>
    </w:p>
    <w:p w14:paraId="6C1CFFC4" w14:textId="5A29A5ED" w:rsidR="00CE3831" w:rsidRPr="00CE3831" w:rsidRDefault="00CE3831" w:rsidP="00CE3831">
      <w:pPr>
        <w:spacing w:after="0" w:line="240" w:lineRule="auto"/>
        <w:rPr>
          <w:rFonts w:ascii="Calibri" w:eastAsia="MS Mincho" w:hAnsi="Calibri" w:cs="Arial"/>
          <w:lang w:val="en-US"/>
        </w:rPr>
      </w:pPr>
      <w:r w:rsidRPr="00CE3831">
        <w:rPr>
          <w:rFonts w:ascii="Calibri" w:eastAsia="MS Mincho" w:hAnsi="Calibri" w:cs="Arial"/>
          <w:lang w:val="en-US"/>
        </w:rPr>
        <w:t xml:space="preserve">Extensive consultation with a broad range of stakeholders was undertaken in the development of the Action Plan. Below is an overview of the activity that occurred as part of the consultation process. The consultation activities </w:t>
      </w:r>
      <w:r w:rsidR="003C58A3">
        <w:rPr>
          <w:rFonts w:ascii="Calibri" w:eastAsia="MS Mincho" w:hAnsi="Calibri" w:cs="Arial"/>
          <w:lang w:val="en-US"/>
        </w:rPr>
        <w:t>comprised</w:t>
      </w:r>
      <w:r w:rsidRPr="00CE3831">
        <w:rPr>
          <w:rFonts w:ascii="Calibri" w:eastAsia="MS Mincho" w:hAnsi="Calibri" w:cs="Arial"/>
          <w:lang w:val="en-US"/>
        </w:rPr>
        <w:t xml:space="preserve">: </w:t>
      </w:r>
    </w:p>
    <w:p w14:paraId="2F8CF272" w14:textId="77777777" w:rsidR="00CE3831" w:rsidRPr="00CE3831" w:rsidRDefault="00CE3831" w:rsidP="00CE3831">
      <w:pPr>
        <w:spacing w:after="0" w:line="240" w:lineRule="auto"/>
        <w:rPr>
          <w:rFonts w:ascii="Calibri" w:eastAsia="MS Mincho" w:hAnsi="Calibri" w:cs="Arial"/>
          <w:lang w:val="en-US"/>
        </w:rPr>
      </w:pPr>
    </w:p>
    <w:p w14:paraId="4D3DDD26" w14:textId="77777777" w:rsidR="00CE3831" w:rsidRPr="00CE3831" w:rsidRDefault="00CE3831" w:rsidP="00782640">
      <w:pPr>
        <w:numPr>
          <w:ilvl w:val="0"/>
          <w:numId w:val="20"/>
        </w:numPr>
        <w:spacing w:after="0" w:line="240" w:lineRule="auto"/>
        <w:contextualSpacing/>
        <w:rPr>
          <w:rFonts w:ascii="Calibri" w:eastAsia="MS Mincho" w:hAnsi="Calibri" w:cs="Arial"/>
          <w:lang w:val="en-US"/>
        </w:rPr>
      </w:pPr>
      <w:r w:rsidRPr="00CE3831">
        <w:rPr>
          <w:rFonts w:ascii="Calibri" w:eastAsia="MS Mincho" w:hAnsi="Calibri" w:cs="Arial"/>
          <w:lang w:val="en-US"/>
        </w:rPr>
        <w:t>Meetings of the Advisory Group</w:t>
      </w:r>
    </w:p>
    <w:p w14:paraId="5959DD8F" w14:textId="286BE00B" w:rsidR="00CE3831" w:rsidRPr="00CE3831" w:rsidRDefault="00CE3831" w:rsidP="00782640">
      <w:pPr>
        <w:numPr>
          <w:ilvl w:val="0"/>
          <w:numId w:val="20"/>
        </w:numPr>
        <w:spacing w:after="0" w:line="240" w:lineRule="auto"/>
        <w:contextualSpacing/>
        <w:rPr>
          <w:rFonts w:ascii="Calibri" w:eastAsia="MS Mincho" w:hAnsi="Calibri" w:cs="Arial"/>
          <w:lang w:val="en-US"/>
        </w:rPr>
      </w:pPr>
      <w:r w:rsidRPr="00CE3831">
        <w:rPr>
          <w:rFonts w:ascii="Calibri" w:eastAsia="MS Mincho" w:hAnsi="Calibri" w:cs="Arial"/>
          <w:lang w:val="en-US"/>
        </w:rPr>
        <w:t>Roundtable of stakeholders</w:t>
      </w:r>
    </w:p>
    <w:p w14:paraId="6795A039" w14:textId="70FAA1C1" w:rsidR="00CE3831" w:rsidRPr="00CE3831" w:rsidRDefault="00CE3831" w:rsidP="00782640">
      <w:pPr>
        <w:numPr>
          <w:ilvl w:val="0"/>
          <w:numId w:val="20"/>
        </w:numPr>
        <w:spacing w:after="0" w:line="240" w:lineRule="auto"/>
        <w:contextualSpacing/>
        <w:rPr>
          <w:rFonts w:ascii="Calibri" w:eastAsia="MS Mincho" w:hAnsi="Calibri" w:cs="Arial"/>
          <w:lang w:val="en-US"/>
        </w:rPr>
      </w:pPr>
      <w:r w:rsidRPr="00CE3831">
        <w:rPr>
          <w:rFonts w:ascii="Calibri" w:eastAsia="MS Mincho" w:hAnsi="Calibri" w:cs="Arial"/>
          <w:lang w:val="en-US"/>
        </w:rPr>
        <w:t xml:space="preserve">Meetings of the Kidney Health Australia </w:t>
      </w:r>
      <w:r w:rsidR="003F7028">
        <w:rPr>
          <w:rFonts w:ascii="Calibri" w:eastAsia="MS Mincho" w:hAnsi="Calibri" w:cs="Arial"/>
          <w:lang w:val="en-US"/>
        </w:rPr>
        <w:t xml:space="preserve">National </w:t>
      </w:r>
      <w:r w:rsidRPr="00CE3831">
        <w:rPr>
          <w:rFonts w:ascii="Calibri" w:eastAsia="MS Mincho" w:hAnsi="Calibri" w:cs="Arial"/>
          <w:lang w:val="en-US"/>
        </w:rPr>
        <w:t xml:space="preserve">Consumer Council </w:t>
      </w:r>
    </w:p>
    <w:p w14:paraId="72308C69" w14:textId="4D7ECD8D" w:rsidR="00CE3831" w:rsidRPr="00CE3831" w:rsidRDefault="00CE3831" w:rsidP="00782640">
      <w:pPr>
        <w:numPr>
          <w:ilvl w:val="0"/>
          <w:numId w:val="20"/>
        </w:numPr>
        <w:spacing w:after="0" w:line="240" w:lineRule="auto"/>
        <w:contextualSpacing/>
        <w:rPr>
          <w:rFonts w:ascii="Calibri" w:eastAsia="MS Mincho" w:hAnsi="Calibri" w:cs="Arial"/>
          <w:lang w:val="en-US"/>
        </w:rPr>
      </w:pPr>
      <w:r w:rsidRPr="00CE3831">
        <w:rPr>
          <w:rFonts w:ascii="Calibri" w:eastAsia="MS Mincho" w:hAnsi="Calibri" w:cs="Arial"/>
          <w:lang w:val="en-US"/>
        </w:rPr>
        <w:t xml:space="preserve">Public </w:t>
      </w:r>
      <w:r w:rsidR="00925249">
        <w:rPr>
          <w:rFonts w:ascii="Calibri" w:eastAsia="MS Mincho" w:hAnsi="Calibri" w:cs="Arial"/>
          <w:lang w:val="en-US"/>
        </w:rPr>
        <w:t>o</w:t>
      </w:r>
      <w:r w:rsidRPr="00CE3831">
        <w:rPr>
          <w:rFonts w:ascii="Calibri" w:eastAsia="MS Mincho" w:hAnsi="Calibri" w:cs="Arial"/>
          <w:lang w:val="en-US"/>
        </w:rPr>
        <w:t xml:space="preserve">nline </w:t>
      </w:r>
      <w:r w:rsidR="00925249">
        <w:rPr>
          <w:rFonts w:ascii="Calibri" w:eastAsia="MS Mincho" w:hAnsi="Calibri" w:cs="Arial"/>
          <w:lang w:val="en-US"/>
        </w:rPr>
        <w:t xml:space="preserve">Stakeholder </w:t>
      </w:r>
      <w:r w:rsidRPr="00CE3831">
        <w:rPr>
          <w:rFonts w:ascii="Calibri" w:eastAsia="MS Mincho" w:hAnsi="Calibri" w:cs="Arial"/>
          <w:lang w:val="en-US"/>
        </w:rPr>
        <w:t xml:space="preserve">Survey </w:t>
      </w:r>
    </w:p>
    <w:p w14:paraId="7D0398A0" w14:textId="18447D1E" w:rsidR="00CE3831" w:rsidRPr="00CE3831" w:rsidRDefault="00CE3831" w:rsidP="00782640">
      <w:pPr>
        <w:numPr>
          <w:ilvl w:val="0"/>
          <w:numId w:val="20"/>
        </w:numPr>
        <w:spacing w:after="0" w:line="240" w:lineRule="auto"/>
        <w:contextualSpacing/>
        <w:rPr>
          <w:rFonts w:ascii="Calibri" w:eastAsia="MS Mincho" w:hAnsi="Calibri" w:cs="Arial"/>
          <w:lang w:val="en-US"/>
        </w:rPr>
      </w:pPr>
      <w:r w:rsidRPr="00CE3831">
        <w:rPr>
          <w:rFonts w:ascii="Calibri" w:eastAsia="MS Mincho" w:hAnsi="Calibri" w:cs="Arial"/>
          <w:lang w:val="en-US"/>
        </w:rPr>
        <w:t xml:space="preserve">Individual </w:t>
      </w:r>
      <w:r w:rsidR="00925249">
        <w:rPr>
          <w:rFonts w:ascii="Calibri" w:eastAsia="MS Mincho" w:hAnsi="Calibri" w:cs="Arial"/>
          <w:lang w:val="en-US"/>
        </w:rPr>
        <w:t>m</w:t>
      </w:r>
      <w:r w:rsidRPr="00CE3831">
        <w:rPr>
          <w:rFonts w:ascii="Calibri" w:eastAsia="MS Mincho" w:hAnsi="Calibri" w:cs="Arial"/>
          <w:lang w:val="en-US"/>
        </w:rPr>
        <w:t xml:space="preserve">eetings </w:t>
      </w:r>
    </w:p>
    <w:p w14:paraId="0E033BFF" w14:textId="607370EC" w:rsidR="00CE3831" w:rsidRPr="00CE3831" w:rsidRDefault="00CE3831" w:rsidP="00782640">
      <w:pPr>
        <w:numPr>
          <w:ilvl w:val="0"/>
          <w:numId w:val="20"/>
        </w:numPr>
        <w:spacing w:after="0" w:line="240" w:lineRule="auto"/>
        <w:contextualSpacing/>
        <w:rPr>
          <w:rFonts w:ascii="Calibri" w:eastAsia="MS Mincho" w:hAnsi="Calibri" w:cs="Arial"/>
          <w:lang w:val="en-US"/>
        </w:rPr>
      </w:pPr>
      <w:r w:rsidRPr="00CE3831">
        <w:rPr>
          <w:rFonts w:ascii="Calibri" w:eastAsia="MS Mincho" w:hAnsi="Calibri" w:cs="Arial"/>
          <w:lang w:val="en-US"/>
        </w:rPr>
        <w:t xml:space="preserve">Public </w:t>
      </w:r>
      <w:r w:rsidR="00925249">
        <w:rPr>
          <w:rFonts w:ascii="Calibri" w:eastAsia="MS Mincho" w:hAnsi="Calibri" w:cs="Arial"/>
          <w:lang w:val="en-US"/>
        </w:rPr>
        <w:t>c</w:t>
      </w:r>
      <w:r w:rsidRPr="00CE3831">
        <w:rPr>
          <w:rFonts w:ascii="Calibri" w:eastAsia="MS Mincho" w:hAnsi="Calibri" w:cs="Arial"/>
          <w:lang w:val="en-US"/>
        </w:rPr>
        <w:t xml:space="preserve">onsultation </w:t>
      </w:r>
      <w:r w:rsidR="003F7028">
        <w:rPr>
          <w:rFonts w:ascii="Calibri" w:eastAsia="MS Mincho" w:hAnsi="Calibri" w:cs="Arial"/>
          <w:lang w:val="en-US"/>
        </w:rPr>
        <w:t xml:space="preserve">on the </w:t>
      </w:r>
      <w:r w:rsidR="00925249">
        <w:rPr>
          <w:rFonts w:ascii="Calibri" w:eastAsia="MS Mincho" w:hAnsi="Calibri" w:cs="Arial"/>
          <w:lang w:val="en-US"/>
        </w:rPr>
        <w:t>d</w:t>
      </w:r>
      <w:r w:rsidRPr="00CE3831">
        <w:rPr>
          <w:rFonts w:ascii="Calibri" w:eastAsia="MS Mincho" w:hAnsi="Calibri" w:cs="Arial"/>
          <w:lang w:val="en-US"/>
        </w:rPr>
        <w:t xml:space="preserve">raft Action Plan </w:t>
      </w:r>
    </w:p>
    <w:p w14:paraId="2D216182" w14:textId="77777777" w:rsidR="00CE3831" w:rsidRPr="00CE3831" w:rsidRDefault="00CE3831" w:rsidP="00CE3831">
      <w:pPr>
        <w:spacing w:after="0" w:line="240" w:lineRule="auto"/>
        <w:rPr>
          <w:rFonts w:ascii="Calibri" w:eastAsia="MS Mincho" w:hAnsi="Calibri" w:cs="Arial"/>
          <w:lang w:val="en-US"/>
        </w:rPr>
      </w:pPr>
    </w:p>
    <w:p w14:paraId="74A670B8" w14:textId="7607E50E" w:rsidR="00CE3831" w:rsidRPr="00A41391" w:rsidRDefault="00CE3831" w:rsidP="00010716">
      <w:pPr>
        <w:pStyle w:val="Kidneysubheading"/>
        <w:rPr>
          <w:color w:val="C00000"/>
        </w:rPr>
      </w:pPr>
      <w:r w:rsidRPr="00A41391">
        <w:rPr>
          <w:color w:val="C00000"/>
        </w:rPr>
        <w:t>1. Advisory Group</w:t>
      </w:r>
    </w:p>
    <w:p w14:paraId="303F4166" w14:textId="5830FAF1" w:rsidR="00CE3831" w:rsidRPr="00CE3831" w:rsidRDefault="00CE3831" w:rsidP="00CE3831">
      <w:pPr>
        <w:spacing w:after="0" w:line="240" w:lineRule="auto"/>
        <w:rPr>
          <w:rFonts w:ascii="Calibri" w:eastAsia="MS Mincho" w:hAnsi="Calibri" w:cs="Arial"/>
          <w:lang w:val="en-US"/>
        </w:rPr>
      </w:pPr>
      <w:r w:rsidRPr="00CE3831">
        <w:rPr>
          <w:rFonts w:ascii="Calibri" w:eastAsia="MS Mincho" w:hAnsi="Calibri" w:cs="Arial"/>
          <w:lang w:val="en-US"/>
        </w:rPr>
        <w:t xml:space="preserve">Following the announcement of funding to Kidney Health Australia to develop the Action Plan in June 2018, an Advisory Group was convened to provide guidance on all aspects of the Action Plan. This group comprised experts across the kidney health sector including consumer representation. The members of the Advisory Group are listed in Appendix 1. </w:t>
      </w:r>
    </w:p>
    <w:p w14:paraId="05BCB7F5" w14:textId="77777777" w:rsidR="00CE3831" w:rsidRPr="00CE3831" w:rsidRDefault="00CE3831" w:rsidP="00CE3831">
      <w:pPr>
        <w:spacing w:after="0" w:line="240" w:lineRule="auto"/>
        <w:rPr>
          <w:rFonts w:ascii="Calibri" w:eastAsia="MS Mincho" w:hAnsi="Calibri" w:cs="Arial"/>
          <w:lang w:val="en-US"/>
        </w:rPr>
      </w:pPr>
    </w:p>
    <w:p w14:paraId="33E9D393" w14:textId="144FED36" w:rsidR="00CE3831" w:rsidRPr="00CE3831" w:rsidRDefault="00CE3831" w:rsidP="00CE3831">
      <w:pPr>
        <w:spacing w:after="0" w:line="240" w:lineRule="auto"/>
        <w:rPr>
          <w:rFonts w:ascii="Calibri" w:eastAsia="MS Mincho" w:hAnsi="Calibri" w:cs="Arial"/>
          <w:lang w:val="en-US"/>
        </w:rPr>
      </w:pPr>
      <w:r w:rsidRPr="00CE3831">
        <w:rPr>
          <w:rFonts w:ascii="Calibri" w:eastAsia="MS Mincho" w:hAnsi="Calibri" w:cs="Arial"/>
          <w:lang w:val="en-US"/>
        </w:rPr>
        <w:t>The first meeting of the Action Plan Advisory Group, held on 19 October 2018, identified five priority areas for action. Subsequent meetings were held on 3</w:t>
      </w:r>
      <w:r w:rsidRPr="00CE3831">
        <w:rPr>
          <w:rFonts w:ascii="Calibri" w:eastAsia="MS Mincho" w:hAnsi="Calibri" w:cs="Arial"/>
          <w:vertAlign w:val="superscript"/>
          <w:lang w:val="en-US"/>
        </w:rPr>
        <w:t xml:space="preserve"> </w:t>
      </w:r>
      <w:r w:rsidRPr="00CE3831">
        <w:rPr>
          <w:rFonts w:ascii="Calibri" w:eastAsia="MS Mincho" w:hAnsi="Calibri" w:cs="Arial"/>
          <w:lang w:val="en-US"/>
        </w:rPr>
        <w:t>December 2018, 7</w:t>
      </w:r>
      <w:r w:rsidRPr="00CE3831">
        <w:rPr>
          <w:rFonts w:ascii="Calibri" w:eastAsia="MS Mincho" w:hAnsi="Calibri" w:cs="Arial"/>
          <w:vertAlign w:val="superscript"/>
          <w:lang w:val="en-US"/>
        </w:rPr>
        <w:t xml:space="preserve"> </w:t>
      </w:r>
      <w:r w:rsidRPr="00CE3831">
        <w:rPr>
          <w:rFonts w:ascii="Calibri" w:eastAsia="MS Mincho" w:hAnsi="Calibri" w:cs="Arial"/>
          <w:lang w:val="en-US"/>
        </w:rPr>
        <w:t>March 2019 and 1</w:t>
      </w:r>
      <w:r w:rsidRPr="00CE3831">
        <w:rPr>
          <w:rFonts w:ascii="Calibri" w:eastAsia="MS Mincho" w:hAnsi="Calibri" w:cs="Arial"/>
          <w:vertAlign w:val="superscript"/>
          <w:lang w:val="en-US"/>
        </w:rPr>
        <w:t xml:space="preserve"> </w:t>
      </w:r>
      <w:r w:rsidRPr="00CE3831">
        <w:rPr>
          <w:rFonts w:ascii="Calibri" w:eastAsia="MS Mincho" w:hAnsi="Calibri" w:cs="Arial"/>
          <w:lang w:val="en-US"/>
        </w:rPr>
        <w:t>April 2019.  Advisory Group members also provided ongoing written advice and feedback during the preparation of the Action Plan.</w:t>
      </w:r>
    </w:p>
    <w:p w14:paraId="2C667044" w14:textId="77777777" w:rsidR="00CE3831" w:rsidRPr="00CE3831" w:rsidRDefault="00CE3831" w:rsidP="00CE3831">
      <w:pPr>
        <w:spacing w:after="0" w:line="240" w:lineRule="auto"/>
        <w:rPr>
          <w:rFonts w:ascii="Calibri" w:eastAsia="MS Mincho" w:hAnsi="Calibri" w:cs="Arial"/>
          <w:lang w:val="en-US"/>
        </w:rPr>
      </w:pPr>
    </w:p>
    <w:p w14:paraId="6928EE8A" w14:textId="53D5EF4C" w:rsidR="00CE3831" w:rsidRPr="00A41391" w:rsidRDefault="005A718B" w:rsidP="00010716">
      <w:pPr>
        <w:pStyle w:val="Kidneysubheading"/>
        <w:rPr>
          <w:color w:val="C00000"/>
        </w:rPr>
      </w:pPr>
      <w:r w:rsidRPr="00A41391">
        <w:rPr>
          <w:color w:val="C00000"/>
        </w:rPr>
        <w:t>2</w:t>
      </w:r>
      <w:r w:rsidR="00CE3831" w:rsidRPr="00A41391">
        <w:rPr>
          <w:color w:val="C00000"/>
        </w:rPr>
        <w:t xml:space="preserve">. </w:t>
      </w:r>
      <w:r w:rsidR="003F7028" w:rsidRPr="00A41391">
        <w:rPr>
          <w:color w:val="C00000"/>
        </w:rPr>
        <w:t xml:space="preserve">Stakeholder </w:t>
      </w:r>
      <w:r w:rsidR="00CE3831" w:rsidRPr="00A41391">
        <w:rPr>
          <w:color w:val="C00000"/>
        </w:rPr>
        <w:t>Roundtable</w:t>
      </w:r>
    </w:p>
    <w:p w14:paraId="62541400" w14:textId="2DE36F82" w:rsidR="00CE3831" w:rsidRPr="00CE3831" w:rsidRDefault="00CE3831" w:rsidP="00CE3831">
      <w:pPr>
        <w:spacing w:after="0" w:line="240" w:lineRule="auto"/>
        <w:rPr>
          <w:rFonts w:ascii="Calibri" w:eastAsia="MS Mincho" w:hAnsi="Calibri" w:cs="Arial"/>
          <w:lang w:val="en-US"/>
        </w:rPr>
      </w:pPr>
      <w:r w:rsidRPr="00CE3831">
        <w:rPr>
          <w:rFonts w:ascii="Calibri" w:eastAsia="MS Mincho" w:hAnsi="Calibri" w:cs="Arial"/>
          <w:lang w:val="en-US"/>
        </w:rPr>
        <w:t>A roundtable of stakeholders was held on 12 November 2018. The aim of this full day workshop, facilitated by consultants, Communication Link, was to discuss the five priority areas as proposed by the Advisory Group</w:t>
      </w:r>
      <w:r w:rsidR="00E17DF5">
        <w:rPr>
          <w:rFonts w:ascii="Calibri" w:eastAsia="MS Mincho" w:hAnsi="Calibri" w:cs="Arial"/>
          <w:lang w:val="en-US"/>
        </w:rPr>
        <w:t>.</w:t>
      </w:r>
      <w:r w:rsidRPr="00CE3831">
        <w:rPr>
          <w:rFonts w:ascii="Calibri" w:eastAsia="MS Mincho" w:hAnsi="Calibri" w:cs="Arial"/>
          <w:lang w:val="en-US"/>
        </w:rPr>
        <w:t xml:space="preserve"> </w:t>
      </w:r>
      <w:r w:rsidR="00E17DF5">
        <w:rPr>
          <w:rFonts w:ascii="Calibri" w:eastAsia="MS Mincho" w:hAnsi="Calibri" w:cs="Arial"/>
          <w:lang w:val="en-US"/>
        </w:rPr>
        <w:t>P</w:t>
      </w:r>
      <w:r w:rsidR="00E17DF5" w:rsidRPr="00E17DF5">
        <w:rPr>
          <w:rFonts w:ascii="Calibri" w:eastAsia="MS Mincho" w:hAnsi="Calibri" w:cs="Arial"/>
          <w:lang w:val="en-US"/>
        </w:rPr>
        <w:t>articipants formed groups and were asked to develop ideas around each proposed priority areas and suggest new priorities. These ideas were presented, discussed and synthesi</w:t>
      </w:r>
      <w:r w:rsidR="00E17DF5">
        <w:rPr>
          <w:rFonts w:ascii="Calibri" w:eastAsia="MS Mincho" w:hAnsi="Calibri" w:cs="Arial"/>
          <w:lang w:val="en-US"/>
        </w:rPr>
        <w:t>ze</w:t>
      </w:r>
      <w:r w:rsidR="00E17DF5" w:rsidRPr="00E17DF5">
        <w:rPr>
          <w:rFonts w:ascii="Calibri" w:eastAsia="MS Mincho" w:hAnsi="Calibri" w:cs="Arial"/>
          <w:lang w:val="en-US"/>
        </w:rPr>
        <w:t xml:space="preserve">d into </w:t>
      </w:r>
      <w:r w:rsidR="00E17DF5">
        <w:rPr>
          <w:rFonts w:ascii="Calibri" w:eastAsia="MS Mincho" w:hAnsi="Calibri" w:cs="Arial"/>
          <w:lang w:val="en-US"/>
        </w:rPr>
        <w:t>60</w:t>
      </w:r>
      <w:r w:rsidR="00E17DF5" w:rsidRPr="00E17DF5">
        <w:rPr>
          <w:rFonts w:ascii="Calibri" w:eastAsia="MS Mincho" w:hAnsi="Calibri" w:cs="Arial"/>
          <w:lang w:val="en-US"/>
        </w:rPr>
        <w:t xml:space="preserve"> discrete actions</w:t>
      </w:r>
      <w:r w:rsidRPr="00CE3831">
        <w:rPr>
          <w:rFonts w:ascii="Calibri" w:eastAsia="MS Mincho" w:hAnsi="Calibri" w:cs="Arial"/>
          <w:lang w:val="en-US"/>
        </w:rPr>
        <w:t xml:space="preserve">. These actions were then weighted and narrowed down to around a total of 30 actions. </w:t>
      </w:r>
    </w:p>
    <w:p w14:paraId="4E90251B" w14:textId="77777777" w:rsidR="00CE3831" w:rsidRPr="00CE3831" w:rsidRDefault="00CE3831" w:rsidP="00CE3831">
      <w:pPr>
        <w:spacing w:after="0" w:line="240" w:lineRule="auto"/>
        <w:rPr>
          <w:rFonts w:ascii="Calibri" w:eastAsia="MS Mincho" w:hAnsi="Calibri" w:cs="Arial"/>
          <w:lang w:val="en-US"/>
        </w:rPr>
      </w:pPr>
    </w:p>
    <w:p w14:paraId="0AEC663C" w14:textId="18C13640" w:rsidR="00CE3831" w:rsidRPr="00CE3831" w:rsidRDefault="00CE3831" w:rsidP="00CE3831">
      <w:pPr>
        <w:spacing w:after="0" w:line="240" w:lineRule="auto"/>
        <w:rPr>
          <w:rFonts w:ascii="Calibri" w:eastAsia="MS Mincho" w:hAnsi="Calibri" w:cs="Arial"/>
          <w:lang w:val="en-US"/>
        </w:rPr>
      </w:pPr>
      <w:r w:rsidRPr="00CE3831">
        <w:rPr>
          <w:rFonts w:ascii="Calibri" w:eastAsia="MS Mincho" w:hAnsi="Calibri" w:cs="Arial"/>
          <w:lang w:val="en-US"/>
        </w:rPr>
        <w:t xml:space="preserve">More than 40 stakeholders participated in the roundtable, including representatives from Commonwealth and State and Territory Governments, consumers and consumer advocates, healthcare professionals, researchers, health economists, </w:t>
      </w:r>
      <w:r w:rsidR="00925249">
        <w:rPr>
          <w:rFonts w:ascii="Calibri" w:eastAsia="MS Mincho" w:hAnsi="Calibri" w:cs="Arial"/>
          <w:lang w:val="en-US"/>
        </w:rPr>
        <w:t>Aboriginal and Torres Strait Islander</w:t>
      </w:r>
      <w:r w:rsidR="00925249" w:rsidRPr="00CE3831">
        <w:rPr>
          <w:rFonts w:ascii="Calibri" w:eastAsia="MS Mincho" w:hAnsi="Calibri" w:cs="Arial"/>
          <w:lang w:val="en-US"/>
        </w:rPr>
        <w:t xml:space="preserve"> </w:t>
      </w:r>
      <w:r w:rsidRPr="00CE3831">
        <w:rPr>
          <w:rFonts w:ascii="Calibri" w:eastAsia="MS Mincho" w:hAnsi="Calibri" w:cs="Arial"/>
          <w:lang w:val="en-US"/>
        </w:rPr>
        <w:t xml:space="preserve">healthcare professionals and researchers, representatives from chronic disease organisations and kidney disease organisations, and representatives from private health insurance. A full list of participants is provided in Appendix 1. </w:t>
      </w:r>
    </w:p>
    <w:p w14:paraId="2A1AD514" w14:textId="77777777" w:rsidR="00CE3831" w:rsidRPr="00CE3831" w:rsidRDefault="00CE3831" w:rsidP="00CE3831">
      <w:pPr>
        <w:spacing w:after="0" w:line="240" w:lineRule="auto"/>
        <w:rPr>
          <w:rFonts w:ascii="Calibri" w:eastAsia="MS Mincho" w:hAnsi="Calibri" w:cs="Arial"/>
          <w:lang w:val="en-US"/>
        </w:rPr>
      </w:pPr>
    </w:p>
    <w:p w14:paraId="67B47139" w14:textId="05B0CB89" w:rsidR="00CE3831" w:rsidRPr="00A41391" w:rsidRDefault="00CE3831" w:rsidP="00010716">
      <w:pPr>
        <w:pStyle w:val="Kidneysubheading"/>
        <w:rPr>
          <w:color w:val="C00000"/>
        </w:rPr>
      </w:pPr>
      <w:r w:rsidRPr="00A41391">
        <w:rPr>
          <w:color w:val="C00000"/>
        </w:rPr>
        <w:t>3. Kidney Health Australia National Consumer Council</w:t>
      </w:r>
    </w:p>
    <w:p w14:paraId="604D8DAF" w14:textId="6709AF11" w:rsidR="006E201C" w:rsidRDefault="00E17DF5" w:rsidP="00E17DF5">
      <w:pPr>
        <w:spacing w:after="0" w:line="240" w:lineRule="auto"/>
        <w:rPr>
          <w:rFonts w:ascii="Calibri" w:eastAsia="MS Mincho" w:hAnsi="Calibri" w:cs="Arial"/>
          <w:color w:val="000000"/>
          <w:lang w:val="en-US"/>
        </w:rPr>
      </w:pPr>
      <w:r>
        <w:rPr>
          <w:rFonts w:ascii="Calibri" w:eastAsia="MS Mincho" w:hAnsi="Calibri" w:cs="Arial"/>
          <w:color w:val="000000"/>
          <w:lang w:val="en-US"/>
        </w:rPr>
        <w:t xml:space="preserve">The </w:t>
      </w:r>
      <w:r w:rsidRPr="00E17DF5">
        <w:rPr>
          <w:rFonts w:ascii="Calibri" w:eastAsia="MS Mincho" w:hAnsi="Calibri" w:cs="Arial"/>
          <w:color w:val="000000"/>
          <w:lang w:val="en-US"/>
        </w:rPr>
        <w:t>Kidney Health Australia National Consumer Council (the Council) was formed in 2003 to provide a formal pathway for people living with kidney disease to gain visibility about issues and opportunities they are experiencing. It</w:t>
      </w:r>
      <w:r w:rsidR="00925249">
        <w:rPr>
          <w:rFonts w:ascii="Calibri" w:eastAsia="MS Mincho" w:hAnsi="Calibri" w:cs="Arial"/>
          <w:color w:val="000000"/>
          <w:lang w:val="en-US"/>
        </w:rPr>
        <w:t xml:space="preserve"> i</w:t>
      </w:r>
      <w:r w:rsidRPr="00E17DF5">
        <w:rPr>
          <w:rFonts w:ascii="Calibri" w:eastAsia="MS Mincho" w:hAnsi="Calibri" w:cs="Arial"/>
          <w:color w:val="000000"/>
          <w:lang w:val="en-US"/>
        </w:rPr>
        <w:t xml:space="preserve">s also a mechanism for them to provide feedback to </w:t>
      </w:r>
      <w:r w:rsidR="007D6052">
        <w:rPr>
          <w:rFonts w:ascii="Calibri" w:eastAsia="MS Mincho" w:hAnsi="Calibri" w:cs="Arial"/>
          <w:color w:val="000000"/>
          <w:lang w:val="en-US"/>
        </w:rPr>
        <w:t xml:space="preserve">Kidney Health Australia </w:t>
      </w:r>
      <w:r w:rsidRPr="00E17DF5">
        <w:rPr>
          <w:rFonts w:ascii="Calibri" w:eastAsia="MS Mincho" w:hAnsi="Calibri" w:cs="Arial"/>
          <w:color w:val="000000"/>
          <w:lang w:val="en-US"/>
        </w:rPr>
        <w:t>on a wide range of topics.</w:t>
      </w:r>
      <w:r w:rsidR="006E201C">
        <w:rPr>
          <w:rFonts w:ascii="Calibri" w:eastAsia="MS Mincho" w:hAnsi="Calibri" w:cs="Arial"/>
          <w:color w:val="000000"/>
          <w:lang w:val="en-US"/>
        </w:rPr>
        <w:t xml:space="preserve"> </w:t>
      </w:r>
      <w:r w:rsidRPr="00E17DF5">
        <w:rPr>
          <w:rFonts w:ascii="Calibri" w:eastAsia="MS Mincho" w:hAnsi="Calibri" w:cs="Arial"/>
          <w:color w:val="000000"/>
          <w:lang w:val="en-US"/>
        </w:rPr>
        <w:t>The Council works at a national level to make a positive impact on the lives of people affected by kidney disease.</w:t>
      </w:r>
      <w:r w:rsidR="006E201C">
        <w:rPr>
          <w:rFonts w:ascii="Calibri" w:eastAsia="MS Mincho" w:hAnsi="Calibri" w:cs="Arial"/>
          <w:color w:val="000000"/>
          <w:lang w:val="en-US"/>
        </w:rPr>
        <w:t xml:space="preserve"> The current Council </w:t>
      </w:r>
      <w:r w:rsidRPr="00E17DF5">
        <w:rPr>
          <w:rFonts w:ascii="Calibri" w:eastAsia="MS Mincho" w:hAnsi="Calibri" w:cs="Arial"/>
          <w:color w:val="000000"/>
          <w:lang w:val="en-US"/>
        </w:rPr>
        <w:t xml:space="preserve">was convened in 2018 and includes </w:t>
      </w:r>
      <w:r w:rsidR="006E201C">
        <w:rPr>
          <w:rFonts w:ascii="Calibri" w:eastAsia="MS Mincho" w:hAnsi="Calibri" w:cs="Arial"/>
          <w:color w:val="000000"/>
          <w:lang w:val="en-US"/>
        </w:rPr>
        <w:t>18</w:t>
      </w:r>
      <w:r w:rsidRPr="00E17DF5">
        <w:rPr>
          <w:rFonts w:ascii="Calibri" w:eastAsia="MS Mincho" w:hAnsi="Calibri" w:cs="Arial"/>
          <w:color w:val="000000"/>
          <w:lang w:val="en-US"/>
        </w:rPr>
        <w:t xml:space="preserve"> patients and </w:t>
      </w:r>
      <w:proofErr w:type="spellStart"/>
      <w:r w:rsidRPr="00E17DF5">
        <w:rPr>
          <w:rFonts w:ascii="Calibri" w:eastAsia="MS Mincho" w:hAnsi="Calibri" w:cs="Arial"/>
          <w:color w:val="000000"/>
          <w:lang w:val="en-US"/>
        </w:rPr>
        <w:t>carers</w:t>
      </w:r>
      <w:proofErr w:type="spellEnd"/>
      <w:r w:rsidRPr="00E17DF5">
        <w:rPr>
          <w:rFonts w:ascii="Calibri" w:eastAsia="MS Mincho" w:hAnsi="Calibri" w:cs="Arial"/>
          <w:color w:val="000000"/>
          <w:lang w:val="en-US"/>
        </w:rPr>
        <w:t xml:space="preserve"> with a broad lived experience of </w:t>
      </w:r>
      <w:r w:rsidR="006E201C">
        <w:rPr>
          <w:rFonts w:ascii="Calibri" w:eastAsia="MS Mincho" w:hAnsi="Calibri" w:cs="Arial"/>
          <w:color w:val="000000"/>
          <w:lang w:val="en-US"/>
        </w:rPr>
        <w:t>kidney d</w:t>
      </w:r>
      <w:r w:rsidRPr="00E17DF5">
        <w:rPr>
          <w:rFonts w:ascii="Calibri" w:eastAsia="MS Mincho" w:hAnsi="Calibri" w:cs="Arial"/>
          <w:color w:val="000000"/>
          <w:lang w:val="en-US"/>
        </w:rPr>
        <w:t xml:space="preserve">isease. </w:t>
      </w:r>
      <w:r w:rsidR="006E201C">
        <w:rPr>
          <w:rFonts w:ascii="Calibri" w:eastAsia="MS Mincho" w:hAnsi="Calibri" w:cs="Arial"/>
          <w:color w:val="000000"/>
          <w:lang w:val="en-US"/>
        </w:rPr>
        <w:t xml:space="preserve">The members of the Council are listed in Appendix 1. </w:t>
      </w:r>
      <w:r w:rsidRPr="00E17DF5">
        <w:rPr>
          <w:rFonts w:ascii="Calibri" w:eastAsia="MS Mincho" w:hAnsi="Calibri" w:cs="Arial"/>
          <w:color w:val="000000"/>
          <w:lang w:val="en-US"/>
        </w:rPr>
        <w:t xml:space="preserve">Since January 2019, the </w:t>
      </w:r>
      <w:r w:rsidR="006E201C">
        <w:rPr>
          <w:rFonts w:ascii="Calibri" w:eastAsia="MS Mincho" w:hAnsi="Calibri" w:cs="Arial"/>
          <w:color w:val="000000"/>
          <w:lang w:val="en-US"/>
        </w:rPr>
        <w:t>Council</w:t>
      </w:r>
      <w:r w:rsidRPr="00E17DF5">
        <w:rPr>
          <w:rFonts w:ascii="Calibri" w:eastAsia="MS Mincho" w:hAnsi="Calibri" w:cs="Arial"/>
          <w:color w:val="000000"/>
          <w:lang w:val="en-US"/>
        </w:rPr>
        <w:t xml:space="preserve"> has been chaired by Paolo C</w:t>
      </w:r>
      <w:r w:rsidR="006E201C">
        <w:rPr>
          <w:rFonts w:ascii="Calibri" w:eastAsia="MS Mincho" w:hAnsi="Calibri" w:cs="Arial"/>
          <w:color w:val="000000"/>
          <w:lang w:val="en-US"/>
        </w:rPr>
        <w:t>a</w:t>
      </w:r>
      <w:r w:rsidRPr="00E17DF5">
        <w:rPr>
          <w:rFonts w:ascii="Calibri" w:eastAsia="MS Mincho" w:hAnsi="Calibri" w:cs="Arial"/>
          <w:color w:val="000000"/>
          <w:lang w:val="en-US"/>
        </w:rPr>
        <w:t xml:space="preserve">rdelli. </w:t>
      </w:r>
    </w:p>
    <w:p w14:paraId="5A140287" w14:textId="77777777" w:rsidR="006E201C" w:rsidRDefault="006E201C" w:rsidP="00E17DF5">
      <w:pPr>
        <w:spacing w:after="0" w:line="240" w:lineRule="auto"/>
        <w:rPr>
          <w:rFonts w:ascii="Calibri" w:eastAsia="MS Mincho" w:hAnsi="Calibri" w:cs="Arial"/>
          <w:color w:val="000000"/>
          <w:lang w:val="en-US"/>
        </w:rPr>
      </w:pPr>
    </w:p>
    <w:p w14:paraId="30195D56" w14:textId="06937D4D" w:rsidR="00CE3831" w:rsidRPr="00CE3831" w:rsidRDefault="006E201C" w:rsidP="00CE3831">
      <w:pPr>
        <w:spacing w:after="0" w:line="240" w:lineRule="auto"/>
        <w:rPr>
          <w:rFonts w:ascii="Calibri" w:eastAsia="MS Mincho" w:hAnsi="Calibri" w:cs="Arial"/>
          <w:color w:val="000000"/>
          <w:lang w:val="en-US"/>
        </w:rPr>
      </w:pPr>
      <w:r w:rsidRPr="006E201C">
        <w:rPr>
          <w:rFonts w:ascii="Calibri" w:eastAsia="MS Mincho" w:hAnsi="Calibri" w:cs="Arial"/>
          <w:color w:val="000000"/>
          <w:lang w:val="en-US"/>
        </w:rPr>
        <w:t>The draft priorities and actions arising from the roundtable were discussed with the Council</w:t>
      </w:r>
      <w:r>
        <w:rPr>
          <w:rFonts w:ascii="Calibri" w:eastAsia="MS Mincho" w:hAnsi="Calibri" w:cs="Arial"/>
          <w:color w:val="000000"/>
          <w:lang w:val="en-US"/>
        </w:rPr>
        <w:t xml:space="preserve"> </w:t>
      </w:r>
      <w:r w:rsidR="00CE3831" w:rsidRPr="00CE3831">
        <w:rPr>
          <w:rFonts w:ascii="Calibri" w:eastAsia="MS Mincho" w:hAnsi="Calibri" w:cs="Arial"/>
          <w:color w:val="000000"/>
          <w:lang w:val="en-US"/>
        </w:rPr>
        <w:t xml:space="preserve">during a </w:t>
      </w:r>
      <w:r>
        <w:rPr>
          <w:rFonts w:ascii="Calibri" w:eastAsia="MS Mincho" w:hAnsi="Calibri" w:cs="Arial"/>
          <w:color w:val="000000"/>
          <w:lang w:val="en-US"/>
        </w:rPr>
        <w:t xml:space="preserve">Council </w:t>
      </w:r>
      <w:r w:rsidR="00CE3831" w:rsidRPr="00CE3831">
        <w:rPr>
          <w:rFonts w:ascii="Calibri" w:eastAsia="MS Mincho" w:hAnsi="Calibri" w:cs="Arial"/>
          <w:color w:val="000000"/>
          <w:lang w:val="en-US"/>
        </w:rPr>
        <w:t xml:space="preserve">meeting on 7 November 2018. A further meeting to discuss the draft </w:t>
      </w:r>
      <w:r w:rsidR="00793452">
        <w:rPr>
          <w:rFonts w:ascii="Calibri" w:eastAsia="MS Mincho" w:hAnsi="Calibri" w:cs="Arial"/>
          <w:color w:val="000000"/>
          <w:lang w:val="en-US"/>
        </w:rPr>
        <w:t>o</w:t>
      </w:r>
      <w:r w:rsidR="00CE3831" w:rsidRPr="00CE3831">
        <w:rPr>
          <w:rFonts w:ascii="Calibri" w:eastAsia="MS Mincho" w:hAnsi="Calibri" w:cs="Arial"/>
          <w:color w:val="000000"/>
          <w:lang w:val="en-US"/>
        </w:rPr>
        <w:t xml:space="preserve">nline </w:t>
      </w:r>
      <w:r w:rsidR="00925249">
        <w:rPr>
          <w:rFonts w:ascii="Calibri" w:eastAsia="MS Mincho" w:hAnsi="Calibri" w:cs="Arial"/>
          <w:color w:val="000000"/>
          <w:lang w:val="en-US"/>
        </w:rPr>
        <w:t xml:space="preserve">for a </w:t>
      </w:r>
      <w:r w:rsidR="00793452">
        <w:rPr>
          <w:rFonts w:ascii="Calibri" w:eastAsia="MS Mincho" w:hAnsi="Calibri" w:cs="Arial"/>
          <w:color w:val="000000"/>
          <w:lang w:val="en-US"/>
        </w:rPr>
        <w:t xml:space="preserve">Stakeholder </w:t>
      </w:r>
      <w:r w:rsidR="00CE3831" w:rsidRPr="00CE3831">
        <w:rPr>
          <w:rFonts w:ascii="Calibri" w:eastAsia="MS Mincho" w:hAnsi="Calibri" w:cs="Arial"/>
          <w:color w:val="000000"/>
          <w:lang w:val="en-US"/>
        </w:rPr>
        <w:t xml:space="preserve">Survey was held on 12 December 2018. Council members also provided written feedback on the draft survey. Additional </w:t>
      </w:r>
      <w:r w:rsidR="00CE3831" w:rsidRPr="00CE3831">
        <w:rPr>
          <w:rFonts w:ascii="Calibri" w:eastAsia="MS Mincho" w:hAnsi="Calibri" w:cs="Arial"/>
          <w:color w:val="000000"/>
          <w:lang w:val="en-US"/>
        </w:rPr>
        <w:lastRenderedPageBreak/>
        <w:t xml:space="preserve">meetings with the Chair of the Council were held in February and April 2019 to discuss the development of the plan and seek further feedback on actions items. </w:t>
      </w:r>
    </w:p>
    <w:p w14:paraId="581E79CB" w14:textId="77777777" w:rsidR="00CE3831" w:rsidRPr="00CE3831" w:rsidRDefault="00CE3831" w:rsidP="00CE3831">
      <w:pPr>
        <w:spacing w:after="0" w:line="240" w:lineRule="auto"/>
        <w:rPr>
          <w:rFonts w:ascii="Calibri" w:eastAsia="MS Mincho" w:hAnsi="Calibri" w:cs="Arial"/>
          <w:lang w:val="en-US"/>
        </w:rPr>
      </w:pPr>
    </w:p>
    <w:p w14:paraId="5E2DD046" w14:textId="1E9BFBE0" w:rsidR="00E65053" w:rsidRPr="00A41391" w:rsidRDefault="00CE3831" w:rsidP="00010716">
      <w:pPr>
        <w:pStyle w:val="Kidneysubheading"/>
        <w:rPr>
          <w:color w:val="C00000"/>
        </w:rPr>
      </w:pPr>
      <w:r w:rsidRPr="00A41391">
        <w:rPr>
          <w:color w:val="C00000"/>
        </w:rPr>
        <w:t xml:space="preserve">4. Online </w:t>
      </w:r>
      <w:r w:rsidR="00793452" w:rsidRPr="00A41391">
        <w:rPr>
          <w:color w:val="C00000"/>
        </w:rPr>
        <w:t xml:space="preserve">Stakeholder </w:t>
      </w:r>
      <w:r w:rsidRPr="00A41391">
        <w:rPr>
          <w:color w:val="C00000"/>
        </w:rPr>
        <w:t>Survey</w:t>
      </w:r>
    </w:p>
    <w:p w14:paraId="646DADEA" w14:textId="514A2B32" w:rsidR="009F442A" w:rsidRPr="00CE3831" w:rsidRDefault="00793452" w:rsidP="00CE3831">
      <w:pPr>
        <w:spacing w:after="0" w:line="240" w:lineRule="auto"/>
        <w:rPr>
          <w:rFonts w:ascii="Calibri" w:eastAsia="MS Mincho" w:hAnsi="Calibri" w:cs="Arial"/>
          <w:lang w:val="en-US"/>
        </w:rPr>
      </w:pPr>
      <w:r w:rsidRPr="00793452">
        <w:rPr>
          <w:rFonts w:ascii="Calibri" w:eastAsia="MS Mincho" w:hAnsi="Calibri" w:cs="Arial"/>
          <w:lang w:val="en-US"/>
        </w:rPr>
        <w:t>We developed a</w:t>
      </w:r>
      <w:r>
        <w:rPr>
          <w:rFonts w:ascii="Calibri" w:eastAsia="MS Mincho" w:hAnsi="Calibri" w:cs="Arial"/>
          <w:lang w:val="en-US"/>
        </w:rPr>
        <w:t>n online Stakeholder S</w:t>
      </w:r>
      <w:r w:rsidRPr="00793452">
        <w:rPr>
          <w:rFonts w:ascii="Calibri" w:eastAsia="MS Mincho" w:hAnsi="Calibri" w:cs="Arial"/>
          <w:lang w:val="en-US"/>
        </w:rPr>
        <w:t xml:space="preserve">urvey using the Survey Monkey </w:t>
      </w:r>
      <w:r>
        <w:rPr>
          <w:rFonts w:ascii="Calibri" w:eastAsia="MS Mincho" w:hAnsi="Calibri" w:cs="Arial"/>
          <w:lang w:val="en-US"/>
        </w:rPr>
        <w:t>p</w:t>
      </w:r>
      <w:r w:rsidRPr="00793452">
        <w:rPr>
          <w:rFonts w:ascii="Calibri" w:eastAsia="MS Mincho" w:hAnsi="Calibri" w:cs="Arial"/>
          <w:lang w:val="en-US"/>
        </w:rPr>
        <w:t xml:space="preserve">latform. The </w:t>
      </w:r>
      <w:r w:rsidR="00DF5DCC">
        <w:rPr>
          <w:rFonts w:ascii="Calibri" w:eastAsia="MS Mincho" w:hAnsi="Calibri" w:cs="Arial"/>
          <w:lang w:val="en-US"/>
        </w:rPr>
        <w:t>Stakeholder S</w:t>
      </w:r>
      <w:r w:rsidRPr="00793452">
        <w:rPr>
          <w:rFonts w:ascii="Calibri" w:eastAsia="MS Mincho" w:hAnsi="Calibri" w:cs="Arial"/>
          <w:lang w:val="en-US"/>
        </w:rPr>
        <w:t xml:space="preserve">urvey was based on actions proposed at the </w:t>
      </w:r>
      <w:r>
        <w:rPr>
          <w:rFonts w:ascii="Calibri" w:eastAsia="MS Mincho" w:hAnsi="Calibri" w:cs="Arial"/>
          <w:lang w:val="en-US"/>
        </w:rPr>
        <w:t>s</w:t>
      </w:r>
      <w:r w:rsidRPr="00793452">
        <w:rPr>
          <w:rFonts w:ascii="Calibri" w:eastAsia="MS Mincho" w:hAnsi="Calibri" w:cs="Arial"/>
          <w:lang w:val="en-US"/>
        </w:rPr>
        <w:t xml:space="preserve">takeholder </w:t>
      </w:r>
      <w:r>
        <w:rPr>
          <w:rFonts w:ascii="Calibri" w:eastAsia="MS Mincho" w:hAnsi="Calibri" w:cs="Arial"/>
          <w:lang w:val="en-US"/>
        </w:rPr>
        <w:t>r</w:t>
      </w:r>
      <w:r w:rsidRPr="00793452">
        <w:rPr>
          <w:rFonts w:ascii="Calibri" w:eastAsia="MS Mincho" w:hAnsi="Calibri" w:cs="Arial"/>
          <w:lang w:val="en-US"/>
        </w:rPr>
        <w:t>oundtable, and input fr</w:t>
      </w:r>
      <w:r>
        <w:rPr>
          <w:rFonts w:ascii="Calibri" w:eastAsia="MS Mincho" w:hAnsi="Calibri" w:cs="Arial"/>
          <w:lang w:val="en-US"/>
        </w:rPr>
        <w:t>om</w:t>
      </w:r>
      <w:r w:rsidRPr="00793452">
        <w:rPr>
          <w:rFonts w:ascii="Calibri" w:eastAsia="MS Mincho" w:hAnsi="Calibri" w:cs="Arial"/>
          <w:lang w:val="en-US"/>
        </w:rPr>
        <w:t xml:space="preserve"> the </w:t>
      </w:r>
      <w:r>
        <w:rPr>
          <w:rFonts w:ascii="Calibri" w:eastAsia="MS Mincho" w:hAnsi="Calibri" w:cs="Arial"/>
          <w:lang w:val="en-US"/>
        </w:rPr>
        <w:t>Council</w:t>
      </w:r>
      <w:r w:rsidRPr="00793452">
        <w:rPr>
          <w:rFonts w:ascii="Calibri" w:eastAsia="MS Mincho" w:hAnsi="Calibri" w:cs="Arial"/>
          <w:lang w:val="en-US"/>
        </w:rPr>
        <w:t xml:space="preserve"> and Advisory Group. </w:t>
      </w:r>
      <w:r>
        <w:rPr>
          <w:rFonts w:ascii="Calibri" w:eastAsia="MS Mincho" w:hAnsi="Calibri" w:cs="Arial"/>
          <w:lang w:val="en-US"/>
        </w:rPr>
        <w:t>The Stakeholder Survey</w:t>
      </w:r>
      <w:r w:rsidR="00CE3831" w:rsidRPr="00CE3831">
        <w:rPr>
          <w:rFonts w:ascii="Calibri" w:eastAsia="MS Mincho" w:hAnsi="Calibri" w:cs="Arial"/>
          <w:lang w:val="en-US"/>
        </w:rPr>
        <w:t xml:space="preserve"> was open for </w:t>
      </w:r>
      <w:r>
        <w:rPr>
          <w:rFonts w:ascii="Calibri" w:eastAsia="MS Mincho" w:hAnsi="Calibri" w:cs="Arial"/>
          <w:lang w:val="en-US"/>
        </w:rPr>
        <w:t xml:space="preserve">public </w:t>
      </w:r>
      <w:r w:rsidR="00CE3831" w:rsidRPr="00CE3831">
        <w:rPr>
          <w:rFonts w:ascii="Calibri" w:eastAsia="MS Mincho" w:hAnsi="Calibri" w:cs="Arial"/>
          <w:lang w:val="en-US"/>
        </w:rPr>
        <w:t xml:space="preserve">comment from </w:t>
      </w:r>
      <w:r w:rsidR="00DF5DCC">
        <w:rPr>
          <w:rFonts w:ascii="Calibri" w:eastAsia="MS Mincho" w:hAnsi="Calibri" w:cs="Arial"/>
          <w:lang w:val="en-US"/>
        </w:rPr>
        <w:t xml:space="preserve">17 </w:t>
      </w:r>
      <w:r w:rsidR="00CE3831" w:rsidRPr="00CE3831">
        <w:rPr>
          <w:rFonts w:ascii="Calibri" w:eastAsia="MS Mincho" w:hAnsi="Calibri" w:cs="Arial"/>
          <w:lang w:val="en-US"/>
        </w:rPr>
        <w:t xml:space="preserve">December 2018 to </w:t>
      </w:r>
      <w:r w:rsidR="00DF5DCC">
        <w:rPr>
          <w:rFonts w:ascii="Calibri" w:eastAsia="MS Mincho" w:hAnsi="Calibri" w:cs="Arial"/>
          <w:lang w:val="en-US"/>
        </w:rPr>
        <w:t xml:space="preserve">31 </w:t>
      </w:r>
      <w:r w:rsidR="00CE3831" w:rsidRPr="00CE3831">
        <w:rPr>
          <w:rFonts w:ascii="Calibri" w:eastAsia="MS Mincho" w:hAnsi="Calibri" w:cs="Arial"/>
          <w:lang w:val="en-US"/>
        </w:rPr>
        <w:t>January 2019. This survey asked participants to:</w:t>
      </w:r>
    </w:p>
    <w:p w14:paraId="49F1E0C2" w14:textId="77777777" w:rsidR="00CE3831" w:rsidRPr="00CE3831" w:rsidRDefault="00CE3831" w:rsidP="00CE3831">
      <w:pPr>
        <w:spacing w:after="0" w:line="240" w:lineRule="auto"/>
        <w:rPr>
          <w:rFonts w:ascii="Calibri" w:eastAsia="MS Mincho" w:hAnsi="Calibri" w:cs="Arial"/>
          <w:lang w:val="en-US"/>
        </w:rPr>
      </w:pPr>
    </w:p>
    <w:p w14:paraId="5F484053" w14:textId="6308B3E0" w:rsidR="00CE3831" w:rsidRPr="00CE3831" w:rsidRDefault="00925249" w:rsidP="00010716">
      <w:pPr>
        <w:pStyle w:val="ListBullet"/>
        <w:rPr>
          <w:lang w:val="en-US"/>
        </w:rPr>
      </w:pPr>
      <w:r>
        <w:rPr>
          <w:lang w:val="en-US"/>
        </w:rPr>
        <w:t>r</w:t>
      </w:r>
      <w:r w:rsidR="00CE3831" w:rsidRPr="00CE3831">
        <w:rPr>
          <w:lang w:val="en-US"/>
        </w:rPr>
        <w:t>eview the five draft priority areas for action</w:t>
      </w:r>
    </w:p>
    <w:p w14:paraId="71D8A5C9" w14:textId="5FE987DE" w:rsidR="00CE3831" w:rsidRPr="00CE3831" w:rsidRDefault="00925249" w:rsidP="00010716">
      <w:pPr>
        <w:pStyle w:val="ListBullet"/>
        <w:rPr>
          <w:lang w:val="en-US"/>
        </w:rPr>
      </w:pPr>
      <w:r>
        <w:rPr>
          <w:lang w:val="en-US"/>
        </w:rPr>
        <w:t>r</w:t>
      </w:r>
      <w:r w:rsidR="00CE3831" w:rsidRPr="00CE3831">
        <w:rPr>
          <w:lang w:val="en-US"/>
        </w:rPr>
        <w:t>eview draft objectives under each priority area</w:t>
      </w:r>
    </w:p>
    <w:p w14:paraId="1F5D16F8" w14:textId="1D0E3448" w:rsidR="00CE3831" w:rsidRPr="00CE3831" w:rsidRDefault="00925249" w:rsidP="00010716">
      <w:pPr>
        <w:pStyle w:val="ListBullet"/>
        <w:rPr>
          <w:lang w:val="en-US"/>
        </w:rPr>
      </w:pPr>
      <w:r>
        <w:rPr>
          <w:lang w:val="en-US"/>
        </w:rPr>
        <w:t>e</w:t>
      </w:r>
      <w:r w:rsidR="00CE3831" w:rsidRPr="00CE3831">
        <w:rPr>
          <w:lang w:val="en-US"/>
        </w:rPr>
        <w:t>xpress opinions on current areas of success and areas</w:t>
      </w:r>
      <w:r w:rsidR="00CE3831" w:rsidRPr="00CE3831">
        <w:rPr>
          <w:rFonts w:ascii="Cambria" w:hAnsi="Cambria" w:cs="Times New Roman"/>
          <w:sz w:val="24"/>
          <w:szCs w:val="24"/>
          <w:lang w:val="en-US"/>
        </w:rPr>
        <w:t xml:space="preserve"> </w:t>
      </w:r>
      <w:r w:rsidR="00CE3831" w:rsidRPr="00CE3831">
        <w:rPr>
          <w:lang w:val="en-US"/>
        </w:rPr>
        <w:t>that require improvement in kidney heath</w:t>
      </w:r>
    </w:p>
    <w:p w14:paraId="5146E0D0" w14:textId="44F85F76" w:rsidR="00CE3831" w:rsidRPr="00CE3831" w:rsidRDefault="00925249" w:rsidP="00010716">
      <w:pPr>
        <w:pStyle w:val="ListBullet"/>
        <w:rPr>
          <w:lang w:val="en-US"/>
        </w:rPr>
      </w:pPr>
      <w:r>
        <w:rPr>
          <w:lang w:val="en-US"/>
        </w:rPr>
        <w:t>n</w:t>
      </w:r>
      <w:r w:rsidR="00CE3831" w:rsidRPr="00CE3831">
        <w:rPr>
          <w:lang w:val="en-US"/>
        </w:rPr>
        <w:t>ominate the action respondents would most like to see included in the strategy.</w:t>
      </w:r>
    </w:p>
    <w:p w14:paraId="03AD6DE1" w14:textId="25680F48" w:rsidR="009F442A" w:rsidRDefault="00CE3831" w:rsidP="00CE3831">
      <w:pPr>
        <w:spacing w:after="0" w:line="240" w:lineRule="auto"/>
        <w:rPr>
          <w:rFonts w:ascii="Calibri" w:eastAsia="MS Mincho" w:hAnsi="Calibri" w:cs="Arial"/>
          <w:lang w:val="en-US"/>
        </w:rPr>
      </w:pPr>
      <w:r w:rsidRPr="00CE3831">
        <w:rPr>
          <w:rFonts w:ascii="Calibri" w:eastAsia="MS Mincho" w:hAnsi="Calibri" w:cs="Arial"/>
          <w:lang w:val="en-US"/>
        </w:rPr>
        <w:t xml:space="preserve">The invitation </w:t>
      </w:r>
      <w:r w:rsidR="00DF5DCC">
        <w:rPr>
          <w:rFonts w:ascii="Calibri" w:eastAsia="MS Mincho" w:hAnsi="Calibri" w:cs="Arial"/>
          <w:lang w:val="en-US"/>
        </w:rPr>
        <w:t xml:space="preserve">to participate in the survey </w:t>
      </w:r>
      <w:r w:rsidR="00371D94">
        <w:rPr>
          <w:rFonts w:ascii="Calibri" w:eastAsia="MS Mincho" w:hAnsi="Calibri" w:cs="Arial"/>
          <w:lang w:val="en-US"/>
        </w:rPr>
        <w:t xml:space="preserve">encouraged people to share </w:t>
      </w:r>
      <w:r w:rsidR="00DF5DCC">
        <w:rPr>
          <w:rFonts w:ascii="Calibri" w:eastAsia="MS Mincho" w:hAnsi="Calibri" w:cs="Arial"/>
          <w:lang w:val="en-US"/>
        </w:rPr>
        <w:t xml:space="preserve">it </w:t>
      </w:r>
      <w:r w:rsidR="00371D94">
        <w:rPr>
          <w:rFonts w:ascii="Calibri" w:eastAsia="MS Mincho" w:hAnsi="Calibri" w:cs="Arial"/>
          <w:lang w:val="en-US"/>
        </w:rPr>
        <w:t xml:space="preserve">amongst their networks. The invitation </w:t>
      </w:r>
      <w:r w:rsidRPr="00CE3831">
        <w:rPr>
          <w:rFonts w:ascii="Calibri" w:eastAsia="MS Mincho" w:hAnsi="Calibri" w:cs="Arial"/>
          <w:lang w:val="en-US"/>
        </w:rPr>
        <w:t>to participate was distributed via:</w:t>
      </w:r>
    </w:p>
    <w:p w14:paraId="5DFF79A7" w14:textId="77777777" w:rsidR="00371D94" w:rsidRPr="00CE3831" w:rsidRDefault="00371D94" w:rsidP="00CE3831">
      <w:pPr>
        <w:spacing w:after="0" w:line="240" w:lineRule="auto"/>
        <w:rPr>
          <w:rFonts w:ascii="Calibri" w:eastAsia="MS Mincho" w:hAnsi="Calibri" w:cs="Arial"/>
          <w:lang w:val="en-US"/>
        </w:rPr>
      </w:pPr>
    </w:p>
    <w:p w14:paraId="790A1546" w14:textId="7CA094E7" w:rsidR="00371D94" w:rsidRDefault="007139BF" w:rsidP="00010716">
      <w:pPr>
        <w:pStyle w:val="ListBullet"/>
        <w:rPr>
          <w:lang w:val="en-US"/>
        </w:rPr>
      </w:pPr>
      <w:r>
        <w:rPr>
          <w:lang w:val="en-US"/>
        </w:rPr>
        <w:t>E</w:t>
      </w:r>
      <w:r w:rsidR="00371D94" w:rsidRPr="00CE3831">
        <w:rPr>
          <w:lang w:val="en-US"/>
        </w:rPr>
        <w:t xml:space="preserve">lectronic direct mail </w:t>
      </w:r>
      <w:r>
        <w:rPr>
          <w:lang w:val="en-US"/>
        </w:rPr>
        <w:t xml:space="preserve">to </w:t>
      </w:r>
      <w:r w:rsidRPr="007139BF">
        <w:rPr>
          <w:lang w:val="en-US"/>
        </w:rPr>
        <w:t xml:space="preserve">22,275 </w:t>
      </w:r>
      <w:r>
        <w:rPr>
          <w:lang w:val="en-US"/>
        </w:rPr>
        <w:t xml:space="preserve">of Kidney Health Australia’s </w:t>
      </w:r>
      <w:r w:rsidRPr="007139BF">
        <w:rPr>
          <w:lang w:val="en-US"/>
        </w:rPr>
        <w:t>subscribers</w:t>
      </w:r>
      <w:r>
        <w:rPr>
          <w:lang w:val="en-US"/>
        </w:rPr>
        <w:t>.</w:t>
      </w:r>
    </w:p>
    <w:p w14:paraId="01BBD43D" w14:textId="31E957AD" w:rsidR="00925249" w:rsidRPr="00B03236" w:rsidRDefault="007139BF" w:rsidP="00010716">
      <w:pPr>
        <w:pStyle w:val="ListBullet"/>
        <w:rPr>
          <w:lang w:val="en-US"/>
        </w:rPr>
      </w:pPr>
      <w:r>
        <w:rPr>
          <w:lang w:val="en-US"/>
        </w:rPr>
        <w:t>D</w:t>
      </w:r>
      <w:r w:rsidR="00CE3831" w:rsidRPr="00B03236">
        <w:rPr>
          <w:lang w:val="en-US"/>
        </w:rPr>
        <w:t>irect correspondence with Government departments and organisations (including Primary Health Networks, peak bodies and other kidney organisati</w:t>
      </w:r>
      <w:r w:rsidR="007D6052">
        <w:rPr>
          <w:lang w:val="en-US"/>
        </w:rPr>
        <w:t xml:space="preserve">ons and research organisations - </w:t>
      </w:r>
      <w:bookmarkStart w:id="2" w:name="_Hlk11052264"/>
      <w:r w:rsidR="00C05F37">
        <w:rPr>
          <w:lang w:val="en-US"/>
        </w:rPr>
        <w:t>Australian and New Zealand Society of Nephrology A</w:t>
      </w:r>
      <w:r w:rsidR="00CE3831" w:rsidRPr="00B03236">
        <w:rPr>
          <w:lang w:val="en-US"/>
        </w:rPr>
        <w:t xml:space="preserve">NZSN, </w:t>
      </w:r>
      <w:r w:rsidR="00C05F37">
        <w:rPr>
          <w:lang w:val="en-US"/>
        </w:rPr>
        <w:t xml:space="preserve">Transplant Society of Australia and New Zealand </w:t>
      </w:r>
      <w:r w:rsidR="00CE3831" w:rsidRPr="00B03236">
        <w:rPr>
          <w:lang w:val="en-US"/>
        </w:rPr>
        <w:t xml:space="preserve">TSANZ, </w:t>
      </w:r>
      <w:r w:rsidR="00C05F37">
        <w:rPr>
          <w:lang w:val="en-US"/>
        </w:rPr>
        <w:t xml:space="preserve">Australian Primary Health Care Nurses Association </w:t>
      </w:r>
      <w:r w:rsidR="00CE3831" w:rsidRPr="00B03236">
        <w:rPr>
          <w:lang w:val="en-US"/>
        </w:rPr>
        <w:t xml:space="preserve">APNA, </w:t>
      </w:r>
      <w:r w:rsidR="00C05F37">
        <w:rPr>
          <w:lang w:val="en-US"/>
        </w:rPr>
        <w:t xml:space="preserve">Renal Society of Australia </w:t>
      </w:r>
      <w:r w:rsidR="00CE3831" w:rsidRPr="00B03236">
        <w:rPr>
          <w:lang w:val="en-US"/>
        </w:rPr>
        <w:t xml:space="preserve">RSA) </w:t>
      </w:r>
      <w:bookmarkEnd w:id="2"/>
      <w:r w:rsidR="00CE3831" w:rsidRPr="00B03236">
        <w:rPr>
          <w:lang w:val="en-US"/>
        </w:rPr>
        <w:t>who then shared the invitation through their networks</w:t>
      </w:r>
      <w:r>
        <w:rPr>
          <w:lang w:val="en-US"/>
        </w:rPr>
        <w:t>.</w:t>
      </w:r>
    </w:p>
    <w:p w14:paraId="15F36E2C" w14:textId="7F5B6663" w:rsidR="00CE3831" w:rsidRPr="00B03236" w:rsidRDefault="007139BF" w:rsidP="00010716">
      <w:pPr>
        <w:pStyle w:val="ListBullet"/>
        <w:rPr>
          <w:lang w:val="en-US"/>
        </w:rPr>
      </w:pPr>
      <w:r>
        <w:rPr>
          <w:lang w:val="en-US"/>
        </w:rPr>
        <w:t>A</w:t>
      </w:r>
      <w:r w:rsidR="00CE3831" w:rsidRPr="00CE3831">
        <w:rPr>
          <w:lang w:val="en-US"/>
        </w:rPr>
        <w:t xml:space="preserve">dvertisement through Kidney Health Australia’s social media channels </w:t>
      </w:r>
      <w:r w:rsidR="00F32253">
        <w:rPr>
          <w:lang w:val="en-US"/>
        </w:rPr>
        <w:t xml:space="preserve">(post reach </w:t>
      </w:r>
      <w:r w:rsidR="00F32253" w:rsidRPr="00F32253">
        <w:rPr>
          <w:lang w:val="en-US"/>
        </w:rPr>
        <w:t>6536</w:t>
      </w:r>
      <w:r w:rsidR="00F32253">
        <w:rPr>
          <w:lang w:val="en-US"/>
        </w:rPr>
        <w:t xml:space="preserve">) </w:t>
      </w:r>
      <w:r w:rsidR="00CE3831" w:rsidRPr="00CE3831">
        <w:rPr>
          <w:lang w:val="en-US"/>
        </w:rPr>
        <w:t>and on the Kidney Health Australia website</w:t>
      </w:r>
      <w:r w:rsidR="00F32253">
        <w:rPr>
          <w:lang w:val="en-US"/>
        </w:rPr>
        <w:t xml:space="preserve">. </w:t>
      </w:r>
    </w:p>
    <w:p w14:paraId="2365636B" w14:textId="7B7DDDD1" w:rsidR="00371D94" w:rsidRDefault="00371D94" w:rsidP="00CE3831">
      <w:pPr>
        <w:spacing w:after="0" w:line="240" w:lineRule="auto"/>
        <w:rPr>
          <w:rFonts w:ascii="Calibri" w:eastAsia="MS Mincho" w:hAnsi="Calibri" w:cs="Arial"/>
          <w:lang w:val="en-US"/>
        </w:rPr>
      </w:pPr>
      <w:r w:rsidRPr="00371D94">
        <w:rPr>
          <w:rFonts w:ascii="Calibri" w:eastAsia="MS Mincho" w:hAnsi="Calibri" w:cs="Arial"/>
          <w:lang w:val="en-US"/>
        </w:rPr>
        <w:t xml:space="preserve">The response to the consumer consultation survey exceeded expectations, over 2,500 people (including consumers, healthcare professionals, researchers, policy makers and peak bodies) responded to the survey – 1,800 of those within the first 48 hours of the survey going live. This included 1,136 responses from patients and 554 from </w:t>
      </w:r>
      <w:proofErr w:type="spellStart"/>
      <w:r w:rsidRPr="00371D94">
        <w:rPr>
          <w:rFonts w:ascii="Calibri" w:eastAsia="MS Mincho" w:hAnsi="Calibri" w:cs="Arial"/>
          <w:lang w:val="en-US"/>
        </w:rPr>
        <w:t>carers</w:t>
      </w:r>
      <w:proofErr w:type="spellEnd"/>
      <w:r w:rsidRPr="00371D94">
        <w:rPr>
          <w:rFonts w:ascii="Calibri" w:eastAsia="MS Mincho" w:hAnsi="Calibri" w:cs="Arial"/>
          <w:lang w:val="en-US"/>
        </w:rPr>
        <w:t xml:space="preserve"> or family members. The response is testament to the level of engagement with the Action Plan by the kidney community.</w:t>
      </w:r>
    </w:p>
    <w:p w14:paraId="3E517EE5" w14:textId="77777777" w:rsidR="00371D94" w:rsidRDefault="00371D94" w:rsidP="00CE3831">
      <w:pPr>
        <w:spacing w:after="0" w:line="240" w:lineRule="auto"/>
        <w:rPr>
          <w:rFonts w:ascii="Calibri" w:eastAsia="MS Mincho" w:hAnsi="Calibri" w:cs="Arial"/>
          <w:lang w:val="en-US"/>
        </w:rPr>
      </w:pPr>
    </w:p>
    <w:p w14:paraId="6BBFE2B3" w14:textId="62D5B316" w:rsidR="00CE3831" w:rsidRPr="001F6499" w:rsidRDefault="00371D94" w:rsidP="00CE3831">
      <w:pPr>
        <w:spacing w:after="0" w:line="240" w:lineRule="auto"/>
        <w:rPr>
          <w:rFonts w:ascii="Calibri" w:eastAsia="MS Mincho" w:hAnsi="Calibri" w:cs="Arial"/>
          <w:lang w:val="en-US"/>
        </w:rPr>
      </w:pPr>
      <w:r w:rsidRPr="00371D94">
        <w:rPr>
          <w:rFonts w:ascii="Calibri" w:eastAsia="MS Mincho" w:hAnsi="Calibri" w:cs="Arial"/>
          <w:lang w:val="en-US"/>
        </w:rPr>
        <w:t xml:space="preserve">The full results of this survey are provided in Appendix </w:t>
      </w:r>
      <w:r>
        <w:rPr>
          <w:rFonts w:ascii="Calibri" w:eastAsia="MS Mincho" w:hAnsi="Calibri" w:cs="Arial"/>
          <w:lang w:val="en-US"/>
        </w:rPr>
        <w:t xml:space="preserve">2. In summary, </w:t>
      </w:r>
      <w:r w:rsidR="00CE3831" w:rsidRPr="00CE3831">
        <w:rPr>
          <w:rFonts w:ascii="Calibri" w:eastAsia="MS Mincho" w:hAnsi="Calibri" w:cs="Arial"/>
          <w:lang w:val="en-US"/>
        </w:rPr>
        <w:t xml:space="preserve">there was high levels of support for the proposed </w:t>
      </w:r>
      <w:r w:rsidR="00793452">
        <w:rPr>
          <w:rFonts w:ascii="Calibri" w:eastAsia="MS Mincho" w:hAnsi="Calibri" w:cs="Arial"/>
          <w:lang w:val="en-US"/>
        </w:rPr>
        <w:t xml:space="preserve">priorities and </w:t>
      </w:r>
      <w:r w:rsidR="00CE3831" w:rsidRPr="00CE3831">
        <w:rPr>
          <w:rFonts w:ascii="Calibri" w:eastAsia="MS Mincho" w:hAnsi="Calibri" w:cs="Arial"/>
          <w:lang w:val="en-US"/>
        </w:rPr>
        <w:t xml:space="preserve">actions, in particular the focus on prevention and research. Key additional themes were identified around financial and psychosocial support for people with kidney disease and </w:t>
      </w:r>
      <w:proofErr w:type="spellStart"/>
      <w:r w:rsidR="00CE3831" w:rsidRPr="00CE3831">
        <w:rPr>
          <w:rFonts w:ascii="Calibri" w:eastAsia="MS Mincho" w:hAnsi="Calibri" w:cs="Arial"/>
          <w:lang w:val="en-US"/>
        </w:rPr>
        <w:t>carers</w:t>
      </w:r>
      <w:proofErr w:type="spellEnd"/>
      <w:r w:rsidR="00CE3831" w:rsidRPr="00CE3831">
        <w:rPr>
          <w:rFonts w:ascii="Calibri" w:eastAsia="MS Mincho" w:hAnsi="Calibri" w:cs="Arial"/>
          <w:lang w:val="en-US"/>
        </w:rPr>
        <w:t>. Financial hardship and mental health issues were consistently raised as key issue facing people with kidney disease. Analysis of the survey results led to several key amendments to the draft strategy, including reducing the number of priorities from five to three and increasing the focus on patient and carer support.</w:t>
      </w:r>
    </w:p>
    <w:p w14:paraId="55E67FCF" w14:textId="77777777" w:rsidR="00E65053" w:rsidRDefault="00E65053" w:rsidP="00CE3831">
      <w:pPr>
        <w:spacing w:after="0" w:line="240" w:lineRule="auto"/>
        <w:rPr>
          <w:rFonts w:ascii="Calibri" w:eastAsia="MS Mincho" w:hAnsi="Calibri" w:cs="Arial"/>
          <w:color w:val="FF0000"/>
          <w:sz w:val="28"/>
          <w:szCs w:val="28"/>
          <w:lang w:val="en-US"/>
        </w:rPr>
      </w:pPr>
    </w:p>
    <w:p w14:paraId="3B68E12B" w14:textId="2BA43734" w:rsidR="00CE3831" w:rsidRPr="00A41391" w:rsidRDefault="00CE3831" w:rsidP="00010716">
      <w:pPr>
        <w:pStyle w:val="Kidneysubheading"/>
        <w:rPr>
          <w:color w:val="C00000"/>
        </w:rPr>
      </w:pPr>
      <w:r w:rsidRPr="00A41391">
        <w:rPr>
          <w:color w:val="C00000"/>
        </w:rPr>
        <w:t>5. Individual Interviews</w:t>
      </w:r>
    </w:p>
    <w:p w14:paraId="3E1D868B" w14:textId="77777777" w:rsidR="00CE3831" w:rsidRPr="001F0065" w:rsidRDefault="00CE3831" w:rsidP="00010716">
      <w:pPr>
        <w:pStyle w:val="KidneyHeading3"/>
        <w:rPr>
          <w:color w:val="000000" w:themeColor="text1"/>
        </w:rPr>
      </w:pPr>
      <w:r w:rsidRPr="001F0065">
        <w:rPr>
          <w:color w:val="000000" w:themeColor="text1"/>
        </w:rPr>
        <w:t xml:space="preserve">Representatives of State and Territory Governments </w:t>
      </w:r>
    </w:p>
    <w:p w14:paraId="0DBF58E4" w14:textId="77777777" w:rsidR="00CE3831" w:rsidRPr="00CE3831" w:rsidRDefault="00CE3831" w:rsidP="00CE3831">
      <w:pPr>
        <w:spacing w:after="0" w:line="240" w:lineRule="auto"/>
        <w:rPr>
          <w:rFonts w:ascii="Calibri" w:eastAsia="MS Mincho" w:hAnsi="Calibri" w:cs="Arial"/>
          <w:lang w:val="en-US"/>
        </w:rPr>
      </w:pPr>
      <w:r w:rsidRPr="00CE3831">
        <w:rPr>
          <w:rFonts w:ascii="Calibri" w:eastAsia="MS Mincho" w:hAnsi="Calibri" w:cs="Arial"/>
          <w:lang w:val="en-US"/>
        </w:rPr>
        <w:t xml:space="preserve">Kidney Health Australia conducted interviews with representatives from each state and territory health departments. This included representatives from Renal Clinical Networks, policy and program managers and healthcare practitioners. </w:t>
      </w:r>
    </w:p>
    <w:p w14:paraId="00C1E6DE" w14:textId="77777777" w:rsidR="00CE3831" w:rsidRPr="00CE3831" w:rsidRDefault="00CE3831" w:rsidP="00CE3831">
      <w:pPr>
        <w:spacing w:after="0" w:line="240" w:lineRule="auto"/>
        <w:rPr>
          <w:rFonts w:ascii="Calibri" w:eastAsia="MS Mincho" w:hAnsi="Calibri" w:cs="Arial"/>
          <w:lang w:val="en-US"/>
        </w:rPr>
      </w:pPr>
    </w:p>
    <w:p w14:paraId="1CB482E2" w14:textId="2F5D0976" w:rsidR="008C3A51" w:rsidRDefault="00CE3831" w:rsidP="00CE3831">
      <w:pPr>
        <w:spacing w:after="0" w:line="240" w:lineRule="auto"/>
        <w:rPr>
          <w:rFonts w:ascii="Calibri" w:eastAsia="MS Mincho" w:hAnsi="Calibri" w:cs="Arial"/>
          <w:lang w:val="en-US"/>
        </w:rPr>
      </w:pPr>
      <w:r w:rsidRPr="00CE3831">
        <w:rPr>
          <w:rFonts w:ascii="Calibri" w:eastAsia="MS Mincho" w:hAnsi="Calibri" w:cs="Arial"/>
          <w:lang w:val="en-US"/>
        </w:rPr>
        <w:t>Departments were contacted via email in August 2018, which included information about the development of the Action Plan, and interviews were conducted between September and November 2018. Topics covered during interviews included:</w:t>
      </w:r>
    </w:p>
    <w:p w14:paraId="1F40BA9A" w14:textId="77777777" w:rsidR="009F442A" w:rsidRPr="00CE3831" w:rsidRDefault="009F442A" w:rsidP="00CE3831">
      <w:pPr>
        <w:spacing w:after="0" w:line="240" w:lineRule="auto"/>
        <w:rPr>
          <w:rFonts w:ascii="Calibri" w:eastAsia="MS Mincho" w:hAnsi="Calibri" w:cs="Arial"/>
          <w:lang w:val="en-US"/>
        </w:rPr>
      </w:pPr>
    </w:p>
    <w:p w14:paraId="2638CFF5" w14:textId="77777777" w:rsidR="00CE3831" w:rsidRPr="00CE3831" w:rsidRDefault="00CE3831" w:rsidP="00010716">
      <w:pPr>
        <w:pStyle w:val="ListBullet"/>
        <w:rPr>
          <w:lang w:val="en-US"/>
        </w:rPr>
      </w:pPr>
      <w:r w:rsidRPr="00CE3831">
        <w:rPr>
          <w:lang w:val="en-US"/>
        </w:rPr>
        <w:t>Current kidney disease policies and programs, from prevention and treatment to financial and other support available.</w:t>
      </w:r>
    </w:p>
    <w:p w14:paraId="6C8EA36F" w14:textId="0F90B343" w:rsidR="00CE3831" w:rsidRPr="00CE3831" w:rsidRDefault="00CE3831" w:rsidP="00010716">
      <w:pPr>
        <w:pStyle w:val="ListBullet"/>
        <w:rPr>
          <w:lang w:val="en-US"/>
        </w:rPr>
      </w:pPr>
      <w:r w:rsidRPr="00CE3831">
        <w:rPr>
          <w:lang w:val="en-US"/>
        </w:rPr>
        <w:t>Areas where there are identified gaps in services, programs and policy</w:t>
      </w:r>
      <w:r w:rsidR="007139BF">
        <w:rPr>
          <w:lang w:val="en-US"/>
        </w:rPr>
        <w:t>.</w:t>
      </w:r>
    </w:p>
    <w:p w14:paraId="3720CF13" w14:textId="3D39C5F1" w:rsidR="00CE3831" w:rsidRPr="00CE3831" w:rsidRDefault="00CE3831" w:rsidP="00010716">
      <w:pPr>
        <w:pStyle w:val="ListBullet"/>
        <w:rPr>
          <w:lang w:val="en-US"/>
        </w:rPr>
      </w:pPr>
      <w:r w:rsidRPr="00CE3831">
        <w:rPr>
          <w:lang w:val="en-US"/>
        </w:rPr>
        <w:t>The highest priority areas identified for action</w:t>
      </w:r>
      <w:r w:rsidR="007139BF">
        <w:rPr>
          <w:lang w:val="en-US"/>
        </w:rPr>
        <w:t>.</w:t>
      </w:r>
    </w:p>
    <w:p w14:paraId="3693BF0F" w14:textId="77777777" w:rsidR="00CE3831" w:rsidRPr="00CE3831" w:rsidRDefault="00CE3831" w:rsidP="00CE3831">
      <w:pPr>
        <w:spacing w:after="0" w:line="240" w:lineRule="auto"/>
        <w:rPr>
          <w:rFonts w:ascii="Calibri" w:eastAsia="MS Mincho" w:hAnsi="Calibri" w:cs="Arial"/>
          <w:color w:val="000000"/>
          <w:lang w:val="en-US"/>
        </w:rPr>
      </w:pPr>
      <w:r w:rsidRPr="00CE3831">
        <w:rPr>
          <w:rFonts w:ascii="Calibri" w:eastAsia="MS Mincho" w:hAnsi="Calibri" w:cs="Arial"/>
          <w:color w:val="000000"/>
          <w:lang w:val="en-US"/>
        </w:rPr>
        <w:lastRenderedPageBreak/>
        <w:t>A wide range of issues were covered including: successful models of care, workforce requirements, resource planning, gaps in service delivery, and a range of factors influencing patient quality of life.</w:t>
      </w:r>
    </w:p>
    <w:p w14:paraId="5D1573E5" w14:textId="77777777" w:rsidR="00CE3831" w:rsidRPr="00CE3831" w:rsidRDefault="00CE3831" w:rsidP="00CE3831">
      <w:pPr>
        <w:spacing w:after="0" w:line="240" w:lineRule="auto"/>
        <w:rPr>
          <w:rFonts w:ascii="Calibri" w:eastAsia="MS Mincho" w:hAnsi="Calibri" w:cs="Arial"/>
          <w:color w:val="000000"/>
          <w:lang w:val="en-US"/>
        </w:rPr>
      </w:pPr>
    </w:p>
    <w:p w14:paraId="1B0C0E81" w14:textId="11436B68" w:rsidR="00CE3831" w:rsidRDefault="00CE3831" w:rsidP="00CE3831">
      <w:pPr>
        <w:spacing w:after="0" w:line="240" w:lineRule="auto"/>
        <w:rPr>
          <w:rFonts w:ascii="Calibri" w:eastAsia="MS Mincho" w:hAnsi="Calibri" w:cs="Arial"/>
          <w:color w:val="000000"/>
          <w:lang w:val="en-US"/>
        </w:rPr>
      </w:pPr>
      <w:r w:rsidRPr="00CE3831">
        <w:rPr>
          <w:rFonts w:ascii="Calibri" w:eastAsia="MS Mincho" w:hAnsi="Calibri" w:cs="Arial"/>
          <w:color w:val="000000"/>
          <w:lang w:val="en-US"/>
        </w:rPr>
        <w:t>A number of key themes emerged from these discussions, including:</w:t>
      </w:r>
    </w:p>
    <w:p w14:paraId="627C36DE" w14:textId="77777777" w:rsidR="009F442A" w:rsidRPr="00CE3831" w:rsidRDefault="009F442A" w:rsidP="00CE3831">
      <w:pPr>
        <w:spacing w:after="0" w:line="240" w:lineRule="auto"/>
        <w:rPr>
          <w:rFonts w:ascii="Calibri" w:eastAsia="MS Mincho" w:hAnsi="Calibri" w:cs="Arial"/>
          <w:color w:val="000000"/>
          <w:lang w:val="en-US"/>
        </w:rPr>
      </w:pPr>
    </w:p>
    <w:p w14:paraId="38953D6F" w14:textId="77777777" w:rsidR="00CE3831" w:rsidRPr="00CE3831" w:rsidRDefault="00CE3831" w:rsidP="00782640">
      <w:pPr>
        <w:numPr>
          <w:ilvl w:val="0"/>
          <w:numId w:val="21"/>
        </w:numPr>
        <w:spacing w:after="0" w:line="240" w:lineRule="auto"/>
        <w:contextualSpacing/>
        <w:rPr>
          <w:rFonts w:ascii="Calibri" w:eastAsia="MS Mincho" w:hAnsi="Calibri" w:cs="Arial"/>
          <w:color w:val="000000"/>
          <w:lang w:val="en-US"/>
        </w:rPr>
      </w:pPr>
      <w:r w:rsidRPr="00CE3831">
        <w:rPr>
          <w:rFonts w:ascii="Calibri" w:eastAsia="MS Mincho" w:hAnsi="Calibri" w:cs="Arial"/>
          <w:color w:val="000000"/>
          <w:lang w:val="en-US"/>
        </w:rPr>
        <w:t>The need for consistency in quality of care across Australia including integrated care from diagnosis onwards and genuine choice in treatment options.</w:t>
      </w:r>
    </w:p>
    <w:p w14:paraId="5062AB9B" w14:textId="77777777" w:rsidR="00CE3831" w:rsidRPr="00CE3831" w:rsidRDefault="00CE3831" w:rsidP="00782640">
      <w:pPr>
        <w:numPr>
          <w:ilvl w:val="0"/>
          <w:numId w:val="21"/>
        </w:numPr>
        <w:spacing w:after="0" w:line="240" w:lineRule="auto"/>
        <w:contextualSpacing/>
        <w:rPr>
          <w:rFonts w:ascii="Calibri" w:eastAsia="MS Mincho" w:hAnsi="Calibri" w:cs="Arial"/>
          <w:color w:val="000000"/>
          <w:lang w:val="en-US"/>
        </w:rPr>
      </w:pPr>
      <w:r w:rsidRPr="00CE3831">
        <w:rPr>
          <w:rFonts w:ascii="Calibri" w:eastAsia="MS Mincho" w:hAnsi="Calibri" w:cs="Arial"/>
          <w:color w:val="000000"/>
          <w:lang w:val="en-US"/>
        </w:rPr>
        <w:t>The need for additional resources to expand dialysis capacity, with gaps identified in both metropolitan and regional areas.</w:t>
      </w:r>
    </w:p>
    <w:p w14:paraId="745E42CE" w14:textId="77777777" w:rsidR="00CE3831" w:rsidRPr="00CE3831" w:rsidRDefault="00CE3831" w:rsidP="00782640">
      <w:pPr>
        <w:numPr>
          <w:ilvl w:val="0"/>
          <w:numId w:val="21"/>
        </w:numPr>
        <w:spacing w:after="0" w:line="240" w:lineRule="auto"/>
        <w:contextualSpacing/>
        <w:rPr>
          <w:rFonts w:ascii="Calibri" w:eastAsia="MS Mincho" w:hAnsi="Calibri" w:cs="Arial"/>
          <w:color w:val="000000"/>
          <w:lang w:val="en-US"/>
        </w:rPr>
      </w:pPr>
      <w:r w:rsidRPr="00CE3831">
        <w:rPr>
          <w:rFonts w:ascii="Calibri" w:eastAsia="MS Mincho" w:hAnsi="Calibri" w:cs="Arial"/>
          <w:color w:val="000000"/>
          <w:lang w:val="en-US"/>
        </w:rPr>
        <w:t xml:space="preserve">The challenges of delivering care in rural and remote areas, including Aboriginal and Torres Strait Islander communities. </w:t>
      </w:r>
    </w:p>
    <w:p w14:paraId="5F35CF72" w14:textId="77777777" w:rsidR="00CE3831" w:rsidRPr="00CE3831" w:rsidRDefault="00CE3831" w:rsidP="00782640">
      <w:pPr>
        <w:numPr>
          <w:ilvl w:val="0"/>
          <w:numId w:val="21"/>
        </w:numPr>
        <w:spacing w:after="0" w:line="240" w:lineRule="auto"/>
        <w:contextualSpacing/>
        <w:rPr>
          <w:rFonts w:ascii="Calibri" w:eastAsia="MS Mincho" w:hAnsi="Calibri" w:cs="Arial"/>
          <w:color w:val="000000"/>
          <w:lang w:val="en-US"/>
        </w:rPr>
      </w:pPr>
      <w:r w:rsidRPr="00CE3831">
        <w:rPr>
          <w:rFonts w:ascii="Calibri" w:eastAsia="MS Mincho" w:hAnsi="Calibri" w:cs="Arial"/>
          <w:color w:val="000000"/>
          <w:lang w:val="en-US"/>
        </w:rPr>
        <w:t>The importance of on-country care and community driven programs in Aboriginal and Torres Strait Islander communities.</w:t>
      </w:r>
    </w:p>
    <w:p w14:paraId="2E6436EF" w14:textId="77777777" w:rsidR="00CE3831" w:rsidRPr="00CE3831" w:rsidRDefault="00CE3831" w:rsidP="00782640">
      <w:pPr>
        <w:numPr>
          <w:ilvl w:val="0"/>
          <w:numId w:val="21"/>
        </w:numPr>
        <w:spacing w:after="0" w:line="240" w:lineRule="auto"/>
        <w:contextualSpacing/>
        <w:rPr>
          <w:rFonts w:ascii="Calibri" w:eastAsia="MS Mincho" w:hAnsi="Calibri" w:cs="Arial"/>
          <w:color w:val="000000"/>
          <w:lang w:val="en-US"/>
        </w:rPr>
      </w:pPr>
      <w:r w:rsidRPr="00CE3831">
        <w:rPr>
          <w:rFonts w:ascii="Calibri" w:eastAsia="MS Mincho" w:hAnsi="Calibri" w:cs="Arial"/>
          <w:color w:val="000000"/>
          <w:lang w:val="en-US"/>
        </w:rPr>
        <w:t>The financial impact of chronic kidney disease (CKD) on patients and families including transport costs, parking, inability to work and need for ongoing care.</w:t>
      </w:r>
    </w:p>
    <w:p w14:paraId="559C4597" w14:textId="77777777" w:rsidR="00CE3831" w:rsidRPr="00CE3831" w:rsidRDefault="00CE3831" w:rsidP="00782640">
      <w:pPr>
        <w:numPr>
          <w:ilvl w:val="0"/>
          <w:numId w:val="21"/>
        </w:numPr>
        <w:spacing w:after="0" w:line="240" w:lineRule="auto"/>
        <w:contextualSpacing/>
        <w:rPr>
          <w:rFonts w:ascii="Calibri" w:eastAsia="MS Mincho" w:hAnsi="Calibri" w:cs="Arial"/>
          <w:color w:val="000000"/>
          <w:lang w:val="en-US"/>
        </w:rPr>
      </w:pPr>
      <w:r w:rsidRPr="00CE3831">
        <w:rPr>
          <w:rFonts w:ascii="Calibri" w:eastAsia="MS Mincho" w:hAnsi="Calibri" w:cs="Arial"/>
          <w:color w:val="000000"/>
          <w:lang w:val="en-US"/>
        </w:rPr>
        <w:t>Lack of ongoing psychosocial/mental health support for patients and families.</w:t>
      </w:r>
    </w:p>
    <w:p w14:paraId="672698BB" w14:textId="77777777" w:rsidR="00CE3831" w:rsidRPr="00CE3831" w:rsidRDefault="00CE3831" w:rsidP="00CE3831">
      <w:pPr>
        <w:spacing w:after="0" w:line="240" w:lineRule="auto"/>
        <w:rPr>
          <w:rFonts w:ascii="Calibri" w:eastAsia="MS Mincho" w:hAnsi="Calibri" w:cs="Arial"/>
          <w:color w:val="FF0000"/>
          <w:lang w:val="en-US"/>
        </w:rPr>
      </w:pPr>
    </w:p>
    <w:p w14:paraId="4EBE26D5" w14:textId="5C97F972" w:rsidR="00CE3831" w:rsidRPr="001F6499" w:rsidRDefault="00CE3831" w:rsidP="00010716">
      <w:pPr>
        <w:pStyle w:val="KidneyHeading3"/>
      </w:pPr>
      <w:r w:rsidRPr="001F0065">
        <w:rPr>
          <w:color w:val="000000" w:themeColor="text1"/>
        </w:rPr>
        <w:t xml:space="preserve">Aboriginal and Torres Strait Islander kidney health </w:t>
      </w:r>
      <w:r w:rsidR="00BB195A" w:rsidRPr="001F0065">
        <w:rPr>
          <w:color w:val="000000" w:themeColor="text1"/>
        </w:rPr>
        <w:t>groups and individuals</w:t>
      </w:r>
      <w:r w:rsidR="00BB195A" w:rsidRPr="001F6499">
        <w:t xml:space="preserve"> </w:t>
      </w:r>
    </w:p>
    <w:p w14:paraId="25E98B60" w14:textId="241F0923" w:rsidR="009F442A" w:rsidRPr="00CE3831" w:rsidRDefault="00CE3831" w:rsidP="00CE3831">
      <w:pPr>
        <w:spacing w:after="0" w:line="240" w:lineRule="auto"/>
        <w:rPr>
          <w:rFonts w:ascii="Calibri" w:eastAsia="MS Mincho" w:hAnsi="Calibri" w:cs="Arial"/>
          <w:lang w:val="en-US"/>
        </w:rPr>
      </w:pPr>
      <w:r w:rsidRPr="00CE3831">
        <w:rPr>
          <w:rFonts w:ascii="Calibri" w:eastAsia="MS Mincho" w:hAnsi="Calibri" w:cs="Arial"/>
          <w:lang w:val="en-US"/>
        </w:rPr>
        <w:t xml:space="preserve">Kidney Health Australia engaged the Aboriginal and Torres Strait Islander community throughout the development of the Action Plan. </w:t>
      </w:r>
      <w:r w:rsidR="003B46F9">
        <w:rPr>
          <w:rFonts w:ascii="Calibri" w:eastAsia="MS Mincho" w:hAnsi="Calibri" w:cs="Arial"/>
          <w:lang w:val="en-US"/>
        </w:rPr>
        <w:t>The consultation included:</w:t>
      </w:r>
    </w:p>
    <w:p w14:paraId="30A5895C" w14:textId="77777777" w:rsidR="00CE3831" w:rsidRPr="00CE3831" w:rsidRDefault="00CE3831" w:rsidP="00CE3831">
      <w:pPr>
        <w:spacing w:after="0" w:line="240" w:lineRule="auto"/>
        <w:rPr>
          <w:rFonts w:ascii="Calibri" w:eastAsia="MS Mincho" w:hAnsi="Calibri" w:cs="Arial"/>
          <w:lang w:val="en-US"/>
        </w:rPr>
      </w:pPr>
    </w:p>
    <w:p w14:paraId="36CFBDC2" w14:textId="78376976" w:rsidR="003B46F9" w:rsidRDefault="003B46F9" w:rsidP="00782640">
      <w:pPr>
        <w:numPr>
          <w:ilvl w:val="0"/>
          <w:numId w:val="22"/>
        </w:numPr>
        <w:spacing w:after="0" w:line="240" w:lineRule="auto"/>
        <w:contextualSpacing/>
        <w:rPr>
          <w:rFonts w:ascii="Calibri" w:eastAsia="MS Mincho" w:hAnsi="Calibri" w:cs="Arial"/>
          <w:lang w:val="en-US"/>
        </w:rPr>
      </w:pPr>
      <w:r w:rsidRPr="003B46F9">
        <w:rPr>
          <w:rFonts w:ascii="Calibri" w:eastAsia="MS Mincho" w:hAnsi="Calibri" w:cs="Arial"/>
          <w:lang w:val="en-US"/>
        </w:rPr>
        <w:t>National Aboriginal Community Controlled Health Organisation (NACCHO) and affiliated</w:t>
      </w:r>
      <w:r>
        <w:rPr>
          <w:rFonts w:ascii="Calibri" w:eastAsia="MS Mincho" w:hAnsi="Calibri" w:cs="Arial"/>
          <w:lang w:val="en-US"/>
        </w:rPr>
        <w:t xml:space="preserve"> </w:t>
      </w:r>
      <w:r w:rsidRPr="003B46F9">
        <w:rPr>
          <w:rFonts w:ascii="Calibri" w:eastAsia="MS Mincho" w:hAnsi="Calibri" w:cs="Arial"/>
          <w:lang w:val="en-US"/>
        </w:rPr>
        <w:t>Aboriginal Community Controlled Health Organisations (ACCHOs)</w:t>
      </w:r>
    </w:p>
    <w:p w14:paraId="48690867" w14:textId="29F4FE62" w:rsidR="003B46F9" w:rsidRPr="003B46F9" w:rsidRDefault="003B46F9" w:rsidP="00782640">
      <w:pPr>
        <w:numPr>
          <w:ilvl w:val="0"/>
          <w:numId w:val="22"/>
        </w:numPr>
        <w:spacing w:after="0" w:line="240" w:lineRule="auto"/>
        <w:contextualSpacing/>
        <w:rPr>
          <w:rFonts w:ascii="Calibri" w:eastAsia="MS Mincho" w:hAnsi="Calibri" w:cs="Arial"/>
          <w:lang w:val="en-US"/>
        </w:rPr>
      </w:pPr>
      <w:r w:rsidRPr="003B46F9">
        <w:rPr>
          <w:rFonts w:ascii="Calibri" w:eastAsia="MS Mincho" w:hAnsi="Calibri" w:cs="Arial"/>
          <w:lang w:val="en-US"/>
        </w:rPr>
        <w:t>Aboriginal Medical Services Alliance Northern Territory (AMSANT)</w:t>
      </w:r>
    </w:p>
    <w:p w14:paraId="0038BB4A" w14:textId="77777777" w:rsidR="00CE3831" w:rsidRPr="00CE3831" w:rsidRDefault="00CE3831" w:rsidP="00782640">
      <w:pPr>
        <w:numPr>
          <w:ilvl w:val="0"/>
          <w:numId w:val="22"/>
        </w:numPr>
        <w:spacing w:after="0" w:line="240" w:lineRule="auto"/>
        <w:contextualSpacing/>
        <w:rPr>
          <w:rFonts w:ascii="Calibri" w:eastAsia="MS Mincho" w:hAnsi="Calibri" w:cs="Arial"/>
          <w:lang w:val="en-US"/>
        </w:rPr>
      </w:pPr>
      <w:r w:rsidRPr="00CE3831">
        <w:rPr>
          <w:rFonts w:ascii="Calibri" w:eastAsia="MS Mincho" w:hAnsi="Calibri" w:cs="Arial"/>
          <w:lang w:val="en-US"/>
        </w:rPr>
        <w:t xml:space="preserve">Purple House (Western Desert </w:t>
      </w:r>
      <w:proofErr w:type="spellStart"/>
      <w:r w:rsidRPr="00CE3831">
        <w:rPr>
          <w:rFonts w:ascii="Calibri" w:eastAsia="MS Mincho" w:hAnsi="Calibri" w:cs="Arial"/>
          <w:lang w:val="en-US"/>
        </w:rPr>
        <w:t>Nganampa</w:t>
      </w:r>
      <w:proofErr w:type="spellEnd"/>
      <w:r w:rsidRPr="00CE3831">
        <w:rPr>
          <w:rFonts w:ascii="Calibri" w:eastAsia="MS Mincho" w:hAnsi="Calibri" w:cs="Arial"/>
          <w:lang w:val="en-US"/>
        </w:rPr>
        <w:t xml:space="preserve"> </w:t>
      </w:r>
      <w:proofErr w:type="spellStart"/>
      <w:r w:rsidRPr="00CE3831">
        <w:rPr>
          <w:rFonts w:ascii="Calibri" w:eastAsia="MS Mincho" w:hAnsi="Calibri" w:cs="Arial"/>
          <w:lang w:val="en-US"/>
        </w:rPr>
        <w:t>Walytja</w:t>
      </w:r>
      <w:proofErr w:type="spellEnd"/>
      <w:r w:rsidRPr="00CE3831">
        <w:rPr>
          <w:rFonts w:ascii="Calibri" w:eastAsia="MS Mincho" w:hAnsi="Calibri" w:cs="Arial"/>
          <w:lang w:val="en-US"/>
        </w:rPr>
        <w:t xml:space="preserve"> </w:t>
      </w:r>
      <w:proofErr w:type="spellStart"/>
      <w:r w:rsidRPr="00CE3831">
        <w:rPr>
          <w:rFonts w:ascii="Calibri" w:eastAsia="MS Mincho" w:hAnsi="Calibri" w:cs="Arial"/>
          <w:lang w:val="en-US"/>
        </w:rPr>
        <w:t>Palyantjaku</w:t>
      </w:r>
      <w:proofErr w:type="spellEnd"/>
      <w:r w:rsidRPr="00CE3831">
        <w:rPr>
          <w:rFonts w:ascii="Calibri" w:eastAsia="MS Mincho" w:hAnsi="Calibri" w:cs="Arial"/>
          <w:lang w:val="en-US"/>
        </w:rPr>
        <w:t xml:space="preserve"> </w:t>
      </w:r>
      <w:proofErr w:type="spellStart"/>
      <w:r w:rsidRPr="00CE3831">
        <w:rPr>
          <w:rFonts w:ascii="Calibri" w:eastAsia="MS Mincho" w:hAnsi="Calibri" w:cs="Arial"/>
          <w:lang w:val="en-US"/>
        </w:rPr>
        <w:t>Tjutaku</w:t>
      </w:r>
      <w:proofErr w:type="spellEnd"/>
      <w:r w:rsidRPr="00CE3831">
        <w:rPr>
          <w:rFonts w:ascii="Calibri" w:eastAsia="MS Mincho" w:hAnsi="Calibri" w:cs="Arial"/>
          <w:lang w:val="en-US"/>
        </w:rPr>
        <w:t xml:space="preserve"> Aboriginal Corporation)</w:t>
      </w:r>
    </w:p>
    <w:p w14:paraId="510197B8" w14:textId="77777777" w:rsidR="007D6052" w:rsidRDefault="00CE3831" w:rsidP="00782640">
      <w:pPr>
        <w:numPr>
          <w:ilvl w:val="0"/>
          <w:numId w:val="22"/>
        </w:numPr>
        <w:spacing w:after="0" w:line="240" w:lineRule="auto"/>
        <w:contextualSpacing/>
        <w:rPr>
          <w:rFonts w:ascii="Calibri" w:eastAsia="MS Mincho" w:hAnsi="Calibri" w:cs="Arial"/>
          <w:lang w:val="en-US"/>
        </w:rPr>
      </w:pPr>
      <w:r w:rsidRPr="00CE3831">
        <w:rPr>
          <w:rFonts w:ascii="Calibri" w:eastAsia="MS Mincho" w:hAnsi="Calibri" w:cs="Arial"/>
          <w:lang w:val="en-US"/>
        </w:rPr>
        <w:t>Menzies School of Health Research</w:t>
      </w:r>
    </w:p>
    <w:p w14:paraId="12030C49" w14:textId="1F131197" w:rsidR="00442CD5" w:rsidRDefault="007D6052" w:rsidP="00782640">
      <w:pPr>
        <w:numPr>
          <w:ilvl w:val="0"/>
          <w:numId w:val="22"/>
        </w:numPr>
        <w:spacing w:after="0" w:line="240" w:lineRule="auto"/>
        <w:contextualSpacing/>
        <w:rPr>
          <w:rFonts w:ascii="Calibri" w:eastAsia="MS Mincho" w:hAnsi="Calibri" w:cs="Arial"/>
          <w:lang w:val="en-US"/>
        </w:rPr>
      </w:pPr>
      <w:r>
        <w:rPr>
          <w:rFonts w:ascii="Calibri" w:eastAsia="MS Mincho" w:hAnsi="Calibri" w:cs="Arial"/>
          <w:lang w:val="en-US"/>
        </w:rPr>
        <w:t>T</w:t>
      </w:r>
      <w:r w:rsidR="00442CD5">
        <w:rPr>
          <w:rFonts w:ascii="Calibri" w:eastAsia="MS Mincho" w:hAnsi="Calibri" w:cs="Arial"/>
          <w:lang w:val="en-US"/>
        </w:rPr>
        <w:t xml:space="preserve">he </w:t>
      </w:r>
      <w:proofErr w:type="spellStart"/>
      <w:r w:rsidR="00442CD5">
        <w:rPr>
          <w:rFonts w:ascii="Calibri" w:eastAsia="MS Mincho" w:hAnsi="Calibri" w:cs="Arial"/>
          <w:lang w:val="en-US"/>
        </w:rPr>
        <w:t>Lowiitja</w:t>
      </w:r>
      <w:proofErr w:type="spellEnd"/>
      <w:r w:rsidR="00442CD5">
        <w:rPr>
          <w:rFonts w:ascii="Calibri" w:eastAsia="MS Mincho" w:hAnsi="Calibri" w:cs="Arial"/>
          <w:lang w:val="en-US"/>
        </w:rPr>
        <w:t xml:space="preserve"> Institute</w:t>
      </w:r>
    </w:p>
    <w:p w14:paraId="508A707C" w14:textId="7919A6DF" w:rsidR="003B46F9" w:rsidRDefault="00442CD5" w:rsidP="00782640">
      <w:pPr>
        <w:pStyle w:val="ListParagraph"/>
        <w:numPr>
          <w:ilvl w:val="0"/>
          <w:numId w:val="22"/>
        </w:numPr>
        <w:rPr>
          <w:rFonts w:ascii="Calibri" w:eastAsia="MS Mincho" w:hAnsi="Calibri" w:cs="Arial"/>
          <w:lang w:val="en-US"/>
        </w:rPr>
      </w:pPr>
      <w:r>
        <w:rPr>
          <w:rFonts w:ascii="Calibri" w:eastAsia="MS Mincho" w:hAnsi="Calibri" w:cs="Arial"/>
          <w:lang w:val="en-US"/>
        </w:rPr>
        <w:t>a</w:t>
      </w:r>
      <w:r w:rsidR="003B46F9" w:rsidRPr="003B46F9">
        <w:rPr>
          <w:rFonts w:ascii="Calibri" w:eastAsia="MS Mincho" w:hAnsi="Calibri" w:cs="Arial"/>
          <w:lang w:val="en-US"/>
        </w:rPr>
        <w:t xml:space="preserve"> registered nurse from the Aboriginal and Torres Strait Islander renal health workforce in Northern Australia</w:t>
      </w:r>
    </w:p>
    <w:p w14:paraId="4535BE6A" w14:textId="52A67FAC" w:rsidR="00442CD5" w:rsidRPr="00B03236" w:rsidRDefault="00442CD5" w:rsidP="00782640">
      <w:pPr>
        <w:pStyle w:val="ListParagraph"/>
        <w:numPr>
          <w:ilvl w:val="0"/>
          <w:numId w:val="22"/>
        </w:numPr>
        <w:spacing w:after="0" w:line="240" w:lineRule="auto"/>
        <w:rPr>
          <w:rFonts w:ascii="Calibri" w:eastAsia="MS Mincho" w:hAnsi="Calibri" w:cs="Arial"/>
          <w:lang w:val="en-US"/>
        </w:rPr>
      </w:pPr>
      <w:r w:rsidRPr="00442CD5">
        <w:rPr>
          <w:rFonts w:ascii="Calibri" w:eastAsia="MS Mincho" w:hAnsi="Calibri" w:cs="Arial"/>
          <w:lang w:val="en-US"/>
        </w:rPr>
        <w:t>the office of Minister Wyatt AM MP, Minister for Aged Care and Indigenous Health</w:t>
      </w:r>
      <w:r>
        <w:rPr>
          <w:rFonts w:ascii="Calibri" w:eastAsia="MS Mincho" w:hAnsi="Calibri" w:cs="Arial"/>
          <w:lang w:val="en-US"/>
        </w:rPr>
        <w:t>.</w:t>
      </w:r>
    </w:p>
    <w:p w14:paraId="0E6EAEEF" w14:textId="77777777" w:rsidR="00CE3831" w:rsidRPr="00442CD5" w:rsidRDefault="00CE3831" w:rsidP="00B03236">
      <w:pPr>
        <w:pStyle w:val="ListParagraph"/>
        <w:spacing w:after="0" w:line="240" w:lineRule="auto"/>
        <w:rPr>
          <w:rFonts w:ascii="Calibri" w:eastAsia="MS Mincho" w:hAnsi="Calibri" w:cs="Arial"/>
          <w:lang w:val="en-US"/>
        </w:rPr>
      </w:pPr>
    </w:p>
    <w:p w14:paraId="61A7C788" w14:textId="55AE3E3C" w:rsidR="009F442A" w:rsidRPr="00CE3831" w:rsidRDefault="003B46F9" w:rsidP="00CE3831">
      <w:pPr>
        <w:spacing w:after="0" w:line="240" w:lineRule="auto"/>
        <w:rPr>
          <w:rFonts w:ascii="Calibri" w:eastAsia="MS Mincho" w:hAnsi="Calibri" w:cs="Arial"/>
          <w:lang w:val="en-US"/>
        </w:rPr>
      </w:pPr>
      <w:r>
        <w:rPr>
          <w:rFonts w:ascii="Calibri" w:eastAsia="MS Mincho" w:hAnsi="Calibri" w:cs="Arial"/>
          <w:lang w:val="en-US"/>
        </w:rPr>
        <w:t xml:space="preserve">Detailed feedback and input </w:t>
      </w:r>
      <w:proofErr w:type="gramStart"/>
      <w:r>
        <w:rPr>
          <w:rFonts w:ascii="Calibri" w:eastAsia="MS Mincho" w:hAnsi="Calibri" w:cs="Arial"/>
          <w:lang w:val="en-US"/>
        </w:rPr>
        <w:t>was</w:t>
      </w:r>
      <w:proofErr w:type="gramEnd"/>
      <w:r>
        <w:rPr>
          <w:rFonts w:ascii="Calibri" w:eastAsia="MS Mincho" w:hAnsi="Calibri" w:cs="Arial"/>
          <w:lang w:val="en-US"/>
        </w:rPr>
        <w:t xml:space="preserve"> </w:t>
      </w:r>
      <w:r w:rsidR="00442CD5">
        <w:rPr>
          <w:rFonts w:ascii="Calibri" w:eastAsia="MS Mincho" w:hAnsi="Calibri" w:cs="Arial"/>
          <w:lang w:val="en-US"/>
        </w:rPr>
        <w:t>provided by</w:t>
      </w:r>
      <w:r>
        <w:rPr>
          <w:rFonts w:ascii="Calibri" w:eastAsia="MS Mincho" w:hAnsi="Calibri" w:cs="Arial"/>
          <w:lang w:val="en-US"/>
        </w:rPr>
        <w:t xml:space="preserve"> </w:t>
      </w:r>
      <w:r w:rsidR="00CE3831" w:rsidRPr="00CE3831">
        <w:rPr>
          <w:rFonts w:ascii="Calibri" w:eastAsia="MS Mincho" w:hAnsi="Calibri" w:cs="Arial"/>
          <w:lang w:val="en-US"/>
        </w:rPr>
        <w:t>NACCHO</w:t>
      </w:r>
      <w:r>
        <w:rPr>
          <w:rFonts w:ascii="Calibri" w:eastAsia="MS Mincho" w:hAnsi="Calibri" w:cs="Arial"/>
          <w:lang w:val="en-US"/>
        </w:rPr>
        <w:t xml:space="preserve"> and affiliated </w:t>
      </w:r>
      <w:r w:rsidR="00CE3831" w:rsidRPr="00CE3831">
        <w:rPr>
          <w:rFonts w:ascii="Calibri" w:eastAsia="MS Mincho" w:hAnsi="Calibri" w:cs="Arial"/>
          <w:lang w:val="en-US"/>
        </w:rPr>
        <w:t>ACCHO</w:t>
      </w:r>
      <w:r>
        <w:rPr>
          <w:rFonts w:ascii="Calibri" w:eastAsia="MS Mincho" w:hAnsi="Calibri" w:cs="Arial"/>
          <w:lang w:val="en-US"/>
        </w:rPr>
        <w:t xml:space="preserve">s and </w:t>
      </w:r>
      <w:r w:rsidR="00CE3831" w:rsidRPr="00CE3831">
        <w:rPr>
          <w:rFonts w:ascii="Calibri" w:eastAsia="MS Mincho" w:hAnsi="Calibri" w:cs="Arial"/>
          <w:lang w:val="en-US"/>
        </w:rPr>
        <w:t>AMSANT</w:t>
      </w:r>
      <w:r>
        <w:rPr>
          <w:rFonts w:ascii="Calibri" w:eastAsia="MS Mincho" w:hAnsi="Calibri" w:cs="Arial"/>
          <w:lang w:val="en-US"/>
        </w:rPr>
        <w:t xml:space="preserve"> </w:t>
      </w:r>
      <w:r w:rsidR="00CE3831" w:rsidRPr="00CE3831">
        <w:rPr>
          <w:rFonts w:ascii="Calibri" w:eastAsia="MS Mincho" w:hAnsi="Calibri" w:cs="Arial"/>
          <w:lang w:val="en-US"/>
        </w:rPr>
        <w:t>regarding draft actions for inclusion in the strategy</w:t>
      </w:r>
      <w:r>
        <w:rPr>
          <w:rFonts w:ascii="Calibri" w:eastAsia="MS Mincho" w:hAnsi="Calibri" w:cs="Arial"/>
          <w:lang w:val="en-US"/>
        </w:rPr>
        <w:t xml:space="preserve">. </w:t>
      </w:r>
      <w:r w:rsidR="00CE3831" w:rsidRPr="00CE3831">
        <w:rPr>
          <w:rFonts w:ascii="Calibri" w:eastAsia="MS Mincho" w:hAnsi="Calibri" w:cs="Arial"/>
          <w:lang w:val="en-US"/>
        </w:rPr>
        <w:t>Feedback focused on several key themes:</w:t>
      </w:r>
    </w:p>
    <w:p w14:paraId="0EF47365" w14:textId="77777777" w:rsidR="00CE3831" w:rsidRPr="00CE3831" w:rsidRDefault="00CE3831" w:rsidP="00CE3831">
      <w:pPr>
        <w:spacing w:after="0" w:line="240" w:lineRule="auto"/>
        <w:rPr>
          <w:rFonts w:ascii="Calibri" w:eastAsia="MS Mincho" w:hAnsi="Calibri" w:cs="Arial"/>
          <w:lang w:val="en-US"/>
        </w:rPr>
      </w:pPr>
    </w:p>
    <w:p w14:paraId="52FBA422" w14:textId="77777777" w:rsidR="00CE3831" w:rsidRPr="00CE3831" w:rsidRDefault="00CE3831" w:rsidP="00782640">
      <w:pPr>
        <w:numPr>
          <w:ilvl w:val="0"/>
          <w:numId w:val="23"/>
        </w:numPr>
        <w:spacing w:after="0" w:line="240" w:lineRule="auto"/>
        <w:contextualSpacing/>
        <w:rPr>
          <w:rFonts w:ascii="Calibri" w:eastAsia="MS Mincho" w:hAnsi="Calibri" w:cs="Arial"/>
          <w:lang w:val="en-US"/>
        </w:rPr>
      </w:pPr>
      <w:r w:rsidRPr="00CE3831">
        <w:rPr>
          <w:rFonts w:ascii="Calibri" w:eastAsia="MS Mincho" w:hAnsi="Calibri" w:cs="Arial"/>
          <w:lang w:val="en-US"/>
        </w:rPr>
        <w:t>The need for a comprehensive approach to prevention, including a strong focus on the social determinants of health, including food security, safe and affordable housing, intergenerational trauma and displacement, employment and child and maternal health.</w:t>
      </w:r>
    </w:p>
    <w:p w14:paraId="1AD4A045" w14:textId="77777777" w:rsidR="00CE3831" w:rsidRPr="00CE3831" w:rsidRDefault="00CE3831" w:rsidP="00782640">
      <w:pPr>
        <w:numPr>
          <w:ilvl w:val="0"/>
          <w:numId w:val="23"/>
        </w:numPr>
        <w:spacing w:after="0" w:line="240" w:lineRule="auto"/>
        <w:contextualSpacing/>
        <w:rPr>
          <w:rFonts w:ascii="Calibri" w:eastAsia="MS Mincho" w:hAnsi="Calibri" w:cs="Arial"/>
          <w:lang w:val="en-US"/>
        </w:rPr>
      </w:pPr>
      <w:r w:rsidRPr="00CE3831">
        <w:rPr>
          <w:rFonts w:ascii="Calibri" w:eastAsia="MS Mincho" w:hAnsi="Calibri" w:cs="Arial"/>
          <w:lang w:val="en-US"/>
        </w:rPr>
        <w:t>The need for targeted Aboriginal and Torres Strait Islander programs across each of the priority areas – participants stressed national prevention, detection and management programs are unlikely to be appropriate for Aboriginal and Torres Strait Islander communities.</w:t>
      </w:r>
    </w:p>
    <w:p w14:paraId="6A152A77" w14:textId="77777777" w:rsidR="00CE3831" w:rsidRPr="00CE3831" w:rsidRDefault="00CE3831" w:rsidP="00782640">
      <w:pPr>
        <w:numPr>
          <w:ilvl w:val="0"/>
          <w:numId w:val="23"/>
        </w:numPr>
        <w:spacing w:after="0" w:line="240" w:lineRule="auto"/>
        <w:contextualSpacing/>
        <w:rPr>
          <w:rFonts w:ascii="Calibri" w:eastAsia="MS Mincho" w:hAnsi="Calibri" w:cs="Arial"/>
          <w:lang w:val="en-US"/>
        </w:rPr>
      </w:pPr>
      <w:r w:rsidRPr="00CE3831">
        <w:rPr>
          <w:rFonts w:ascii="Calibri" w:eastAsia="MS Mincho" w:hAnsi="Calibri" w:cs="Arial"/>
          <w:lang w:val="en-US"/>
        </w:rPr>
        <w:t>The need for programs to be developed by Aboriginal and Torres Strait Islander communities, in particular models of care and workforce programs.</w:t>
      </w:r>
    </w:p>
    <w:p w14:paraId="490B084C" w14:textId="77777777" w:rsidR="00CE3831" w:rsidRPr="00CE3831" w:rsidRDefault="00CE3831" w:rsidP="00782640">
      <w:pPr>
        <w:numPr>
          <w:ilvl w:val="0"/>
          <w:numId w:val="23"/>
        </w:numPr>
        <w:spacing w:after="0" w:line="240" w:lineRule="auto"/>
        <w:contextualSpacing/>
        <w:rPr>
          <w:rFonts w:ascii="Calibri" w:eastAsia="MS Mincho" w:hAnsi="Calibri" w:cs="Arial"/>
          <w:lang w:val="en-US"/>
        </w:rPr>
      </w:pPr>
      <w:r w:rsidRPr="00CE3831">
        <w:rPr>
          <w:rFonts w:ascii="Calibri" w:eastAsia="MS Mincho" w:hAnsi="Calibri" w:cs="Arial"/>
          <w:lang w:val="en-US"/>
        </w:rPr>
        <w:t>The importance of cultural safety in all policies and programs.</w:t>
      </w:r>
    </w:p>
    <w:p w14:paraId="474A291F" w14:textId="77777777" w:rsidR="00CE3831" w:rsidRPr="00CE3831" w:rsidRDefault="00CE3831" w:rsidP="00782640">
      <w:pPr>
        <w:numPr>
          <w:ilvl w:val="0"/>
          <w:numId w:val="23"/>
        </w:numPr>
        <w:spacing w:after="0" w:line="240" w:lineRule="auto"/>
        <w:contextualSpacing/>
        <w:rPr>
          <w:rFonts w:ascii="Calibri" w:eastAsia="MS Mincho" w:hAnsi="Calibri" w:cs="Arial"/>
          <w:lang w:val="en-US"/>
        </w:rPr>
      </w:pPr>
      <w:r w:rsidRPr="00CE3831">
        <w:rPr>
          <w:rFonts w:ascii="Calibri" w:eastAsia="MS Mincho" w:hAnsi="Calibri" w:cs="Arial"/>
          <w:lang w:val="en-US"/>
        </w:rPr>
        <w:t>The importance of on-country care and programs that help patients remain in their communities.</w:t>
      </w:r>
    </w:p>
    <w:p w14:paraId="0318581E" w14:textId="77777777" w:rsidR="00CE3831" w:rsidRPr="00CE3831" w:rsidRDefault="00CE3831" w:rsidP="00CE3831">
      <w:pPr>
        <w:spacing w:after="0" w:line="240" w:lineRule="auto"/>
        <w:rPr>
          <w:rFonts w:ascii="Calibri" w:eastAsia="MS Mincho" w:hAnsi="Calibri" w:cs="Arial"/>
          <w:lang w:val="en-US"/>
        </w:rPr>
      </w:pPr>
    </w:p>
    <w:p w14:paraId="6DC0F4CF" w14:textId="18965852" w:rsidR="009F442A" w:rsidRDefault="00CE3831" w:rsidP="00CE3831">
      <w:pPr>
        <w:spacing w:after="0" w:line="240" w:lineRule="auto"/>
        <w:ind w:right="96"/>
        <w:rPr>
          <w:rFonts w:ascii="Calibri" w:eastAsia="MS Mincho" w:hAnsi="Calibri" w:cs="Arial"/>
          <w:lang w:val="en-US"/>
        </w:rPr>
      </w:pPr>
      <w:r w:rsidRPr="00CE3831">
        <w:rPr>
          <w:rFonts w:ascii="Calibri" w:eastAsia="MS Mincho" w:hAnsi="Calibri" w:cs="Arial"/>
          <w:lang w:val="en-US"/>
        </w:rPr>
        <w:t xml:space="preserve">Discussions also focused on how the Action Plan would relate to </w:t>
      </w:r>
      <w:r w:rsidR="003B46F9">
        <w:rPr>
          <w:rFonts w:ascii="Calibri" w:eastAsia="MS Mincho" w:hAnsi="Calibri" w:cs="Arial"/>
          <w:lang w:val="en-US"/>
        </w:rPr>
        <w:t>a number of</w:t>
      </w:r>
      <w:r w:rsidR="003B46F9" w:rsidRPr="00CE3831">
        <w:rPr>
          <w:rFonts w:ascii="Calibri" w:eastAsia="MS Mincho" w:hAnsi="Calibri" w:cs="Arial"/>
          <w:lang w:val="en-US"/>
        </w:rPr>
        <w:t xml:space="preserve"> </w:t>
      </w:r>
      <w:r w:rsidRPr="00CE3831">
        <w:rPr>
          <w:rFonts w:ascii="Calibri" w:eastAsia="MS Mincho" w:hAnsi="Calibri" w:cs="Arial"/>
          <w:lang w:val="en-US"/>
        </w:rPr>
        <w:t>major pieces of work related to Aboriginal and Torres Strait Islander kidney disease recently undertaken</w:t>
      </w:r>
      <w:r w:rsidR="003B46F9">
        <w:rPr>
          <w:rFonts w:ascii="Calibri" w:eastAsia="MS Mincho" w:hAnsi="Calibri" w:cs="Arial"/>
          <w:lang w:val="en-US"/>
        </w:rPr>
        <w:t xml:space="preserve">. </w:t>
      </w:r>
    </w:p>
    <w:p w14:paraId="1AAF31BE" w14:textId="77777777" w:rsidR="003B46F9" w:rsidRDefault="003B46F9" w:rsidP="00CE3831">
      <w:pPr>
        <w:spacing w:after="0" w:line="240" w:lineRule="auto"/>
        <w:ind w:right="96"/>
        <w:rPr>
          <w:rFonts w:ascii="Calibri" w:eastAsia="MS Mincho" w:hAnsi="Calibri" w:cs="Arial"/>
          <w:lang w:val="en-US"/>
        </w:rPr>
      </w:pPr>
    </w:p>
    <w:p w14:paraId="41B50867" w14:textId="37D87C3D" w:rsidR="003B46F9" w:rsidRPr="00010716" w:rsidRDefault="003B46F9" w:rsidP="00010716">
      <w:pPr>
        <w:pStyle w:val="ListBullet"/>
        <w:rPr>
          <w:i/>
          <w:iCs/>
          <w:lang w:val="en-US"/>
        </w:rPr>
      </w:pPr>
      <w:r w:rsidRPr="00010716">
        <w:rPr>
          <w:i/>
          <w:iCs/>
          <w:lang w:val="en-US"/>
        </w:rPr>
        <w:t>T</w:t>
      </w:r>
      <w:r w:rsidR="00CE3831" w:rsidRPr="00010716">
        <w:rPr>
          <w:i/>
          <w:iCs/>
          <w:lang w:val="en-US"/>
        </w:rPr>
        <w:t xml:space="preserve">he Commonwealth Government Aboriginal and Torres Strait Islander Renal Health Roadmap </w:t>
      </w:r>
    </w:p>
    <w:p w14:paraId="57F91FCF" w14:textId="21A4E576" w:rsidR="00CE3831" w:rsidRPr="00B03236" w:rsidRDefault="003B46F9" w:rsidP="00966141">
      <w:pPr>
        <w:pStyle w:val="ListBullet"/>
        <w:rPr>
          <w:lang w:val="en-US"/>
        </w:rPr>
      </w:pPr>
      <w:r w:rsidRPr="00010716">
        <w:rPr>
          <w:lang w:val="en-US"/>
        </w:rPr>
        <w:t>T</w:t>
      </w:r>
      <w:r w:rsidR="00CE3831" w:rsidRPr="00010716">
        <w:rPr>
          <w:lang w:val="en-US"/>
        </w:rPr>
        <w:t xml:space="preserve">he Transplant Society of Australia and New Zealand (TSANZ) Performance Report - </w:t>
      </w:r>
      <w:r w:rsidR="00966141" w:rsidRPr="00966141">
        <w:rPr>
          <w:i/>
          <w:iCs/>
          <w:lang w:val="en-US"/>
        </w:rPr>
        <w:t>Improving Access to and Outcomes of Kidney Transplantation for Aboriginal and Torres Strait Islander People in Australia</w:t>
      </w:r>
      <w:r w:rsidR="000E5D1E">
        <w:rPr>
          <w:lang w:val="en-US"/>
        </w:rPr>
        <w:t xml:space="preserve"> (Appendix 3).</w:t>
      </w:r>
    </w:p>
    <w:p w14:paraId="5CC00856" w14:textId="31732963" w:rsidR="003B46F9" w:rsidRPr="00B03236" w:rsidRDefault="003B46F9" w:rsidP="00010716">
      <w:pPr>
        <w:pStyle w:val="ListBullet"/>
        <w:rPr>
          <w:rFonts w:cstheme="minorHAnsi"/>
          <w:bCs/>
          <w:lang w:val="en-US"/>
        </w:rPr>
      </w:pPr>
      <w:r w:rsidRPr="00010716">
        <w:rPr>
          <w:rFonts w:cstheme="minorHAnsi"/>
          <w:bCs/>
          <w:i/>
          <w:iCs/>
          <w:lang w:val="en-US"/>
        </w:rPr>
        <w:t>The Kidney Health Australia Caring for Australasians with Renal Impairment (KHA-CARI) Aboriginal and Torres Strait Islander Guidelines Community Consultation</w:t>
      </w:r>
      <w:r w:rsidR="000E5D1E">
        <w:rPr>
          <w:rFonts w:cstheme="minorHAnsi"/>
          <w:bCs/>
          <w:iCs/>
          <w:lang w:val="en-US"/>
        </w:rPr>
        <w:t xml:space="preserve"> (Appendix 4).</w:t>
      </w:r>
    </w:p>
    <w:p w14:paraId="0B4628CA" w14:textId="22BC777C" w:rsidR="00CE3831" w:rsidRPr="00CE3831" w:rsidRDefault="00CE3831" w:rsidP="00CE3831">
      <w:pPr>
        <w:spacing w:after="0" w:line="240" w:lineRule="auto"/>
        <w:rPr>
          <w:rFonts w:ascii="Calibri" w:eastAsia="MS Mincho" w:hAnsi="Calibri" w:cs="Arial"/>
          <w:lang w:val="en-US"/>
        </w:rPr>
      </w:pPr>
    </w:p>
    <w:p w14:paraId="1D9776AC" w14:textId="2C2A081A" w:rsidR="00CE3831" w:rsidRDefault="00CE3831" w:rsidP="00CE3831">
      <w:pPr>
        <w:spacing w:after="0" w:line="240" w:lineRule="auto"/>
        <w:rPr>
          <w:rFonts w:ascii="Calibri" w:eastAsia="MS Mincho" w:hAnsi="Calibri" w:cs="Arial"/>
          <w:lang w:val="en-US"/>
        </w:rPr>
      </w:pPr>
      <w:r w:rsidRPr="00CE3831">
        <w:rPr>
          <w:rFonts w:ascii="Calibri" w:eastAsia="MS Mincho" w:hAnsi="Calibri" w:cs="Arial"/>
          <w:lang w:val="en-US"/>
        </w:rPr>
        <w:t xml:space="preserve">In response to </w:t>
      </w:r>
      <w:r w:rsidR="00442CD5">
        <w:rPr>
          <w:rFonts w:ascii="Calibri" w:eastAsia="MS Mincho" w:hAnsi="Calibri" w:cs="Arial"/>
          <w:lang w:val="en-US"/>
        </w:rPr>
        <w:t xml:space="preserve">all </w:t>
      </w:r>
      <w:r w:rsidRPr="00CE3831">
        <w:rPr>
          <w:rFonts w:ascii="Calibri" w:eastAsia="MS Mincho" w:hAnsi="Calibri" w:cs="Arial"/>
          <w:lang w:val="en-US"/>
        </w:rPr>
        <w:t>feedback, Kidney Health Australia raised the possibility of a separate Aboriginal and Torres Strait Islander Kidney Disease Strategy. This idea was not supported by NACCHO or AMSANT. Alternatively, Kidney Health Australia proposed that in addition to Aboriginal and Torres Strait Islander specific actions in each of the priorities, two main actions relating to Aboriginal and Torres Strait Islander kidney health be included under the objective of “Addressing the disproportionate burden of kidney disease on Aboriginal and Torres Strait Islander Communities”. These are:</w:t>
      </w:r>
    </w:p>
    <w:p w14:paraId="63858BEF" w14:textId="77777777" w:rsidR="00A061FE" w:rsidRPr="00CE3831" w:rsidRDefault="00A061FE" w:rsidP="00CE3831">
      <w:pPr>
        <w:spacing w:after="0" w:line="240" w:lineRule="auto"/>
        <w:rPr>
          <w:rFonts w:ascii="Calibri" w:eastAsia="MS Mincho" w:hAnsi="Calibri" w:cs="Arial"/>
          <w:lang w:val="en-US"/>
        </w:rPr>
      </w:pPr>
    </w:p>
    <w:p w14:paraId="7088A8E9" w14:textId="47158255" w:rsidR="00966141" w:rsidRPr="00966141" w:rsidRDefault="00966141" w:rsidP="00966141">
      <w:pPr>
        <w:pStyle w:val="ListNumber"/>
        <w:rPr>
          <w:lang w:val="en-US"/>
        </w:rPr>
      </w:pPr>
      <w:r w:rsidRPr="00966141">
        <w:rPr>
          <w:lang w:val="en-US"/>
        </w:rPr>
        <w:t xml:space="preserve">Implement the </w:t>
      </w:r>
      <w:r w:rsidRPr="00966141">
        <w:rPr>
          <w:i/>
          <w:lang w:val="en-US"/>
        </w:rPr>
        <w:t>Aboriginal and Torres Strait Islander Renal Health Roadmap.</w:t>
      </w:r>
    </w:p>
    <w:p w14:paraId="46A6E47A" w14:textId="085CB748" w:rsidR="00CE3831" w:rsidRPr="00966141" w:rsidRDefault="00966141" w:rsidP="00966141">
      <w:pPr>
        <w:pStyle w:val="ListNumber"/>
        <w:rPr>
          <w:lang w:val="en-US"/>
        </w:rPr>
      </w:pPr>
      <w:r w:rsidRPr="00966141">
        <w:rPr>
          <w:lang w:val="en-US"/>
        </w:rPr>
        <w:t>Assist the National Indigenous Kidney Tr</w:t>
      </w:r>
      <w:r>
        <w:rPr>
          <w:lang w:val="en-US"/>
        </w:rPr>
        <w:t xml:space="preserve">ansplantation Taskforce (NIKTT) </w:t>
      </w:r>
      <w:r w:rsidRPr="00966141">
        <w:rPr>
          <w:lang w:val="en-US"/>
        </w:rPr>
        <w:t xml:space="preserve">where required to implement the recommendations of the </w:t>
      </w:r>
      <w:r w:rsidRPr="00966141">
        <w:rPr>
          <w:i/>
          <w:lang w:val="en-US"/>
        </w:rPr>
        <w:t>TSANZ Performance Report - Improving Access to and Outcomes of Kidney Transplantation for Aboriginal and Torres Strait Islander People in Australia.</w:t>
      </w:r>
    </w:p>
    <w:p w14:paraId="61EA9C1F" w14:textId="77777777" w:rsidR="00CE3831" w:rsidRPr="00CE3831" w:rsidRDefault="00CE3831" w:rsidP="00CE3831">
      <w:pPr>
        <w:spacing w:after="0" w:line="240" w:lineRule="auto"/>
        <w:rPr>
          <w:rFonts w:ascii="Calibri" w:eastAsia="MS Mincho" w:hAnsi="Calibri" w:cs="Arial"/>
          <w:lang w:val="en-US"/>
        </w:rPr>
      </w:pPr>
      <w:r w:rsidRPr="00CE3831">
        <w:rPr>
          <w:rFonts w:ascii="Calibri" w:eastAsia="MS Mincho" w:hAnsi="Calibri" w:cs="Arial"/>
          <w:lang w:val="en-US"/>
        </w:rPr>
        <w:t>This approach received broad support.</w:t>
      </w:r>
    </w:p>
    <w:p w14:paraId="00744568" w14:textId="77777777" w:rsidR="00CE3831" w:rsidRPr="00CE3831" w:rsidRDefault="00CE3831" w:rsidP="00CE3831">
      <w:pPr>
        <w:spacing w:after="0" w:line="240" w:lineRule="auto"/>
        <w:rPr>
          <w:rFonts w:ascii="Calibri" w:eastAsia="MS Mincho" w:hAnsi="Calibri" w:cs="Arial"/>
          <w:lang w:val="en-US"/>
        </w:rPr>
      </w:pPr>
    </w:p>
    <w:p w14:paraId="079748BA" w14:textId="77777777" w:rsidR="00CE3831" w:rsidRPr="00CE3831" w:rsidRDefault="00CE3831" w:rsidP="00CE3831">
      <w:pPr>
        <w:spacing w:after="0" w:line="240" w:lineRule="auto"/>
        <w:rPr>
          <w:rFonts w:ascii="Calibri" w:eastAsia="MS Mincho" w:hAnsi="Calibri" w:cs="Arial"/>
          <w:lang w:val="en-US"/>
        </w:rPr>
      </w:pPr>
      <w:r w:rsidRPr="00CE3831">
        <w:rPr>
          <w:rFonts w:ascii="Calibri" w:eastAsia="MS Mincho" w:hAnsi="Calibri" w:cs="Arial"/>
          <w:lang w:val="en-US"/>
        </w:rPr>
        <w:t>A number of Aboriginal and Torres Strait Islander healthcare organisations responded to the online survey, with respondents raising similar themes around prevention, the social determinants of health, Aboriginal and Torres Strait Islander specific programs, cultural safety, community development of programs and on country care. Respondents also identified a need for Aboriginal and Torres Strait Islander engagement in research.</w:t>
      </w:r>
    </w:p>
    <w:p w14:paraId="51CDC5E9" w14:textId="77777777" w:rsidR="00CE3831" w:rsidRPr="00CE3831" w:rsidRDefault="00CE3831" w:rsidP="00CE3831">
      <w:pPr>
        <w:spacing w:after="0" w:line="240" w:lineRule="auto"/>
        <w:rPr>
          <w:rFonts w:ascii="Calibri" w:eastAsia="MS Mincho" w:hAnsi="Calibri" w:cs="Arial"/>
          <w:lang w:val="en-US"/>
        </w:rPr>
      </w:pPr>
    </w:p>
    <w:p w14:paraId="698B2011" w14:textId="2A079A93" w:rsidR="00CE3831" w:rsidRPr="00CE3831" w:rsidRDefault="00442CD5" w:rsidP="00CE3831">
      <w:pPr>
        <w:spacing w:after="0" w:line="240" w:lineRule="auto"/>
        <w:rPr>
          <w:rFonts w:ascii="Calibri" w:eastAsia="MS Mincho" w:hAnsi="Calibri" w:cs="Arial"/>
          <w:lang w:val="en-US"/>
        </w:rPr>
      </w:pPr>
      <w:r w:rsidRPr="00442CD5">
        <w:rPr>
          <w:rFonts w:ascii="Calibri" w:eastAsia="MS Mincho" w:hAnsi="Calibri" w:cs="Arial"/>
          <w:lang w:val="en-US"/>
        </w:rPr>
        <w:t xml:space="preserve">Kidney Health Australia also consulted with Dr </w:t>
      </w:r>
      <w:r w:rsidR="007139BF" w:rsidRPr="007139BF">
        <w:rPr>
          <w:rFonts w:ascii="Calibri" w:eastAsia="MS Mincho" w:hAnsi="Calibri" w:cs="Arial"/>
          <w:lang w:val="en-US"/>
        </w:rPr>
        <w:t>Jaquelyne Hughes</w:t>
      </w:r>
      <w:r w:rsidRPr="00442CD5">
        <w:rPr>
          <w:rFonts w:ascii="Calibri" w:eastAsia="MS Mincho" w:hAnsi="Calibri" w:cs="Arial"/>
          <w:lang w:val="en-US"/>
        </w:rPr>
        <w:t xml:space="preserve"> from the Menzies Institute Research and programs from the Menzies School of Health Research and the </w:t>
      </w:r>
      <w:proofErr w:type="spellStart"/>
      <w:r w:rsidRPr="00442CD5">
        <w:rPr>
          <w:rFonts w:ascii="Calibri" w:eastAsia="MS Mincho" w:hAnsi="Calibri" w:cs="Arial"/>
          <w:lang w:val="en-US"/>
        </w:rPr>
        <w:t>Lowiitja</w:t>
      </w:r>
      <w:proofErr w:type="spellEnd"/>
      <w:r w:rsidRPr="00442CD5">
        <w:rPr>
          <w:rFonts w:ascii="Calibri" w:eastAsia="MS Mincho" w:hAnsi="Calibri" w:cs="Arial"/>
          <w:lang w:val="en-US"/>
        </w:rPr>
        <w:t xml:space="preserve"> Institute, including </w:t>
      </w:r>
      <w:r w:rsidRPr="007139BF">
        <w:rPr>
          <w:rFonts w:ascii="Calibri" w:eastAsia="MS Mincho" w:hAnsi="Calibri" w:cs="Arial"/>
          <w:i/>
          <w:iCs/>
          <w:lang w:val="en-US"/>
        </w:rPr>
        <w:t>the Catching Some Air - Asserting Indigenous Information Rights in Renal Disease</w:t>
      </w:r>
      <w:r w:rsidR="000E5D1E">
        <w:rPr>
          <w:rFonts w:ascii="Calibri" w:eastAsia="MS Mincho" w:hAnsi="Calibri" w:cs="Arial"/>
          <w:lang w:val="en-US"/>
        </w:rPr>
        <w:t xml:space="preserve"> (Appendix 5). </w:t>
      </w:r>
      <w:r w:rsidRPr="00442CD5">
        <w:rPr>
          <w:rFonts w:ascii="Calibri" w:eastAsia="MS Mincho" w:hAnsi="Calibri" w:cs="Arial"/>
          <w:lang w:val="en-US"/>
        </w:rPr>
        <w:t>The document is a targeted policy brief to Close the Gap in Aboriginal and Torres Strait Islander diabetes and kidney health.</w:t>
      </w:r>
      <w:r>
        <w:rPr>
          <w:rFonts w:ascii="Calibri" w:eastAsia="MS Mincho" w:hAnsi="Calibri" w:cs="Arial"/>
          <w:lang w:val="en-US"/>
        </w:rPr>
        <w:t xml:space="preserve">  </w:t>
      </w:r>
      <w:r w:rsidRPr="00442CD5">
        <w:rPr>
          <w:rFonts w:ascii="Calibri" w:eastAsia="MS Mincho" w:hAnsi="Calibri" w:cs="Arial"/>
          <w:lang w:val="en-US"/>
        </w:rPr>
        <w:t>Dr Paul Lawton from the Menzies School of Health Research also provided feedback on the draft priorities and actions.</w:t>
      </w:r>
    </w:p>
    <w:p w14:paraId="195A1FCB" w14:textId="77777777" w:rsidR="00CE3831" w:rsidRPr="00CE3831" w:rsidRDefault="00CE3831" w:rsidP="00CE3831">
      <w:pPr>
        <w:spacing w:after="0" w:line="240" w:lineRule="auto"/>
        <w:rPr>
          <w:rFonts w:ascii="Calibri" w:eastAsia="MS Mincho" w:hAnsi="Calibri" w:cs="Arial"/>
          <w:b/>
          <w:lang w:val="en-US"/>
        </w:rPr>
      </w:pPr>
    </w:p>
    <w:p w14:paraId="31826CA3" w14:textId="31F8B4DF" w:rsidR="00CE3831" w:rsidRPr="001F0065" w:rsidRDefault="00CE3831" w:rsidP="00010716">
      <w:pPr>
        <w:pStyle w:val="KidneyBodybold0"/>
        <w:rPr>
          <w:color w:val="000000" w:themeColor="text1"/>
          <w:sz w:val="22"/>
          <w:lang w:val="en-US"/>
        </w:rPr>
      </w:pPr>
      <w:r w:rsidRPr="001F0065">
        <w:rPr>
          <w:color w:val="000000" w:themeColor="text1"/>
          <w:sz w:val="22"/>
          <w:lang w:val="en-US"/>
        </w:rPr>
        <w:t>Other experts</w:t>
      </w:r>
    </w:p>
    <w:p w14:paraId="738E8466" w14:textId="1E7C90D4" w:rsidR="00CE3831" w:rsidRDefault="00CE3831" w:rsidP="00CE3831">
      <w:pPr>
        <w:spacing w:after="0" w:line="240" w:lineRule="auto"/>
        <w:rPr>
          <w:rFonts w:ascii="Calibri" w:eastAsia="MS Mincho" w:hAnsi="Calibri" w:cs="Arial"/>
          <w:lang w:val="en-US"/>
        </w:rPr>
      </w:pPr>
      <w:r w:rsidRPr="00CE3831">
        <w:rPr>
          <w:rFonts w:ascii="Calibri" w:eastAsia="MS Mincho" w:hAnsi="Calibri" w:cs="Arial"/>
          <w:lang w:val="en-US"/>
        </w:rPr>
        <w:t>The Action Plan was also presented and discussed with:</w:t>
      </w:r>
    </w:p>
    <w:p w14:paraId="2BCCD096" w14:textId="77777777" w:rsidR="009F442A" w:rsidRPr="00CE3831" w:rsidRDefault="009F442A" w:rsidP="00CE3831">
      <w:pPr>
        <w:spacing w:after="0" w:line="240" w:lineRule="auto"/>
        <w:rPr>
          <w:rFonts w:ascii="Calibri" w:eastAsia="MS Mincho" w:hAnsi="Calibri" w:cs="Arial"/>
          <w:lang w:val="en-US"/>
        </w:rPr>
      </w:pPr>
    </w:p>
    <w:p w14:paraId="3D7A3F6E" w14:textId="77777777" w:rsidR="00CE3831" w:rsidRPr="00CE3831" w:rsidRDefault="00CE3831" w:rsidP="00010716">
      <w:pPr>
        <w:pStyle w:val="ListBullet"/>
        <w:rPr>
          <w:lang w:val="en-US"/>
        </w:rPr>
      </w:pPr>
      <w:r w:rsidRPr="00CE3831">
        <w:rPr>
          <w:lang w:val="en-US"/>
        </w:rPr>
        <w:t>The Organ and Tissue Authority</w:t>
      </w:r>
    </w:p>
    <w:p w14:paraId="15E03AE7" w14:textId="77777777" w:rsidR="00CE3831" w:rsidRPr="00CE3831" w:rsidRDefault="00CE3831" w:rsidP="00010716">
      <w:pPr>
        <w:pStyle w:val="ListBullet"/>
        <w:rPr>
          <w:lang w:val="en-US"/>
        </w:rPr>
      </w:pPr>
      <w:r w:rsidRPr="00CE3831">
        <w:rPr>
          <w:lang w:val="en-US"/>
        </w:rPr>
        <w:t>Primary Care Education Advisory Committee for Kidney Health Australia (PEAK)</w:t>
      </w:r>
    </w:p>
    <w:p w14:paraId="56405E86" w14:textId="7B82D90A" w:rsidR="00CE3831" w:rsidRPr="00CE3831" w:rsidRDefault="00CE3831" w:rsidP="00010716">
      <w:pPr>
        <w:pStyle w:val="ListBullet"/>
        <w:rPr>
          <w:lang w:val="en-US"/>
        </w:rPr>
      </w:pPr>
      <w:r w:rsidRPr="00CE3831">
        <w:rPr>
          <w:lang w:val="en-US"/>
        </w:rPr>
        <w:t>TSANZ</w:t>
      </w:r>
    </w:p>
    <w:p w14:paraId="7E7713C4" w14:textId="5622DF4E" w:rsidR="00CE3831" w:rsidRPr="00CE3831" w:rsidRDefault="007139BF" w:rsidP="00010716">
      <w:pPr>
        <w:pStyle w:val="ListBullet"/>
        <w:rPr>
          <w:lang w:val="en-US"/>
        </w:rPr>
      </w:pPr>
      <w:r>
        <w:rPr>
          <w:lang w:val="en-US"/>
        </w:rPr>
        <w:t>a</w:t>
      </w:r>
      <w:r w:rsidR="00CE3831" w:rsidRPr="00CE3831">
        <w:rPr>
          <w:lang w:val="en-US"/>
        </w:rPr>
        <w:t xml:space="preserve"> range of healthcare professionals including nephrologists, dieti</w:t>
      </w:r>
      <w:r w:rsidR="00591C28">
        <w:rPr>
          <w:lang w:val="en-US"/>
        </w:rPr>
        <w:t>t</w:t>
      </w:r>
      <w:r w:rsidR="00CE3831" w:rsidRPr="00CE3831">
        <w:rPr>
          <w:lang w:val="en-US"/>
        </w:rPr>
        <w:t xml:space="preserve">ians, nurses and </w:t>
      </w:r>
      <w:r w:rsidR="00591C28">
        <w:rPr>
          <w:lang w:val="en-US"/>
        </w:rPr>
        <w:t>primary care professionals</w:t>
      </w:r>
    </w:p>
    <w:p w14:paraId="393E4548" w14:textId="17874909" w:rsidR="00CE3831" w:rsidRPr="00CE3831" w:rsidRDefault="00CE3831" w:rsidP="00010716">
      <w:pPr>
        <w:pStyle w:val="ListBullet"/>
        <w:rPr>
          <w:lang w:val="en-US"/>
        </w:rPr>
      </w:pPr>
      <w:r w:rsidRPr="00CE3831">
        <w:rPr>
          <w:lang w:val="en-US"/>
        </w:rPr>
        <w:t xml:space="preserve">The </w:t>
      </w:r>
      <w:r w:rsidR="00591C28">
        <w:rPr>
          <w:lang w:val="en-US"/>
        </w:rPr>
        <w:t>P</w:t>
      </w:r>
      <w:r w:rsidRPr="00CE3831">
        <w:rPr>
          <w:lang w:val="en-US"/>
        </w:rPr>
        <w:t>aired Kidney Exchange Program</w:t>
      </w:r>
    </w:p>
    <w:p w14:paraId="24F4B765" w14:textId="77777777" w:rsidR="00CE3831" w:rsidRPr="00CE3831" w:rsidRDefault="00CE3831" w:rsidP="00010716">
      <w:pPr>
        <w:pStyle w:val="ListBullet"/>
        <w:rPr>
          <w:lang w:val="en-US"/>
        </w:rPr>
      </w:pPr>
      <w:r w:rsidRPr="00CE3831">
        <w:rPr>
          <w:lang w:val="en-US"/>
        </w:rPr>
        <w:t>PKD Australia</w:t>
      </w:r>
    </w:p>
    <w:p w14:paraId="5B2C682B" w14:textId="12DD9199" w:rsidR="00CE3831" w:rsidRPr="00CE3831" w:rsidRDefault="00C05F37" w:rsidP="00010716">
      <w:pPr>
        <w:pStyle w:val="ListBullet"/>
        <w:rPr>
          <w:lang w:val="en-US"/>
        </w:rPr>
      </w:pPr>
      <w:r>
        <w:rPr>
          <w:lang w:val="en-US"/>
        </w:rPr>
        <w:t>A</w:t>
      </w:r>
      <w:r w:rsidR="00CE3831" w:rsidRPr="00CE3831">
        <w:rPr>
          <w:lang w:val="en-US"/>
        </w:rPr>
        <w:t>NZSN</w:t>
      </w:r>
      <w:r w:rsidR="007139BF">
        <w:rPr>
          <w:lang w:val="en-US"/>
        </w:rPr>
        <w:t>.</w:t>
      </w:r>
    </w:p>
    <w:p w14:paraId="48130312" w14:textId="77777777" w:rsidR="00CE3831" w:rsidRPr="00CE3831" w:rsidRDefault="00CE3831" w:rsidP="00CE3831">
      <w:pPr>
        <w:spacing w:after="0" w:line="240" w:lineRule="auto"/>
        <w:rPr>
          <w:rFonts w:ascii="Calibri" w:eastAsia="MS Mincho" w:hAnsi="Calibri" w:cs="Arial"/>
          <w:color w:val="000000"/>
          <w:lang w:val="en-US"/>
        </w:rPr>
      </w:pPr>
      <w:r w:rsidRPr="00CE3831">
        <w:rPr>
          <w:rFonts w:ascii="Calibri" w:eastAsia="MS Mincho" w:hAnsi="Calibri" w:cs="Arial"/>
          <w:color w:val="000000"/>
          <w:lang w:val="en-US"/>
        </w:rPr>
        <w:t>Interviews with individual healthcare professionals provided additional information about specific actions, including integrated health checks and Medicare Benefit Schedule (MBS) items, telemedicine, transplantation, patient transport/travel and Aboriginal and Torres Strait Islander health initiatives.</w:t>
      </w:r>
    </w:p>
    <w:p w14:paraId="1C6997B1" w14:textId="77777777" w:rsidR="00CE3831" w:rsidRPr="00CE3831" w:rsidRDefault="00CE3831" w:rsidP="00CE3831">
      <w:pPr>
        <w:spacing w:after="0" w:line="240" w:lineRule="auto"/>
        <w:rPr>
          <w:rFonts w:ascii="Calibri" w:eastAsia="MS Mincho" w:hAnsi="Calibri" w:cs="Arial"/>
          <w:lang w:val="en-US"/>
        </w:rPr>
      </w:pPr>
    </w:p>
    <w:p w14:paraId="19ED2616" w14:textId="00C1CA8E" w:rsidR="00CE3831" w:rsidRPr="00A41391" w:rsidRDefault="005A718B" w:rsidP="00010716">
      <w:pPr>
        <w:pStyle w:val="Kidneysubheading"/>
        <w:rPr>
          <w:color w:val="C00000"/>
        </w:rPr>
      </w:pPr>
      <w:r w:rsidRPr="00A41391">
        <w:rPr>
          <w:color w:val="C00000"/>
        </w:rPr>
        <w:t>7</w:t>
      </w:r>
      <w:r w:rsidR="00CE3831" w:rsidRPr="00A41391">
        <w:rPr>
          <w:color w:val="C00000"/>
        </w:rPr>
        <w:t>. Public Consultation of Draft National Strategic Action Plan for Kidney Disease</w:t>
      </w:r>
    </w:p>
    <w:p w14:paraId="39DAEA17" w14:textId="77777777" w:rsidR="00CE3831" w:rsidRPr="00CE3831" w:rsidRDefault="00CE3831" w:rsidP="00CE3831">
      <w:pPr>
        <w:spacing w:after="0" w:line="240" w:lineRule="auto"/>
        <w:rPr>
          <w:rFonts w:ascii="Calibri" w:eastAsia="MS Mincho" w:hAnsi="Calibri" w:cs="Arial"/>
          <w:color w:val="FF0000"/>
          <w:lang w:val="en-US"/>
        </w:rPr>
      </w:pPr>
      <w:r w:rsidRPr="00CE3831">
        <w:rPr>
          <w:rFonts w:ascii="Calibri" w:eastAsia="MS Mincho" w:hAnsi="Calibri" w:cs="Arial"/>
          <w:lang w:val="en-US"/>
        </w:rPr>
        <w:t xml:space="preserve">The information collected from all these sources and in consultation with the Advisory Group led to the drafting of the Action Plan. This draft was then released for public consultation in early April 2019 via a second online survey. </w:t>
      </w:r>
    </w:p>
    <w:p w14:paraId="1E5354DE" w14:textId="77777777" w:rsidR="00CE3831" w:rsidRPr="00CE3831" w:rsidRDefault="00CE3831" w:rsidP="00CE3831">
      <w:pPr>
        <w:spacing w:after="0" w:line="240" w:lineRule="auto"/>
        <w:rPr>
          <w:rFonts w:ascii="Calibri" w:eastAsia="MS Mincho" w:hAnsi="Calibri" w:cs="Arial"/>
          <w:lang w:val="en-US"/>
        </w:rPr>
      </w:pPr>
    </w:p>
    <w:p w14:paraId="7B59A9FE" w14:textId="70186DFA" w:rsidR="009F442A" w:rsidRPr="00CE3831" w:rsidRDefault="00CE3831" w:rsidP="00CE3831">
      <w:pPr>
        <w:spacing w:after="0" w:line="240" w:lineRule="auto"/>
        <w:rPr>
          <w:rFonts w:ascii="Calibri" w:eastAsia="MS Mincho" w:hAnsi="Calibri" w:cs="Arial"/>
          <w:lang w:val="en-US"/>
        </w:rPr>
      </w:pPr>
      <w:r w:rsidRPr="00CE3831">
        <w:rPr>
          <w:rFonts w:ascii="Calibri" w:eastAsia="MS Mincho" w:hAnsi="Calibri" w:cs="Arial"/>
          <w:lang w:val="en-US"/>
        </w:rPr>
        <w:t>The invitation to participate in the second online survey was distributed via:</w:t>
      </w:r>
    </w:p>
    <w:p w14:paraId="4DC0AC66" w14:textId="77777777" w:rsidR="00CE3831" w:rsidRPr="00CE3831" w:rsidRDefault="00CE3831" w:rsidP="00782640">
      <w:pPr>
        <w:numPr>
          <w:ilvl w:val="0"/>
          <w:numId w:val="26"/>
        </w:numPr>
        <w:spacing w:after="0" w:line="240" w:lineRule="auto"/>
        <w:contextualSpacing/>
        <w:rPr>
          <w:rFonts w:ascii="Calibri" w:eastAsia="MS Mincho" w:hAnsi="Calibri" w:cs="Arial"/>
          <w:lang w:val="en-US"/>
        </w:rPr>
      </w:pPr>
      <w:r w:rsidRPr="00CE3831">
        <w:rPr>
          <w:rFonts w:ascii="Calibri" w:eastAsia="MS Mincho" w:hAnsi="Calibri" w:cs="Arial"/>
          <w:lang w:val="en-US"/>
        </w:rPr>
        <w:t xml:space="preserve">Direct correspondence to the 750 respondents who stated they wanted to provide feedback on the draft from the first online survey. </w:t>
      </w:r>
    </w:p>
    <w:p w14:paraId="73A2B4C5" w14:textId="77777777" w:rsidR="00CE3831" w:rsidRPr="00CE3831" w:rsidRDefault="00CE3831" w:rsidP="00782640">
      <w:pPr>
        <w:numPr>
          <w:ilvl w:val="0"/>
          <w:numId w:val="26"/>
        </w:numPr>
        <w:spacing w:after="0" w:line="240" w:lineRule="auto"/>
        <w:contextualSpacing/>
        <w:rPr>
          <w:rFonts w:ascii="Calibri" w:eastAsia="MS Mincho" w:hAnsi="Calibri" w:cs="Arial"/>
          <w:lang w:val="en-US"/>
        </w:rPr>
      </w:pPr>
      <w:r w:rsidRPr="00CE3831">
        <w:rPr>
          <w:rFonts w:ascii="Calibri" w:eastAsia="MS Mincho" w:hAnsi="Calibri" w:cs="Arial"/>
          <w:lang w:val="en-US"/>
        </w:rPr>
        <w:t>Direct correspondence Government departments and organisations (including PHNs), peak bodies and research organisations who then shared the invitation through their networks.</w:t>
      </w:r>
    </w:p>
    <w:p w14:paraId="43FDE31A" w14:textId="1B255F3C" w:rsidR="00CE3831" w:rsidRDefault="00CE3831" w:rsidP="00782640">
      <w:pPr>
        <w:numPr>
          <w:ilvl w:val="0"/>
          <w:numId w:val="26"/>
        </w:numPr>
        <w:spacing w:after="0" w:line="240" w:lineRule="auto"/>
        <w:contextualSpacing/>
        <w:rPr>
          <w:rFonts w:ascii="Calibri" w:eastAsia="MS Mincho" w:hAnsi="Calibri" w:cs="Arial"/>
          <w:lang w:val="en-US"/>
        </w:rPr>
      </w:pPr>
      <w:r w:rsidRPr="00CE3831">
        <w:rPr>
          <w:rFonts w:ascii="Calibri" w:eastAsia="MS Mincho" w:hAnsi="Calibri" w:cs="Arial"/>
          <w:lang w:val="en-US"/>
        </w:rPr>
        <w:t xml:space="preserve">Direct </w:t>
      </w:r>
      <w:r w:rsidR="007139BF">
        <w:rPr>
          <w:rFonts w:ascii="Calibri" w:eastAsia="MS Mincho" w:hAnsi="Calibri" w:cs="Arial"/>
          <w:lang w:val="en-US"/>
        </w:rPr>
        <w:t xml:space="preserve">correspondence </w:t>
      </w:r>
      <w:r w:rsidRPr="00CE3831">
        <w:rPr>
          <w:rFonts w:ascii="Calibri" w:eastAsia="MS Mincho" w:hAnsi="Calibri" w:cs="Arial"/>
          <w:lang w:val="en-US"/>
        </w:rPr>
        <w:t>to Kidney Health Australia National Consumer Council.</w:t>
      </w:r>
    </w:p>
    <w:p w14:paraId="4508B075" w14:textId="7DCB9D61" w:rsidR="00793452" w:rsidRPr="00CE3831" w:rsidRDefault="00966141" w:rsidP="00782640">
      <w:pPr>
        <w:numPr>
          <w:ilvl w:val="0"/>
          <w:numId w:val="26"/>
        </w:numPr>
        <w:spacing w:after="0" w:line="240" w:lineRule="auto"/>
        <w:contextualSpacing/>
        <w:rPr>
          <w:rFonts w:ascii="Calibri" w:eastAsia="MS Mincho" w:hAnsi="Calibri" w:cs="Arial"/>
          <w:lang w:val="en-US"/>
        </w:rPr>
      </w:pPr>
      <w:r>
        <w:rPr>
          <w:rFonts w:ascii="Calibri" w:eastAsia="MS Mincho" w:hAnsi="Calibri" w:cs="Arial"/>
          <w:lang w:val="en-US"/>
        </w:rPr>
        <w:t>A</w:t>
      </w:r>
      <w:r w:rsidR="00793452" w:rsidRPr="00793452">
        <w:rPr>
          <w:rFonts w:ascii="Calibri" w:eastAsia="MS Mincho" w:hAnsi="Calibri" w:cs="Arial"/>
          <w:lang w:val="en-US"/>
        </w:rPr>
        <w:t xml:space="preserve"> wide range of stakeholders identified </w:t>
      </w:r>
      <w:r w:rsidR="00793452">
        <w:rPr>
          <w:rFonts w:ascii="Calibri" w:eastAsia="MS Mincho" w:hAnsi="Calibri" w:cs="Arial"/>
          <w:lang w:val="en-US"/>
        </w:rPr>
        <w:t>during</w:t>
      </w:r>
      <w:r w:rsidR="00793452" w:rsidRPr="00793452">
        <w:rPr>
          <w:rFonts w:ascii="Calibri" w:eastAsia="MS Mincho" w:hAnsi="Calibri" w:cs="Arial"/>
          <w:lang w:val="en-US"/>
        </w:rPr>
        <w:t xml:space="preserve"> the prior consultations.</w:t>
      </w:r>
    </w:p>
    <w:p w14:paraId="7DFE27E5" w14:textId="77777777" w:rsidR="00CE3831" w:rsidRPr="00CE3831" w:rsidRDefault="00CE3831" w:rsidP="00782640">
      <w:pPr>
        <w:numPr>
          <w:ilvl w:val="0"/>
          <w:numId w:val="26"/>
        </w:numPr>
        <w:spacing w:after="0" w:line="240" w:lineRule="auto"/>
        <w:contextualSpacing/>
        <w:rPr>
          <w:rFonts w:ascii="Calibri" w:eastAsia="MS Mincho" w:hAnsi="Calibri" w:cs="Arial"/>
          <w:lang w:val="en-US"/>
        </w:rPr>
      </w:pPr>
      <w:r w:rsidRPr="00CE3831">
        <w:rPr>
          <w:rFonts w:ascii="Calibri" w:eastAsia="MS Mincho" w:hAnsi="Calibri" w:cs="Arial"/>
          <w:lang w:val="en-US"/>
        </w:rPr>
        <w:t>Advertised on the Kidney Health Australia website.</w:t>
      </w:r>
    </w:p>
    <w:p w14:paraId="1A4D7906" w14:textId="77777777" w:rsidR="00CE3831" w:rsidRPr="00CE3831" w:rsidRDefault="00CE3831" w:rsidP="00CE3831">
      <w:pPr>
        <w:spacing w:after="0" w:line="240" w:lineRule="auto"/>
        <w:ind w:left="720"/>
        <w:contextualSpacing/>
        <w:rPr>
          <w:rFonts w:ascii="Calibri" w:eastAsia="MS Mincho" w:hAnsi="Calibri" w:cs="Arial"/>
          <w:lang w:val="en-US"/>
        </w:rPr>
      </w:pPr>
      <w:r w:rsidRPr="00CE3831">
        <w:rPr>
          <w:rFonts w:ascii="Calibri" w:eastAsia="MS Mincho" w:hAnsi="Calibri" w:cs="Arial"/>
          <w:lang w:val="en-US"/>
        </w:rPr>
        <w:lastRenderedPageBreak/>
        <w:t> </w:t>
      </w:r>
    </w:p>
    <w:p w14:paraId="2928A656" w14:textId="6B2921DE" w:rsidR="00CE3831" w:rsidRPr="00CE3831" w:rsidRDefault="00CE3831" w:rsidP="00CE3831">
      <w:pPr>
        <w:spacing w:after="0" w:line="240" w:lineRule="auto"/>
        <w:rPr>
          <w:rFonts w:ascii="Calibri" w:eastAsia="MS Mincho" w:hAnsi="Calibri" w:cs="Arial"/>
          <w:lang w:val="en-US"/>
        </w:rPr>
      </w:pPr>
      <w:r w:rsidRPr="00CE3831">
        <w:rPr>
          <w:rFonts w:ascii="Calibri" w:eastAsia="MS Mincho" w:hAnsi="Calibri" w:cs="Arial"/>
          <w:lang w:val="en-US"/>
        </w:rPr>
        <w:t>Kidney Health Australia received 30 responses to the draft Action Plan</w:t>
      </w:r>
      <w:r w:rsidR="00BB195A">
        <w:rPr>
          <w:rFonts w:ascii="Calibri" w:eastAsia="MS Mincho" w:hAnsi="Calibri" w:cs="Arial"/>
          <w:lang w:val="en-US"/>
        </w:rPr>
        <w:t xml:space="preserve">. </w:t>
      </w:r>
      <w:r w:rsidRPr="00CE3831">
        <w:rPr>
          <w:rFonts w:ascii="Calibri" w:eastAsia="MS Mincho" w:hAnsi="Calibri" w:cs="Arial"/>
          <w:lang w:val="en-US"/>
        </w:rPr>
        <w:t>Responses were highly supportive of the identified priorities and actions overall, with feedback on wording and accessibility of language. Additional comments stressed the need for prevention and consumer support actions. Responses in relation to the actions related to Aboriginal and Torres Strait Islander initiatives recommended a national prevention agency with a remit beyond chronic disease and focused on the development and implementation of the Aboriginal and Torres Strait Islander Renal Health Roadmap, including a recommendation for greater focus on primary care in this report.</w:t>
      </w:r>
    </w:p>
    <w:p w14:paraId="1781EBD7" w14:textId="77777777" w:rsidR="00CE3831" w:rsidRPr="00CE3831" w:rsidRDefault="00CE3831" w:rsidP="00CE3831">
      <w:pPr>
        <w:spacing w:after="0" w:line="240" w:lineRule="auto"/>
        <w:rPr>
          <w:rFonts w:ascii="Calibri" w:eastAsia="MS Mincho" w:hAnsi="Calibri" w:cs="Arial"/>
          <w:lang w:val="en-US"/>
        </w:rPr>
      </w:pPr>
      <w:r w:rsidRPr="00CE3831">
        <w:rPr>
          <w:rFonts w:ascii="Calibri" w:eastAsia="MS Mincho" w:hAnsi="Calibri" w:cs="Arial"/>
          <w:lang w:val="en-US"/>
        </w:rPr>
        <w:t xml:space="preserve"> </w:t>
      </w:r>
    </w:p>
    <w:p w14:paraId="31CC6B5D" w14:textId="45C004D9" w:rsidR="009F442A" w:rsidRPr="00FD2C52" w:rsidRDefault="00FD2C52">
      <w:pPr>
        <w:spacing w:after="0" w:line="240" w:lineRule="auto"/>
        <w:rPr>
          <w:rFonts w:ascii="Calibri" w:eastAsia="MS Mincho" w:hAnsi="Calibri" w:cs="Arial"/>
          <w:lang w:val="en-US"/>
        </w:rPr>
      </w:pPr>
      <w:r w:rsidRPr="00B03236">
        <w:rPr>
          <w:rFonts w:ascii="Calibri" w:eastAsia="MS Mincho" w:hAnsi="Calibri" w:cs="Arial"/>
          <w:lang w:val="en-US"/>
        </w:rPr>
        <w:t xml:space="preserve">Following the final consultation </w:t>
      </w:r>
      <w:r>
        <w:rPr>
          <w:rFonts w:ascii="Calibri" w:eastAsia="MS Mincho" w:hAnsi="Calibri" w:cs="Arial"/>
          <w:lang w:val="en-US"/>
        </w:rPr>
        <w:t xml:space="preserve">Kidney Health Australia </w:t>
      </w:r>
      <w:r w:rsidRPr="00B03236">
        <w:rPr>
          <w:rFonts w:ascii="Calibri" w:eastAsia="MS Mincho" w:hAnsi="Calibri" w:cs="Arial"/>
          <w:lang w:val="en-US"/>
        </w:rPr>
        <w:t>received a</w:t>
      </w:r>
      <w:r w:rsidR="00966141">
        <w:rPr>
          <w:rFonts w:ascii="Calibri" w:eastAsia="MS Mincho" w:hAnsi="Calibri" w:cs="Arial"/>
          <w:lang w:val="en-US"/>
        </w:rPr>
        <w:t>dditional written statements of</w:t>
      </w:r>
      <w:r w:rsidRPr="00B03236">
        <w:rPr>
          <w:rFonts w:ascii="Calibri" w:eastAsia="MS Mincho" w:hAnsi="Calibri" w:cs="Arial"/>
          <w:lang w:val="en-US"/>
        </w:rPr>
        <w:t xml:space="preserve"> endorsement from</w:t>
      </w:r>
      <w:r>
        <w:rPr>
          <w:rFonts w:ascii="Calibri" w:eastAsia="MS Mincho" w:hAnsi="Calibri" w:cs="Arial"/>
          <w:lang w:val="en-US"/>
        </w:rPr>
        <w:t xml:space="preserve"> the f</w:t>
      </w:r>
      <w:r w:rsidR="00CE3831" w:rsidRPr="00FD2C52">
        <w:rPr>
          <w:rFonts w:ascii="Calibri" w:eastAsia="MS Mincho" w:hAnsi="Calibri" w:cs="Arial"/>
          <w:lang w:val="en-US"/>
        </w:rPr>
        <w:t>ollowing organisations</w:t>
      </w:r>
      <w:r>
        <w:rPr>
          <w:rFonts w:ascii="Calibri" w:eastAsia="MS Mincho" w:hAnsi="Calibri" w:cs="Arial"/>
          <w:lang w:val="en-US"/>
        </w:rPr>
        <w:t>:</w:t>
      </w:r>
    </w:p>
    <w:p w14:paraId="0F96A777" w14:textId="77777777" w:rsidR="00CE3831" w:rsidRPr="00CE3831" w:rsidRDefault="00CE3831" w:rsidP="00CE3831">
      <w:pPr>
        <w:spacing w:after="0" w:line="240" w:lineRule="auto"/>
        <w:rPr>
          <w:rFonts w:ascii="Calibri" w:eastAsia="MS Mincho" w:hAnsi="Calibri" w:cs="Arial"/>
          <w:lang w:val="en-US"/>
        </w:rPr>
      </w:pPr>
    </w:p>
    <w:p w14:paraId="21A32CE4" w14:textId="0342EFF8" w:rsidR="00CE3831" w:rsidRPr="00CE3831" w:rsidRDefault="00C05F37" w:rsidP="00782640">
      <w:pPr>
        <w:numPr>
          <w:ilvl w:val="0"/>
          <w:numId w:val="27"/>
        </w:numPr>
        <w:spacing w:after="0" w:line="240" w:lineRule="auto"/>
        <w:contextualSpacing/>
        <w:rPr>
          <w:rFonts w:ascii="Calibri" w:eastAsia="MS Mincho" w:hAnsi="Calibri" w:cs="Arial"/>
          <w:lang w:val="en-US"/>
        </w:rPr>
      </w:pPr>
      <w:r>
        <w:rPr>
          <w:rFonts w:ascii="Calibri" w:eastAsia="MS Mincho" w:hAnsi="Calibri" w:cs="Arial"/>
          <w:lang w:val="en-US"/>
        </w:rPr>
        <w:t>ANZSN</w:t>
      </w:r>
    </w:p>
    <w:p w14:paraId="0BFDE433" w14:textId="2F39A0C3" w:rsidR="00CE3831" w:rsidRPr="00CE3831" w:rsidRDefault="00C05F37" w:rsidP="00782640">
      <w:pPr>
        <w:numPr>
          <w:ilvl w:val="0"/>
          <w:numId w:val="27"/>
        </w:numPr>
        <w:spacing w:after="0" w:line="240" w:lineRule="auto"/>
        <w:contextualSpacing/>
        <w:rPr>
          <w:rFonts w:ascii="Calibri" w:eastAsia="MS Mincho" w:hAnsi="Calibri" w:cs="Arial"/>
          <w:lang w:val="en-US"/>
        </w:rPr>
      </w:pPr>
      <w:r>
        <w:rPr>
          <w:rFonts w:ascii="Calibri" w:eastAsia="MS Mincho" w:hAnsi="Calibri" w:cs="Arial"/>
          <w:lang w:val="en-US"/>
        </w:rPr>
        <w:t>APNA</w:t>
      </w:r>
    </w:p>
    <w:p w14:paraId="262822F0" w14:textId="77777777" w:rsidR="00CE3831" w:rsidRPr="00CE3831" w:rsidRDefault="00CE3831" w:rsidP="00782640">
      <w:pPr>
        <w:numPr>
          <w:ilvl w:val="0"/>
          <w:numId w:val="27"/>
        </w:numPr>
        <w:spacing w:after="0" w:line="240" w:lineRule="auto"/>
        <w:contextualSpacing/>
        <w:rPr>
          <w:rFonts w:ascii="Calibri" w:eastAsia="MS Mincho" w:hAnsi="Calibri" w:cs="Arial"/>
          <w:lang w:val="en-US"/>
        </w:rPr>
      </w:pPr>
      <w:proofErr w:type="spellStart"/>
      <w:r w:rsidRPr="00CE3831">
        <w:rPr>
          <w:rFonts w:ascii="Calibri" w:eastAsia="MS Mincho" w:hAnsi="Calibri" w:cs="Arial"/>
          <w:lang w:val="en-US"/>
        </w:rPr>
        <w:t>KidGen</w:t>
      </w:r>
      <w:proofErr w:type="spellEnd"/>
    </w:p>
    <w:p w14:paraId="2E52C9E4" w14:textId="77777777" w:rsidR="00CE3831" w:rsidRPr="00CE3831" w:rsidRDefault="00CE3831" w:rsidP="00782640">
      <w:pPr>
        <w:numPr>
          <w:ilvl w:val="0"/>
          <w:numId w:val="27"/>
        </w:numPr>
        <w:spacing w:after="0" w:line="240" w:lineRule="auto"/>
        <w:contextualSpacing/>
        <w:rPr>
          <w:rFonts w:ascii="Calibri" w:eastAsia="MS Mincho" w:hAnsi="Calibri" w:cs="Arial"/>
          <w:lang w:val="en-US"/>
        </w:rPr>
      </w:pPr>
      <w:r w:rsidRPr="00CE3831">
        <w:rPr>
          <w:rFonts w:ascii="Calibri" w:eastAsia="MS Mincho" w:hAnsi="Calibri" w:cs="Arial"/>
          <w:lang w:val="en-US"/>
        </w:rPr>
        <w:t>PKD Australia</w:t>
      </w:r>
    </w:p>
    <w:p w14:paraId="3917F716" w14:textId="123701E8" w:rsidR="00CE3831" w:rsidRPr="00CE3831" w:rsidRDefault="00C05F37" w:rsidP="00782640">
      <w:pPr>
        <w:numPr>
          <w:ilvl w:val="0"/>
          <w:numId w:val="27"/>
        </w:numPr>
        <w:spacing w:after="0" w:line="240" w:lineRule="auto"/>
        <w:contextualSpacing/>
        <w:rPr>
          <w:rFonts w:ascii="Calibri" w:eastAsia="MS Mincho" w:hAnsi="Calibri" w:cs="Arial"/>
          <w:lang w:val="en-US"/>
        </w:rPr>
      </w:pPr>
      <w:r>
        <w:rPr>
          <w:rFonts w:ascii="Calibri" w:eastAsia="MS Mincho" w:hAnsi="Calibri" w:cs="Arial"/>
          <w:lang w:val="en-US"/>
        </w:rPr>
        <w:t>RSA</w:t>
      </w:r>
    </w:p>
    <w:p w14:paraId="676ED6DD" w14:textId="6350EF6E" w:rsidR="00CE3831" w:rsidRPr="00CE3831" w:rsidRDefault="00C05F37" w:rsidP="00782640">
      <w:pPr>
        <w:numPr>
          <w:ilvl w:val="0"/>
          <w:numId w:val="27"/>
        </w:numPr>
        <w:spacing w:after="0" w:line="240" w:lineRule="auto"/>
        <w:contextualSpacing/>
        <w:rPr>
          <w:rFonts w:ascii="Calibri" w:eastAsia="MS Mincho" w:hAnsi="Calibri" w:cs="Arial"/>
          <w:lang w:val="en-US"/>
        </w:rPr>
      </w:pPr>
      <w:r>
        <w:rPr>
          <w:rFonts w:ascii="Calibri" w:eastAsia="MS Mincho" w:hAnsi="Calibri" w:cs="Arial"/>
          <w:lang w:val="en-US"/>
        </w:rPr>
        <w:t>TSANZ</w:t>
      </w:r>
    </w:p>
    <w:p w14:paraId="053651A8" w14:textId="77777777" w:rsidR="00CE3831" w:rsidRPr="00CE3831" w:rsidRDefault="00CE3831" w:rsidP="00CE3831">
      <w:pPr>
        <w:spacing w:after="0" w:line="240" w:lineRule="auto"/>
        <w:rPr>
          <w:rFonts w:ascii="Calibri" w:eastAsia="MS Mincho" w:hAnsi="Calibri" w:cs="Arial"/>
          <w:lang w:val="en-US"/>
        </w:rPr>
        <w:sectPr w:rsidR="00CE3831" w:rsidRPr="00CE3831" w:rsidSect="00010716">
          <w:footerReference w:type="even" r:id="rId9"/>
          <w:footerReference w:type="default" r:id="rId10"/>
          <w:pgSz w:w="11901" w:h="16817"/>
          <w:pgMar w:top="1440" w:right="1440" w:bottom="1440" w:left="1440" w:header="709" w:footer="709" w:gutter="0"/>
          <w:pgNumType w:start="1"/>
          <w:cols w:space="708"/>
          <w:titlePg/>
          <w:docGrid w:linePitch="360"/>
        </w:sectPr>
      </w:pPr>
    </w:p>
    <w:p w14:paraId="59C9D974" w14:textId="5A415428" w:rsidR="001F0065" w:rsidRPr="00A41391" w:rsidRDefault="001F0065" w:rsidP="001F0065">
      <w:pPr>
        <w:pStyle w:val="KidneyHeading"/>
        <w:rPr>
          <w:color w:val="C00000"/>
        </w:rPr>
      </w:pPr>
      <w:r w:rsidRPr="00A41391">
        <w:rPr>
          <w:color w:val="C00000"/>
        </w:rPr>
        <w:lastRenderedPageBreak/>
        <w:t>A</w:t>
      </w:r>
      <w:r w:rsidR="00326031">
        <w:rPr>
          <w:color w:val="C00000"/>
        </w:rPr>
        <w:t>bbreviations</w:t>
      </w:r>
    </w:p>
    <w:p w14:paraId="2FA8237D" w14:textId="77777777" w:rsidR="001F0065" w:rsidRDefault="001F0065" w:rsidP="001F0065">
      <w:pPr>
        <w:spacing w:after="0" w:line="276" w:lineRule="auto"/>
        <w:rPr>
          <w:rFonts w:cstheme="minorHAnsi"/>
          <w:color w:val="000000" w:themeColor="text1"/>
        </w:rPr>
      </w:pPr>
      <w:r w:rsidRPr="00B03236">
        <w:rPr>
          <w:rFonts w:cstheme="minorHAnsi"/>
          <w:color w:val="000000" w:themeColor="text1"/>
        </w:rPr>
        <w:t xml:space="preserve"> </w:t>
      </w:r>
    </w:p>
    <w:tbl>
      <w:tblPr>
        <w:tblStyle w:val="TableGrid1"/>
        <w:tblW w:w="9071" w:type="dxa"/>
        <w:tblLayout w:type="fixed"/>
        <w:tblLook w:val="04A0" w:firstRow="1" w:lastRow="0" w:firstColumn="1" w:lastColumn="0" w:noHBand="0" w:noVBand="1"/>
      </w:tblPr>
      <w:tblGrid>
        <w:gridCol w:w="1134"/>
        <w:gridCol w:w="7937"/>
      </w:tblGrid>
      <w:tr w:rsidR="001F0065" w:rsidRPr="00CA39F8" w14:paraId="033C0A97" w14:textId="77777777" w:rsidTr="009B2280">
        <w:trPr>
          <w:trHeight w:val="454"/>
        </w:trPr>
        <w:tc>
          <w:tcPr>
            <w:tcW w:w="1134" w:type="dxa"/>
          </w:tcPr>
          <w:p w14:paraId="60663EE9" w14:textId="77777777" w:rsidR="001F0065" w:rsidRPr="00CA39F8" w:rsidRDefault="001F0065" w:rsidP="009D683D">
            <w:r w:rsidRPr="00CA39F8">
              <w:t>ACCHOs</w:t>
            </w:r>
          </w:p>
        </w:tc>
        <w:tc>
          <w:tcPr>
            <w:tcW w:w="7937" w:type="dxa"/>
          </w:tcPr>
          <w:p w14:paraId="4D885BF1" w14:textId="77777777" w:rsidR="001F0065" w:rsidRPr="00CA39F8" w:rsidRDefault="001F0065" w:rsidP="009D683D">
            <w:r w:rsidRPr="00CA39F8">
              <w:t>Aboriginal Community Controlled Health Organisations</w:t>
            </w:r>
          </w:p>
        </w:tc>
      </w:tr>
      <w:tr w:rsidR="001F0065" w:rsidRPr="00CA39F8" w14:paraId="78751DE8" w14:textId="77777777" w:rsidTr="009B2280">
        <w:trPr>
          <w:trHeight w:val="454"/>
        </w:trPr>
        <w:tc>
          <w:tcPr>
            <w:tcW w:w="1134" w:type="dxa"/>
          </w:tcPr>
          <w:p w14:paraId="316EF4C2" w14:textId="77777777" w:rsidR="001F0065" w:rsidRPr="00CA39F8" w:rsidRDefault="001F0065" w:rsidP="009D683D">
            <w:r w:rsidRPr="00CA39F8">
              <w:t>AGHA</w:t>
            </w:r>
          </w:p>
        </w:tc>
        <w:tc>
          <w:tcPr>
            <w:tcW w:w="7937" w:type="dxa"/>
          </w:tcPr>
          <w:p w14:paraId="08B08F46" w14:textId="77777777" w:rsidR="001F0065" w:rsidRPr="00CA39F8" w:rsidRDefault="001F0065" w:rsidP="009D683D">
            <w:r w:rsidRPr="00CA39F8">
              <w:t>Australian Genomics Health Alliance</w:t>
            </w:r>
          </w:p>
        </w:tc>
      </w:tr>
      <w:tr w:rsidR="001F0065" w:rsidRPr="00CA39F8" w14:paraId="24E8DEA7" w14:textId="77777777" w:rsidTr="009B2280">
        <w:trPr>
          <w:trHeight w:val="454"/>
        </w:trPr>
        <w:tc>
          <w:tcPr>
            <w:tcW w:w="1134" w:type="dxa"/>
          </w:tcPr>
          <w:p w14:paraId="4009574D" w14:textId="77777777" w:rsidR="001F0065" w:rsidRPr="00CA39F8" w:rsidRDefault="001F0065" w:rsidP="009D683D">
            <w:r w:rsidRPr="00CA39F8">
              <w:t>AMSANT</w:t>
            </w:r>
          </w:p>
        </w:tc>
        <w:tc>
          <w:tcPr>
            <w:tcW w:w="7937" w:type="dxa"/>
          </w:tcPr>
          <w:p w14:paraId="4166EEED" w14:textId="77777777" w:rsidR="001F0065" w:rsidRPr="00CA39F8" w:rsidRDefault="001F0065" w:rsidP="009D683D">
            <w:r w:rsidRPr="00CA39F8">
              <w:t xml:space="preserve">Aboriginal Medical Services Alliance Northern Territory </w:t>
            </w:r>
          </w:p>
        </w:tc>
      </w:tr>
      <w:tr w:rsidR="001F0065" w:rsidRPr="00CA39F8" w14:paraId="3ABDAC49" w14:textId="77777777" w:rsidTr="009B2280">
        <w:trPr>
          <w:trHeight w:val="454"/>
        </w:trPr>
        <w:tc>
          <w:tcPr>
            <w:tcW w:w="1134" w:type="dxa"/>
          </w:tcPr>
          <w:p w14:paraId="14B27D5E" w14:textId="77777777" w:rsidR="001F0065" w:rsidRPr="00CA39F8" w:rsidRDefault="001F0065" w:rsidP="009D683D">
            <w:r w:rsidRPr="00CA39F8">
              <w:t>ANZDATA</w:t>
            </w:r>
          </w:p>
        </w:tc>
        <w:tc>
          <w:tcPr>
            <w:tcW w:w="7937" w:type="dxa"/>
          </w:tcPr>
          <w:p w14:paraId="1E804AAE" w14:textId="77777777" w:rsidR="001F0065" w:rsidRPr="00CA39F8" w:rsidRDefault="001F0065" w:rsidP="009D683D">
            <w:r w:rsidRPr="00CA39F8">
              <w:t xml:space="preserve">Australia and New Zealand Dialysis and Transplant Registry </w:t>
            </w:r>
          </w:p>
        </w:tc>
      </w:tr>
      <w:tr w:rsidR="001F0065" w:rsidRPr="00CA39F8" w14:paraId="0F0A10C6" w14:textId="77777777" w:rsidTr="009B2280">
        <w:trPr>
          <w:trHeight w:val="454"/>
        </w:trPr>
        <w:tc>
          <w:tcPr>
            <w:tcW w:w="1134" w:type="dxa"/>
          </w:tcPr>
          <w:p w14:paraId="19873368" w14:textId="77777777" w:rsidR="001F0065" w:rsidRPr="00CA39F8" w:rsidRDefault="001F0065" w:rsidP="009D683D">
            <w:r>
              <w:t xml:space="preserve"> </w:t>
            </w:r>
            <w:r w:rsidRPr="00CA39F8">
              <w:t xml:space="preserve">ANZSN </w:t>
            </w:r>
            <w:r w:rsidRPr="00CA39F8">
              <w:tab/>
            </w:r>
          </w:p>
        </w:tc>
        <w:tc>
          <w:tcPr>
            <w:tcW w:w="7937" w:type="dxa"/>
          </w:tcPr>
          <w:p w14:paraId="72CBC9CF" w14:textId="77777777" w:rsidR="001F0065" w:rsidRPr="00CA39F8" w:rsidRDefault="001F0065" w:rsidP="009D683D">
            <w:r w:rsidRPr="00CA39F8">
              <w:t>Australian and New Zealand Society of Nephrology</w:t>
            </w:r>
          </w:p>
        </w:tc>
      </w:tr>
      <w:tr w:rsidR="001F0065" w:rsidRPr="00CA39F8" w14:paraId="78BB88D8" w14:textId="77777777" w:rsidTr="009B2280">
        <w:trPr>
          <w:trHeight w:val="454"/>
        </w:trPr>
        <w:tc>
          <w:tcPr>
            <w:tcW w:w="1134" w:type="dxa"/>
          </w:tcPr>
          <w:p w14:paraId="1032381A" w14:textId="77777777" w:rsidR="001F0065" w:rsidRPr="00CA39F8" w:rsidRDefault="001F0065" w:rsidP="009D683D">
            <w:r w:rsidRPr="00CA39F8">
              <w:t>APNA</w:t>
            </w:r>
          </w:p>
        </w:tc>
        <w:tc>
          <w:tcPr>
            <w:tcW w:w="7937" w:type="dxa"/>
          </w:tcPr>
          <w:p w14:paraId="719EEB73" w14:textId="77777777" w:rsidR="001F0065" w:rsidRPr="00CA39F8" w:rsidRDefault="001F0065" w:rsidP="009D683D">
            <w:r w:rsidRPr="00CA39F8">
              <w:t>Australian Primary Health Care Nurses Association</w:t>
            </w:r>
          </w:p>
        </w:tc>
      </w:tr>
      <w:tr w:rsidR="001F0065" w:rsidRPr="00CA39F8" w14:paraId="13F1D333" w14:textId="77777777" w:rsidTr="009B2280">
        <w:trPr>
          <w:trHeight w:val="454"/>
        </w:trPr>
        <w:tc>
          <w:tcPr>
            <w:tcW w:w="1134" w:type="dxa"/>
          </w:tcPr>
          <w:p w14:paraId="4D7DC03A" w14:textId="77777777" w:rsidR="001F0065" w:rsidRPr="00CA39F8" w:rsidRDefault="001F0065" w:rsidP="009D683D">
            <w:r w:rsidRPr="00CA39F8">
              <w:t>BEAT-CKD</w:t>
            </w:r>
          </w:p>
        </w:tc>
        <w:tc>
          <w:tcPr>
            <w:tcW w:w="7937" w:type="dxa"/>
          </w:tcPr>
          <w:p w14:paraId="6C44515A" w14:textId="77777777" w:rsidR="001F0065" w:rsidRPr="00CA39F8" w:rsidRDefault="001F0065" w:rsidP="009D683D">
            <w:r w:rsidRPr="00CA39F8">
              <w:t>Better Evidence and Translation – Chronic Kidney Disease</w:t>
            </w:r>
          </w:p>
        </w:tc>
      </w:tr>
      <w:tr w:rsidR="001F0065" w:rsidRPr="00CA39F8" w14:paraId="61E18FA7" w14:textId="77777777" w:rsidTr="009B2280">
        <w:trPr>
          <w:trHeight w:val="454"/>
        </w:trPr>
        <w:tc>
          <w:tcPr>
            <w:tcW w:w="1134" w:type="dxa"/>
          </w:tcPr>
          <w:p w14:paraId="3F3FF56A" w14:textId="77777777" w:rsidR="001F0065" w:rsidRPr="00CA39F8" w:rsidRDefault="001F0065" w:rsidP="009D683D">
            <w:r w:rsidRPr="00CA39F8">
              <w:t>CKD</w:t>
            </w:r>
          </w:p>
        </w:tc>
        <w:tc>
          <w:tcPr>
            <w:tcW w:w="7937" w:type="dxa"/>
          </w:tcPr>
          <w:p w14:paraId="13B6AB98" w14:textId="77777777" w:rsidR="001F0065" w:rsidRPr="00CA39F8" w:rsidRDefault="001F0065" w:rsidP="009D683D">
            <w:r w:rsidRPr="00CA39F8">
              <w:t>chronic kidney disease</w:t>
            </w:r>
          </w:p>
        </w:tc>
      </w:tr>
      <w:tr w:rsidR="001F0065" w:rsidRPr="00CA39F8" w14:paraId="4B6C50E8" w14:textId="77777777" w:rsidTr="009B2280">
        <w:trPr>
          <w:trHeight w:val="454"/>
        </w:trPr>
        <w:tc>
          <w:tcPr>
            <w:tcW w:w="1134" w:type="dxa"/>
          </w:tcPr>
          <w:p w14:paraId="2550E4AB" w14:textId="77777777" w:rsidR="001F0065" w:rsidRPr="00CA39F8" w:rsidRDefault="001F0065" w:rsidP="009D683D">
            <w:r w:rsidRPr="00CA39F8">
              <w:t>KHA-CARI</w:t>
            </w:r>
          </w:p>
        </w:tc>
        <w:tc>
          <w:tcPr>
            <w:tcW w:w="7937" w:type="dxa"/>
          </w:tcPr>
          <w:p w14:paraId="2B613649" w14:textId="77777777" w:rsidR="001F0065" w:rsidRPr="00CA39F8" w:rsidRDefault="001F0065" w:rsidP="009D683D">
            <w:r w:rsidRPr="00CA39F8">
              <w:t>Kidney Health Australia Caring for Australasians with Renal Impairment</w:t>
            </w:r>
          </w:p>
        </w:tc>
      </w:tr>
      <w:tr w:rsidR="001F0065" w:rsidRPr="00CA39F8" w14:paraId="4C5915EE" w14:textId="77777777" w:rsidTr="009B2280">
        <w:trPr>
          <w:trHeight w:val="454"/>
        </w:trPr>
        <w:tc>
          <w:tcPr>
            <w:tcW w:w="1134" w:type="dxa"/>
          </w:tcPr>
          <w:p w14:paraId="1568AB93" w14:textId="77777777" w:rsidR="001F0065" w:rsidRPr="00CA39F8" w:rsidRDefault="001F0065" w:rsidP="009D683D">
            <w:r w:rsidRPr="00CA39F8">
              <w:t>MBS</w:t>
            </w:r>
          </w:p>
        </w:tc>
        <w:tc>
          <w:tcPr>
            <w:tcW w:w="7937" w:type="dxa"/>
          </w:tcPr>
          <w:p w14:paraId="6B8AF154" w14:textId="77777777" w:rsidR="001F0065" w:rsidRPr="00CA39F8" w:rsidRDefault="001F0065" w:rsidP="009D683D">
            <w:r w:rsidRPr="00CA39F8">
              <w:t>Medicare Benefits Schedule</w:t>
            </w:r>
          </w:p>
        </w:tc>
      </w:tr>
      <w:tr w:rsidR="001F0065" w:rsidRPr="00CA39F8" w14:paraId="17E772C7" w14:textId="77777777" w:rsidTr="009B2280">
        <w:trPr>
          <w:trHeight w:val="454"/>
        </w:trPr>
        <w:tc>
          <w:tcPr>
            <w:tcW w:w="1134" w:type="dxa"/>
          </w:tcPr>
          <w:p w14:paraId="10AB3364" w14:textId="77777777" w:rsidR="001F0065" w:rsidRPr="00CA39F8" w:rsidRDefault="001F0065" w:rsidP="009D683D">
            <w:r w:rsidRPr="00CA39F8">
              <w:t>NACCHO</w:t>
            </w:r>
          </w:p>
        </w:tc>
        <w:tc>
          <w:tcPr>
            <w:tcW w:w="7937" w:type="dxa"/>
          </w:tcPr>
          <w:p w14:paraId="12DF3456" w14:textId="77777777" w:rsidR="001F0065" w:rsidRPr="00CA39F8" w:rsidRDefault="001F0065" w:rsidP="009D683D">
            <w:r w:rsidRPr="00CA39F8">
              <w:t xml:space="preserve">National Aboriginal Community Controlled Health Organisation </w:t>
            </w:r>
          </w:p>
        </w:tc>
      </w:tr>
      <w:tr w:rsidR="001F0065" w:rsidRPr="00CA39F8" w14:paraId="0DA12BB4" w14:textId="77777777" w:rsidTr="009B2280">
        <w:trPr>
          <w:trHeight w:val="454"/>
        </w:trPr>
        <w:tc>
          <w:tcPr>
            <w:tcW w:w="1134" w:type="dxa"/>
          </w:tcPr>
          <w:p w14:paraId="252B043A" w14:textId="77777777" w:rsidR="001F0065" w:rsidRPr="00CA39F8" w:rsidRDefault="001F0065" w:rsidP="009D683D">
            <w:r w:rsidRPr="00CA39F8">
              <w:t xml:space="preserve">PEAK </w:t>
            </w:r>
            <w:r w:rsidRPr="00CA39F8">
              <w:tab/>
            </w:r>
          </w:p>
        </w:tc>
        <w:tc>
          <w:tcPr>
            <w:tcW w:w="7937" w:type="dxa"/>
          </w:tcPr>
          <w:p w14:paraId="7E4DE6EE" w14:textId="77777777" w:rsidR="001F0065" w:rsidRPr="00CA39F8" w:rsidRDefault="001F0065" w:rsidP="009D683D">
            <w:r w:rsidRPr="00CA39F8">
              <w:t>Primary Care Education Advisory Committee for Kidney Health Australia</w:t>
            </w:r>
          </w:p>
        </w:tc>
      </w:tr>
      <w:tr w:rsidR="001F0065" w:rsidRPr="00CA39F8" w14:paraId="5CB0C7C6" w14:textId="77777777" w:rsidTr="009B2280">
        <w:trPr>
          <w:trHeight w:val="454"/>
        </w:trPr>
        <w:tc>
          <w:tcPr>
            <w:tcW w:w="1134" w:type="dxa"/>
          </w:tcPr>
          <w:p w14:paraId="7B1659F3" w14:textId="77777777" w:rsidR="001F0065" w:rsidRPr="00CA39F8" w:rsidRDefault="001F0065" w:rsidP="009D683D">
            <w:r w:rsidRPr="00CA39F8">
              <w:t>RSA</w:t>
            </w:r>
          </w:p>
        </w:tc>
        <w:tc>
          <w:tcPr>
            <w:tcW w:w="7937" w:type="dxa"/>
          </w:tcPr>
          <w:p w14:paraId="2385BD02" w14:textId="77777777" w:rsidR="001F0065" w:rsidRPr="00CA39F8" w:rsidRDefault="001F0065" w:rsidP="009D683D">
            <w:r w:rsidRPr="00CA39F8">
              <w:t>Renal Society of Australia</w:t>
            </w:r>
          </w:p>
        </w:tc>
      </w:tr>
      <w:tr w:rsidR="001F0065" w:rsidRPr="00CA39F8" w14:paraId="514CFC58" w14:textId="77777777" w:rsidTr="009B2280">
        <w:trPr>
          <w:trHeight w:val="454"/>
        </w:trPr>
        <w:tc>
          <w:tcPr>
            <w:tcW w:w="1134" w:type="dxa"/>
          </w:tcPr>
          <w:p w14:paraId="04ECCCCD" w14:textId="77777777" w:rsidR="001F0065" w:rsidRPr="00CA39F8" w:rsidRDefault="001F0065" w:rsidP="009D683D">
            <w:r w:rsidRPr="00CA39F8">
              <w:t>TSANZ</w:t>
            </w:r>
          </w:p>
        </w:tc>
        <w:tc>
          <w:tcPr>
            <w:tcW w:w="7937" w:type="dxa"/>
          </w:tcPr>
          <w:p w14:paraId="0B798E19" w14:textId="77777777" w:rsidR="001F0065" w:rsidRPr="00CA39F8" w:rsidRDefault="001F0065" w:rsidP="009D683D">
            <w:r w:rsidRPr="00CA39F8">
              <w:t>Transplant Society of Australia and New Zealand</w:t>
            </w:r>
          </w:p>
        </w:tc>
      </w:tr>
    </w:tbl>
    <w:p w14:paraId="35413046" w14:textId="77777777" w:rsidR="001F0065" w:rsidRDefault="001F0065" w:rsidP="00010716">
      <w:pPr>
        <w:pStyle w:val="KidneyHeading"/>
        <w:sectPr w:rsidR="001F0065">
          <w:pgSz w:w="11906" w:h="16838"/>
          <w:pgMar w:top="1440" w:right="1440" w:bottom="1440" w:left="1440" w:header="708" w:footer="708" w:gutter="0"/>
          <w:cols w:space="708"/>
          <w:docGrid w:linePitch="360"/>
        </w:sectPr>
      </w:pPr>
    </w:p>
    <w:p w14:paraId="0FE75CCC" w14:textId="69CF310F" w:rsidR="00CE3831" w:rsidRPr="00A41391" w:rsidRDefault="001F0065" w:rsidP="00010716">
      <w:pPr>
        <w:pStyle w:val="KidneyHeading"/>
        <w:rPr>
          <w:color w:val="C00000"/>
        </w:rPr>
      </w:pPr>
      <w:r w:rsidRPr="00A41391">
        <w:rPr>
          <w:color w:val="C00000"/>
        </w:rPr>
        <w:lastRenderedPageBreak/>
        <w:t>A</w:t>
      </w:r>
      <w:r w:rsidR="00326031">
        <w:rPr>
          <w:color w:val="C00000"/>
        </w:rPr>
        <w:t>ppendices</w:t>
      </w:r>
    </w:p>
    <w:p w14:paraId="39DFAB84" w14:textId="77777777" w:rsidR="00CE3831" w:rsidRPr="00CE3831" w:rsidRDefault="00CE3831" w:rsidP="00CE3831">
      <w:pPr>
        <w:spacing w:after="0" w:line="240" w:lineRule="auto"/>
        <w:rPr>
          <w:rFonts w:ascii="Calibri" w:eastAsia="MS Mincho" w:hAnsi="Calibri" w:cs="Arial"/>
          <w:color w:val="000000"/>
          <w:lang w:val="en-US"/>
        </w:rPr>
      </w:pPr>
    </w:p>
    <w:p w14:paraId="54C3C3A3" w14:textId="77777777" w:rsidR="00CE3831" w:rsidRPr="00A41391" w:rsidRDefault="00CE3831" w:rsidP="00010716">
      <w:pPr>
        <w:pStyle w:val="Kidneysubheading"/>
        <w:rPr>
          <w:color w:val="C00000"/>
          <w:sz w:val="40"/>
          <w:szCs w:val="40"/>
        </w:rPr>
      </w:pPr>
      <w:r w:rsidRPr="00A41391">
        <w:rPr>
          <w:color w:val="C00000"/>
          <w:sz w:val="40"/>
          <w:szCs w:val="40"/>
        </w:rPr>
        <w:t xml:space="preserve">Appendix 1: Acknowledgements </w:t>
      </w:r>
    </w:p>
    <w:p w14:paraId="37B76974" w14:textId="77777777" w:rsidR="001F0065" w:rsidRDefault="001F0065" w:rsidP="00CE3831">
      <w:pPr>
        <w:spacing w:after="0" w:line="240" w:lineRule="auto"/>
        <w:rPr>
          <w:rFonts w:ascii="Calibri" w:eastAsia="MS Mincho" w:hAnsi="Calibri" w:cs="Arial"/>
          <w:color w:val="000000"/>
          <w:lang w:val="en-US"/>
        </w:rPr>
      </w:pPr>
    </w:p>
    <w:p w14:paraId="15C5831C" w14:textId="3A9CB649" w:rsidR="00CE3831" w:rsidRPr="00CE3831" w:rsidRDefault="00CE3831" w:rsidP="00CE3831">
      <w:pPr>
        <w:spacing w:after="0" w:line="240" w:lineRule="auto"/>
        <w:rPr>
          <w:rFonts w:ascii="Calibri" w:eastAsia="MS Mincho" w:hAnsi="Calibri" w:cs="Arial"/>
          <w:color w:val="000000"/>
          <w:lang w:val="en-US"/>
        </w:rPr>
      </w:pPr>
      <w:r w:rsidRPr="00CE3831">
        <w:rPr>
          <w:rFonts w:ascii="Calibri" w:eastAsia="MS Mincho" w:hAnsi="Calibri" w:cs="Arial"/>
          <w:color w:val="000000"/>
          <w:lang w:val="en-US"/>
        </w:rPr>
        <w:t xml:space="preserve">Development of the Action Plan was led by Kidney Health Australia with funding from the Australian Commonwealth Government Department of Health. Development of the Action Plan took place from July 2018 to June 2019. </w:t>
      </w:r>
    </w:p>
    <w:p w14:paraId="55437F58" w14:textId="77777777" w:rsidR="00CE3831" w:rsidRPr="00CE3831" w:rsidRDefault="00CE3831" w:rsidP="00CE3831">
      <w:pPr>
        <w:spacing w:after="0" w:line="240" w:lineRule="auto"/>
        <w:rPr>
          <w:rFonts w:ascii="Calibri" w:eastAsia="MS Mincho" w:hAnsi="Calibri" w:cs="Arial"/>
          <w:color w:val="000000"/>
          <w:lang w:val="en-US"/>
        </w:rPr>
      </w:pPr>
    </w:p>
    <w:p w14:paraId="19793953" w14:textId="77777777" w:rsidR="00CE3831" w:rsidRPr="00CE3831" w:rsidRDefault="00CE3831" w:rsidP="00CE3831">
      <w:pPr>
        <w:spacing w:after="0" w:line="240" w:lineRule="auto"/>
        <w:rPr>
          <w:rFonts w:ascii="Calibri" w:eastAsia="MS Mincho" w:hAnsi="Calibri" w:cs="Arial"/>
          <w:color w:val="000000"/>
          <w:lang w:val="en-US"/>
        </w:rPr>
      </w:pPr>
      <w:r w:rsidRPr="00CE3831">
        <w:rPr>
          <w:rFonts w:ascii="Calibri" w:eastAsia="MS Mincho" w:hAnsi="Calibri" w:cs="Arial"/>
          <w:color w:val="000000"/>
          <w:lang w:val="en-US"/>
        </w:rPr>
        <w:t>Kidney Health Australia would like to thank all individuals, organisations and government departments that have given their time and expertise to the development of this Action Plan. We would like to thank the members of the Advisory Group, the participants of the Roundtable on 12 November 2018, the Kidney Health Australia National Consumer Council, the Australian Government and State and Territory Government departments, the members of our kidney community, and the individuals who provided additional expert advice.</w:t>
      </w:r>
    </w:p>
    <w:p w14:paraId="5A98DD46" w14:textId="77777777" w:rsidR="00CE3831" w:rsidRPr="00CE3831" w:rsidRDefault="00CE3831" w:rsidP="00CE3831">
      <w:pPr>
        <w:spacing w:after="0" w:line="240" w:lineRule="auto"/>
        <w:rPr>
          <w:rFonts w:ascii="Calibri" w:eastAsia="MS Mincho" w:hAnsi="Calibri" w:cs="Arial"/>
          <w:color w:val="000000"/>
          <w:lang w:val="en-US"/>
        </w:rPr>
      </w:pPr>
    </w:p>
    <w:p w14:paraId="6995AB50" w14:textId="6052333C" w:rsidR="00CE3831" w:rsidRPr="00A41391" w:rsidRDefault="00CE3831">
      <w:pPr>
        <w:pStyle w:val="KidneyHeading3"/>
        <w:rPr>
          <w:color w:val="C00000"/>
          <w:sz w:val="28"/>
        </w:rPr>
      </w:pPr>
      <w:r w:rsidRPr="00A41391">
        <w:rPr>
          <w:color w:val="C00000"/>
          <w:sz w:val="28"/>
        </w:rPr>
        <w:t>Advisory Group</w:t>
      </w:r>
    </w:p>
    <w:p w14:paraId="328AC6DA" w14:textId="77777777" w:rsidR="00BC7745" w:rsidRPr="00CE3831" w:rsidRDefault="00BC7745" w:rsidP="00010716">
      <w:pPr>
        <w:pStyle w:val="KidneyHeading3"/>
      </w:pPr>
    </w:p>
    <w:tbl>
      <w:tblPr>
        <w:tblStyle w:val="TableGrid1"/>
        <w:tblW w:w="9071" w:type="dxa"/>
        <w:tblLook w:val="04A0" w:firstRow="1" w:lastRow="0" w:firstColumn="1" w:lastColumn="0" w:noHBand="0" w:noVBand="1"/>
      </w:tblPr>
      <w:tblGrid>
        <w:gridCol w:w="2268"/>
        <w:gridCol w:w="6803"/>
      </w:tblGrid>
      <w:tr w:rsidR="00FB147D" w:rsidRPr="00CE3831" w14:paraId="5B6E898B" w14:textId="77777777" w:rsidTr="009B2280">
        <w:trPr>
          <w:trHeight w:val="20"/>
        </w:trPr>
        <w:tc>
          <w:tcPr>
            <w:tcW w:w="2268" w:type="dxa"/>
          </w:tcPr>
          <w:p w14:paraId="2DDA1A05" w14:textId="77777777" w:rsidR="00CE3831" w:rsidRPr="00A02B36" w:rsidRDefault="00CE3831">
            <w:pPr>
              <w:rPr>
                <w:rFonts w:ascii="Calibri" w:hAnsi="Calibri" w:cs="Arial"/>
                <w:bCs/>
              </w:rPr>
            </w:pPr>
            <w:r w:rsidRPr="00A41391">
              <w:rPr>
                <w:rFonts w:ascii="Calibri" w:hAnsi="Calibri" w:cs="Arial"/>
                <w:color w:val="000000" w:themeColor="text1"/>
              </w:rPr>
              <w:t>Karen Booth</w:t>
            </w:r>
          </w:p>
        </w:tc>
        <w:tc>
          <w:tcPr>
            <w:tcW w:w="6803" w:type="dxa"/>
          </w:tcPr>
          <w:p w14:paraId="2324F242" w14:textId="62B93AB1" w:rsidR="00CE3831" w:rsidRPr="00CE3831" w:rsidRDefault="00F32253">
            <w:pPr>
              <w:rPr>
                <w:rFonts w:ascii="Calibri" w:hAnsi="Calibri" w:cs="Arial"/>
              </w:rPr>
            </w:pPr>
            <w:r>
              <w:rPr>
                <w:rFonts w:ascii="Calibri" w:hAnsi="Calibri" w:cs="Arial"/>
              </w:rPr>
              <w:t xml:space="preserve">Primary Care Nurse; </w:t>
            </w:r>
            <w:r w:rsidR="00CE3831" w:rsidRPr="00CE3831">
              <w:rPr>
                <w:rFonts w:ascii="Calibri" w:hAnsi="Calibri" w:cs="Arial"/>
              </w:rPr>
              <w:t>President, Australian Primary Health Care Nurses Association (APNA)</w:t>
            </w:r>
          </w:p>
        </w:tc>
      </w:tr>
      <w:tr w:rsidR="00812D33" w:rsidRPr="00CE3831" w14:paraId="7B4638C3" w14:textId="77777777" w:rsidTr="009B2280">
        <w:trPr>
          <w:trHeight w:val="20"/>
        </w:trPr>
        <w:tc>
          <w:tcPr>
            <w:tcW w:w="2268" w:type="dxa"/>
          </w:tcPr>
          <w:p w14:paraId="3A9F82D9" w14:textId="77777777" w:rsidR="00CE3831" w:rsidRPr="00A02B36" w:rsidRDefault="00CE3831">
            <w:pPr>
              <w:rPr>
                <w:rFonts w:ascii="Calibri" w:hAnsi="Calibri" w:cs="Arial"/>
                <w:bCs/>
              </w:rPr>
            </w:pPr>
            <w:r w:rsidRPr="00A41391">
              <w:rPr>
                <w:rFonts w:ascii="Calibri" w:hAnsi="Calibri" w:cs="Arial"/>
                <w:color w:val="000000" w:themeColor="text1"/>
              </w:rPr>
              <w:t>Fiona Donnelly</w:t>
            </w:r>
          </w:p>
        </w:tc>
        <w:tc>
          <w:tcPr>
            <w:tcW w:w="6803" w:type="dxa"/>
          </w:tcPr>
          <w:p w14:paraId="146B8126" w14:textId="7B70BD60" w:rsidR="00CE3831" w:rsidRPr="00CE3831" w:rsidRDefault="00F32253">
            <w:pPr>
              <w:rPr>
                <w:rFonts w:ascii="Calibri" w:hAnsi="Calibri" w:cs="Arial"/>
              </w:rPr>
            </w:pPr>
            <w:r>
              <w:rPr>
                <w:rFonts w:ascii="Calibri" w:hAnsi="Calibri" w:cs="Arial"/>
              </w:rPr>
              <w:t xml:space="preserve">Renal Nurse; </w:t>
            </w:r>
            <w:r w:rsidR="00CE3831" w:rsidRPr="00CE3831">
              <w:rPr>
                <w:rFonts w:ascii="Calibri" w:hAnsi="Calibri" w:cs="Arial"/>
              </w:rPr>
              <w:t>President, Renal Society Australasia (RSA)</w:t>
            </w:r>
          </w:p>
        </w:tc>
      </w:tr>
      <w:tr w:rsidR="00812D33" w:rsidRPr="00CE3831" w14:paraId="00D3DD21" w14:textId="77777777" w:rsidTr="009B2280">
        <w:trPr>
          <w:trHeight w:val="20"/>
        </w:trPr>
        <w:tc>
          <w:tcPr>
            <w:tcW w:w="2268" w:type="dxa"/>
          </w:tcPr>
          <w:p w14:paraId="4FFC8640" w14:textId="77777777" w:rsidR="00CE3831" w:rsidRPr="00A41391" w:rsidRDefault="00CE3831">
            <w:pPr>
              <w:rPr>
                <w:rFonts w:ascii="Calibri" w:hAnsi="Calibri" w:cs="Arial"/>
                <w:bCs/>
                <w:color w:val="000000" w:themeColor="text1"/>
              </w:rPr>
            </w:pPr>
            <w:r w:rsidRPr="00A41391">
              <w:rPr>
                <w:rFonts w:ascii="Calibri" w:hAnsi="Calibri" w:cs="Arial"/>
                <w:color w:val="000000" w:themeColor="text1"/>
              </w:rPr>
              <w:t>Prof Kirsten Howard</w:t>
            </w:r>
          </w:p>
        </w:tc>
        <w:tc>
          <w:tcPr>
            <w:tcW w:w="6803" w:type="dxa"/>
          </w:tcPr>
          <w:p w14:paraId="47EFA699" w14:textId="1B68DF17" w:rsidR="005B3F9F" w:rsidRPr="005B3F9F" w:rsidRDefault="005B3F9F">
            <w:pPr>
              <w:rPr>
                <w:rFonts w:ascii="Calibri" w:hAnsi="Calibri" w:cs="Arial"/>
              </w:rPr>
            </w:pPr>
            <w:r w:rsidRPr="005B3F9F">
              <w:rPr>
                <w:rFonts w:ascii="Calibri" w:hAnsi="Calibri" w:cs="Arial"/>
              </w:rPr>
              <w:t>Professor of Health Economics</w:t>
            </w:r>
            <w:r>
              <w:rPr>
                <w:rFonts w:ascii="Calibri" w:hAnsi="Calibri" w:cs="Arial"/>
              </w:rPr>
              <w:t xml:space="preserve">, </w:t>
            </w:r>
            <w:r w:rsidRPr="005B3F9F">
              <w:rPr>
                <w:rFonts w:ascii="Calibri" w:hAnsi="Calibri" w:cs="Arial"/>
              </w:rPr>
              <w:t>Sub Dean Research</w:t>
            </w:r>
          </w:p>
          <w:p w14:paraId="25B7375E" w14:textId="7AAB50F9" w:rsidR="00CE3831" w:rsidRPr="00CE3831" w:rsidRDefault="005B3F9F">
            <w:pPr>
              <w:rPr>
                <w:rFonts w:ascii="Calibri" w:hAnsi="Calibri" w:cs="Arial"/>
              </w:rPr>
            </w:pPr>
            <w:r w:rsidRPr="005B3F9F">
              <w:rPr>
                <w:rFonts w:ascii="Calibri" w:hAnsi="Calibri" w:cs="Arial"/>
              </w:rPr>
              <w:t>The University of Sydney School of Public Health</w:t>
            </w:r>
            <w:r>
              <w:rPr>
                <w:rFonts w:ascii="Calibri" w:hAnsi="Calibri" w:cs="Arial"/>
              </w:rPr>
              <w:t xml:space="preserve">; </w:t>
            </w:r>
            <w:r w:rsidRPr="005B3F9F">
              <w:rPr>
                <w:rFonts w:ascii="Calibri" w:hAnsi="Calibri" w:cs="Arial"/>
              </w:rPr>
              <w:t>Menzies Centre for Health Policy</w:t>
            </w:r>
            <w:r>
              <w:rPr>
                <w:rFonts w:ascii="Calibri" w:hAnsi="Calibri" w:cs="Arial"/>
              </w:rPr>
              <w:t xml:space="preserve"> </w:t>
            </w:r>
            <w:r w:rsidRPr="005B3F9F">
              <w:rPr>
                <w:rFonts w:ascii="Calibri" w:hAnsi="Calibri" w:cs="Arial"/>
              </w:rPr>
              <w:t>Faculty of Medicine and Health</w:t>
            </w:r>
          </w:p>
        </w:tc>
      </w:tr>
      <w:tr w:rsidR="00812D33" w:rsidRPr="00CE3831" w14:paraId="1247907F" w14:textId="77777777" w:rsidTr="009B2280">
        <w:trPr>
          <w:trHeight w:val="20"/>
        </w:trPr>
        <w:tc>
          <w:tcPr>
            <w:tcW w:w="2268" w:type="dxa"/>
          </w:tcPr>
          <w:p w14:paraId="5AD6F582" w14:textId="77777777" w:rsidR="00CE3831" w:rsidRPr="00A41391" w:rsidRDefault="00CE3831">
            <w:pPr>
              <w:rPr>
                <w:rFonts w:ascii="Calibri" w:hAnsi="Calibri" w:cs="Arial"/>
                <w:bCs/>
                <w:color w:val="000000" w:themeColor="text1"/>
              </w:rPr>
            </w:pPr>
            <w:r w:rsidRPr="00A41391">
              <w:rPr>
                <w:rFonts w:ascii="Calibri" w:hAnsi="Calibri" w:cs="Arial"/>
                <w:color w:val="000000" w:themeColor="text1"/>
              </w:rPr>
              <w:t>Prof David Johnson</w:t>
            </w:r>
          </w:p>
        </w:tc>
        <w:tc>
          <w:tcPr>
            <w:tcW w:w="6803" w:type="dxa"/>
          </w:tcPr>
          <w:p w14:paraId="039550C0" w14:textId="1495E6A4" w:rsidR="00CE3831" w:rsidRPr="00CE3831" w:rsidRDefault="00F32253">
            <w:pPr>
              <w:rPr>
                <w:rFonts w:ascii="Calibri" w:hAnsi="Calibri" w:cs="Arial"/>
              </w:rPr>
            </w:pPr>
            <w:r w:rsidRPr="00F32253">
              <w:rPr>
                <w:rFonts w:ascii="Calibri" w:hAnsi="Calibri" w:cs="Arial"/>
              </w:rPr>
              <w:t>Director of Metro South and Ipswich Nephrology and Transplant Services (MINTS)</w:t>
            </w:r>
            <w:r>
              <w:rPr>
                <w:rFonts w:ascii="Calibri" w:hAnsi="Calibri" w:cs="Arial"/>
              </w:rPr>
              <w:t xml:space="preserve">; </w:t>
            </w:r>
            <w:r w:rsidRPr="00F32253">
              <w:rPr>
                <w:rFonts w:ascii="Calibri" w:hAnsi="Calibri" w:cs="Arial"/>
              </w:rPr>
              <w:t>Medical Director, Queensland Renal Transplant Services</w:t>
            </w:r>
            <w:r>
              <w:rPr>
                <w:rFonts w:ascii="Calibri" w:hAnsi="Calibri" w:cs="Arial"/>
              </w:rPr>
              <w:t xml:space="preserve">; </w:t>
            </w:r>
            <w:r w:rsidRPr="00F32253">
              <w:rPr>
                <w:rFonts w:ascii="Calibri" w:hAnsi="Calibri" w:cs="Arial"/>
              </w:rPr>
              <w:t>Professor of Medicine (University of Queensland)</w:t>
            </w:r>
            <w:r>
              <w:rPr>
                <w:rFonts w:ascii="Calibri" w:hAnsi="Calibri" w:cs="Arial"/>
              </w:rPr>
              <w:t xml:space="preserve">; </w:t>
            </w:r>
            <w:r w:rsidRPr="00F32253">
              <w:rPr>
                <w:rFonts w:ascii="Calibri" w:hAnsi="Calibri" w:cs="Arial"/>
              </w:rPr>
              <w:t>Professor of Population Health (University of Queensland)</w:t>
            </w:r>
            <w:r>
              <w:rPr>
                <w:rFonts w:ascii="Calibri" w:hAnsi="Calibri" w:cs="Arial"/>
              </w:rPr>
              <w:t xml:space="preserve">; </w:t>
            </w:r>
            <w:r w:rsidRPr="00F32253">
              <w:rPr>
                <w:rFonts w:ascii="Calibri" w:hAnsi="Calibri" w:cs="Arial"/>
              </w:rPr>
              <w:t>Co- Director of Centre for Kidney Disease Research, Translational Research Institute</w:t>
            </w:r>
            <w:r>
              <w:rPr>
                <w:rFonts w:ascii="Calibri" w:hAnsi="Calibri" w:cs="Arial"/>
              </w:rPr>
              <w:t xml:space="preserve">; Chair, </w:t>
            </w:r>
            <w:r w:rsidR="002F7456">
              <w:rPr>
                <w:rFonts w:ascii="Calibri" w:hAnsi="Calibri" w:cs="Arial"/>
              </w:rPr>
              <w:t>PEAK</w:t>
            </w:r>
            <w:r>
              <w:rPr>
                <w:rFonts w:ascii="Calibri" w:hAnsi="Calibri" w:cs="Arial"/>
              </w:rPr>
              <w:t>.</w:t>
            </w:r>
          </w:p>
        </w:tc>
      </w:tr>
      <w:tr w:rsidR="00812D33" w:rsidRPr="00CE3831" w14:paraId="27809D67" w14:textId="77777777" w:rsidTr="009B2280">
        <w:trPr>
          <w:trHeight w:val="20"/>
        </w:trPr>
        <w:tc>
          <w:tcPr>
            <w:tcW w:w="2268" w:type="dxa"/>
          </w:tcPr>
          <w:p w14:paraId="5E7F1B32" w14:textId="77777777" w:rsidR="00CE3831" w:rsidRPr="00A41391" w:rsidRDefault="00CE3831">
            <w:pPr>
              <w:rPr>
                <w:rFonts w:ascii="Calibri" w:hAnsi="Calibri" w:cs="Arial"/>
                <w:bCs/>
                <w:color w:val="000000" w:themeColor="text1"/>
              </w:rPr>
            </w:pPr>
            <w:r w:rsidRPr="00A41391">
              <w:rPr>
                <w:rFonts w:ascii="Calibri" w:hAnsi="Calibri" w:cs="Arial"/>
                <w:color w:val="000000" w:themeColor="text1"/>
              </w:rPr>
              <w:t>Prof Peter Kerr</w:t>
            </w:r>
          </w:p>
        </w:tc>
        <w:tc>
          <w:tcPr>
            <w:tcW w:w="6803" w:type="dxa"/>
          </w:tcPr>
          <w:p w14:paraId="4D433CCF" w14:textId="7DE6A6B2" w:rsidR="00CE3831" w:rsidRPr="00CE3831" w:rsidRDefault="007139BF">
            <w:pPr>
              <w:rPr>
                <w:rFonts w:ascii="Calibri" w:hAnsi="Calibri" w:cs="Arial"/>
              </w:rPr>
            </w:pPr>
            <w:r w:rsidRPr="007139BF">
              <w:rPr>
                <w:rFonts w:ascii="Calibri" w:hAnsi="Calibri" w:cs="Arial"/>
              </w:rPr>
              <w:t>Professor and Director of Nephrology</w:t>
            </w:r>
            <w:r w:rsidR="005B3F9F">
              <w:rPr>
                <w:rFonts w:ascii="Calibri" w:hAnsi="Calibri" w:cs="Arial"/>
              </w:rPr>
              <w:t xml:space="preserve"> </w:t>
            </w:r>
            <w:r w:rsidRPr="007139BF">
              <w:rPr>
                <w:rFonts w:ascii="Calibri" w:hAnsi="Calibri" w:cs="Arial"/>
              </w:rPr>
              <w:t>Monash Health and Monash University.</w:t>
            </w:r>
          </w:p>
        </w:tc>
      </w:tr>
      <w:tr w:rsidR="00812D33" w:rsidRPr="00CE3831" w14:paraId="3A4D5DE5" w14:textId="77777777" w:rsidTr="009B2280">
        <w:trPr>
          <w:trHeight w:val="20"/>
        </w:trPr>
        <w:tc>
          <w:tcPr>
            <w:tcW w:w="2268" w:type="dxa"/>
          </w:tcPr>
          <w:p w14:paraId="0C2347D8" w14:textId="77777777" w:rsidR="00CE3831" w:rsidRPr="00A41391" w:rsidRDefault="00CE3831">
            <w:pPr>
              <w:rPr>
                <w:rFonts w:ascii="Calibri" w:hAnsi="Calibri" w:cs="Arial"/>
                <w:bCs/>
                <w:color w:val="000000" w:themeColor="text1"/>
              </w:rPr>
            </w:pPr>
            <w:r w:rsidRPr="00A41391">
              <w:rPr>
                <w:rFonts w:ascii="Calibri" w:hAnsi="Calibri" w:cs="Arial"/>
                <w:color w:val="000000" w:themeColor="text1"/>
              </w:rPr>
              <w:t>A/Prof Duncan Mortimer</w:t>
            </w:r>
          </w:p>
        </w:tc>
        <w:tc>
          <w:tcPr>
            <w:tcW w:w="6803" w:type="dxa"/>
          </w:tcPr>
          <w:p w14:paraId="4087F1A0" w14:textId="382FCB05" w:rsidR="00CE3831" w:rsidRPr="00CE3831" w:rsidRDefault="005B3F9F">
            <w:pPr>
              <w:rPr>
                <w:rFonts w:ascii="Calibri" w:hAnsi="Calibri" w:cs="Arial"/>
              </w:rPr>
            </w:pPr>
            <w:r>
              <w:rPr>
                <w:rFonts w:ascii="Calibri" w:hAnsi="Calibri" w:cs="Arial"/>
              </w:rPr>
              <w:t xml:space="preserve">Associate Professor of </w:t>
            </w:r>
            <w:r w:rsidR="00CE3831" w:rsidRPr="00CE3831">
              <w:rPr>
                <w:rFonts w:ascii="Calibri" w:hAnsi="Calibri" w:cs="Arial"/>
              </w:rPr>
              <w:t>Health Economi</w:t>
            </w:r>
            <w:r>
              <w:rPr>
                <w:rFonts w:ascii="Calibri" w:hAnsi="Calibri" w:cs="Arial"/>
              </w:rPr>
              <w:t xml:space="preserve">cs (Research); </w:t>
            </w:r>
            <w:r w:rsidRPr="005B3F9F">
              <w:rPr>
                <w:rFonts w:ascii="Calibri" w:hAnsi="Calibri" w:cs="Arial"/>
              </w:rPr>
              <w:t>Head of Teaching</w:t>
            </w:r>
            <w:r>
              <w:rPr>
                <w:rFonts w:ascii="Calibri" w:hAnsi="Calibri" w:cs="Arial"/>
              </w:rPr>
              <w:t xml:space="preserve"> </w:t>
            </w:r>
            <w:r w:rsidRPr="005B3F9F">
              <w:rPr>
                <w:rFonts w:ascii="Calibri" w:hAnsi="Calibri" w:cs="Arial"/>
              </w:rPr>
              <w:t>Centre for Health Economics</w:t>
            </w:r>
            <w:r>
              <w:rPr>
                <w:rFonts w:ascii="Calibri" w:hAnsi="Calibri" w:cs="Arial"/>
              </w:rPr>
              <w:t xml:space="preserve">, </w:t>
            </w:r>
            <w:r w:rsidRPr="005B3F9F">
              <w:rPr>
                <w:rFonts w:ascii="Calibri" w:hAnsi="Calibri" w:cs="Arial"/>
              </w:rPr>
              <w:t>Monash Business School</w:t>
            </w:r>
            <w:r>
              <w:rPr>
                <w:rFonts w:ascii="Calibri" w:hAnsi="Calibri" w:cs="Arial"/>
              </w:rPr>
              <w:t>.</w:t>
            </w:r>
          </w:p>
        </w:tc>
      </w:tr>
      <w:tr w:rsidR="00812D33" w:rsidRPr="00CE3831" w14:paraId="65CD401C" w14:textId="77777777" w:rsidTr="009B2280">
        <w:trPr>
          <w:trHeight w:val="20"/>
        </w:trPr>
        <w:tc>
          <w:tcPr>
            <w:tcW w:w="2268" w:type="dxa"/>
          </w:tcPr>
          <w:p w14:paraId="4517DAB4" w14:textId="77777777" w:rsidR="00CE3831" w:rsidRPr="00A41391" w:rsidRDefault="00CE3831">
            <w:pPr>
              <w:rPr>
                <w:rFonts w:ascii="Calibri" w:hAnsi="Calibri" w:cs="Arial"/>
                <w:bCs/>
                <w:color w:val="000000" w:themeColor="text1"/>
              </w:rPr>
            </w:pPr>
            <w:r w:rsidRPr="00A41391">
              <w:rPr>
                <w:rFonts w:ascii="Calibri" w:hAnsi="Calibri" w:cs="Arial"/>
                <w:color w:val="000000" w:themeColor="text1"/>
              </w:rPr>
              <w:t>David Parker</w:t>
            </w:r>
          </w:p>
        </w:tc>
        <w:tc>
          <w:tcPr>
            <w:tcW w:w="6803" w:type="dxa"/>
          </w:tcPr>
          <w:p w14:paraId="3F2E144A" w14:textId="1893A138" w:rsidR="00CE3831" w:rsidRPr="00CE3831" w:rsidRDefault="00CE3831">
            <w:pPr>
              <w:rPr>
                <w:rFonts w:ascii="Calibri" w:hAnsi="Calibri" w:cs="Arial"/>
              </w:rPr>
            </w:pPr>
            <w:r w:rsidRPr="00CE3831">
              <w:rPr>
                <w:rFonts w:ascii="Calibri" w:hAnsi="Calibri" w:cs="Arial"/>
              </w:rPr>
              <w:t>Consumer</w:t>
            </w:r>
            <w:r w:rsidR="005B3F9F">
              <w:rPr>
                <w:rFonts w:ascii="Calibri" w:hAnsi="Calibri" w:cs="Arial"/>
              </w:rPr>
              <w:t>;</w:t>
            </w:r>
            <w:r w:rsidR="00FD2C52">
              <w:rPr>
                <w:rFonts w:ascii="Calibri" w:hAnsi="Calibri" w:cs="Arial"/>
              </w:rPr>
              <w:t xml:space="preserve"> Director, Kidney Health Australia Board</w:t>
            </w:r>
            <w:r w:rsidR="008C5B71">
              <w:rPr>
                <w:rFonts w:ascii="Calibri" w:hAnsi="Calibri" w:cs="Arial"/>
              </w:rPr>
              <w:t xml:space="preserve">; </w:t>
            </w:r>
            <w:r w:rsidR="008C5B71" w:rsidRPr="008C5B71">
              <w:rPr>
                <w:rFonts w:ascii="Calibri" w:hAnsi="Calibri" w:cs="Arial"/>
              </w:rPr>
              <w:t>Chief Executive Officer</w:t>
            </w:r>
            <w:r w:rsidR="008C5B71">
              <w:rPr>
                <w:rFonts w:ascii="Calibri" w:hAnsi="Calibri" w:cs="Arial"/>
              </w:rPr>
              <w:t xml:space="preserve"> &amp; </w:t>
            </w:r>
            <w:r w:rsidR="008C5B71" w:rsidRPr="008C5B71">
              <w:rPr>
                <w:rFonts w:ascii="Calibri" w:hAnsi="Calibri" w:cs="Arial"/>
              </w:rPr>
              <w:t>Chair, Clean Energy Regulator</w:t>
            </w:r>
            <w:r w:rsidR="008C5B71">
              <w:rPr>
                <w:rFonts w:ascii="Calibri" w:hAnsi="Calibri" w:cs="Arial"/>
              </w:rPr>
              <w:t xml:space="preserve">; </w:t>
            </w:r>
            <w:r w:rsidR="008C5B71" w:rsidRPr="008C5B71">
              <w:rPr>
                <w:rFonts w:ascii="Calibri" w:hAnsi="Calibri" w:cs="Arial"/>
              </w:rPr>
              <w:t>Treasurer</w:t>
            </w:r>
            <w:r w:rsidR="008C5B71">
              <w:rPr>
                <w:rFonts w:ascii="Calibri" w:hAnsi="Calibri" w:cs="Arial"/>
              </w:rPr>
              <w:t>,</w:t>
            </w:r>
            <w:r w:rsidR="008C5B71" w:rsidRPr="008C5B71">
              <w:rPr>
                <w:rFonts w:ascii="Calibri" w:hAnsi="Calibri" w:cs="Arial"/>
              </w:rPr>
              <w:t xml:space="preserve"> Gift of Life ACT Board</w:t>
            </w:r>
            <w:r w:rsidR="008C5B71">
              <w:rPr>
                <w:rFonts w:ascii="Calibri" w:hAnsi="Calibri" w:cs="Arial"/>
              </w:rPr>
              <w:t>.</w:t>
            </w:r>
          </w:p>
        </w:tc>
      </w:tr>
      <w:tr w:rsidR="00812D33" w:rsidRPr="00CE3831" w14:paraId="3A2A6A09" w14:textId="77777777" w:rsidTr="009B2280">
        <w:trPr>
          <w:trHeight w:val="20"/>
        </w:trPr>
        <w:tc>
          <w:tcPr>
            <w:tcW w:w="2268" w:type="dxa"/>
          </w:tcPr>
          <w:p w14:paraId="0E215B3A" w14:textId="77777777" w:rsidR="00CE3831" w:rsidRPr="00A41391" w:rsidRDefault="00CE3831">
            <w:pPr>
              <w:rPr>
                <w:rFonts w:ascii="Calibri" w:hAnsi="Calibri" w:cs="Arial"/>
                <w:bCs/>
                <w:color w:val="000000" w:themeColor="text1"/>
              </w:rPr>
            </w:pPr>
            <w:r w:rsidRPr="00A41391">
              <w:rPr>
                <w:rFonts w:ascii="Calibri" w:hAnsi="Calibri" w:cs="Arial"/>
                <w:color w:val="000000" w:themeColor="text1"/>
              </w:rPr>
              <w:t>Prof Carol Pollock</w:t>
            </w:r>
          </w:p>
        </w:tc>
        <w:tc>
          <w:tcPr>
            <w:tcW w:w="6803" w:type="dxa"/>
          </w:tcPr>
          <w:p w14:paraId="30B56683" w14:textId="7AB0945C" w:rsidR="00CE3831" w:rsidRPr="00CE3831" w:rsidRDefault="00CE3831">
            <w:pPr>
              <w:rPr>
                <w:rFonts w:ascii="Calibri" w:hAnsi="Calibri" w:cs="Arial"/>
              </w:rPr>
            </w:pPr>
            <w:r w:rsidRPr="00CE3831">
              <w:rPr>
                <w:rFonts w:ascii="Calibri" w:hAnsi="Calibri" w:cs="Arial"/>
              </w:rPr>
              <w:t xml:space="preserve">Nephrologist; </w:t>
            </w:r>
            <w:r w:rsidR="008348F6" w:rsidRPr="008348F6">
              <w:rPr>
                <w:rFonts w:ascii="Calibri" w:hAnsi="Calibri" w:cs="Arial"/>
              </w:rPr>
              <w:t>Professorial Chair of Medicine, University of Sydney, Royal North Shore Hospital</w:t>
            </w:r>
            <w:r w:rsidR="008348F6">
              <w:rPr>
                <w:rFonts w:ascii="Calibri" w:hAnsi="Calibri" w:cs="Arial"/>
              </w:rPr>
              <w:t xml:space="preserve">; </w:t>
            </w:r>
            <w:r w:rsidR="008348F6" w:rsidRPr="008348F6">
              <w:rPr>
                <w:rFonts w:ascii="Calibri" w:hAnsi="Calibri" w:cs="Arial"/>
              </w:rPr>
              <w:t>Chair</w:t>
            </w:r>
            <w:r w:rsidR="008348F6">
              <w:rPr>
                <w:rFonts w:ascii="Calibri" w:hAnsi="Calibri" w:cs="Arial"/>
              </w:rPr>
              <w:t xml:space="preserve">, </w:t>
            </w:r>
            <w:r w:rsidR="008348F6" w:rsidRPr="008348F6">
              <w:rPr>
                <w:rFonts w:ascii="Calibri" w:hAnsi="Calibri" w:cs="Arial"/>
              </w:rPr>
              <w:t>Northern Sydney Local Health District</w:t>
            </w:r>
            <w:r w:rsidR="008348F6">
              <w:rPr>
                <w:rFonts w:ascii="Calibri" w:hAnsi="Calibri" w:cs="Arial"/>
              </w:rPr>
              <w:t xml:space="preserve"> Board;</w:t>
            </w:r>
            <w:r w:rsidR="008348F6" w:rsidRPr="008348F6">
              <w:rPr>
                <w:rFonts w:ascii="Calibri" w:hAnsi="Calibri" w:cs="Arial"/>
              </w:rPr>
              <w:t xml:space="preserve"> </w:t>
            </w:r>
            <w:r w:rsidR="008348F6">
              <w:rPr>
                <w:rFonts w:ascii="Calibri" w:hAnsi="Calibri" w:cs="Arial"/>
              </w:rPr>
              <w:t xml:space="preserve">Director, </w:t>
            </w:r>
            <w:r w:rsidR="008348F6" w:rsidRPr="008348F6">
              <w:rPr>
                <w:rFonts w:ascii="Calibri" w:hAnsi="Calibri" w:cs="Arial"/>
              </w:rPr>
              <w:t xml:space="preserve">NSW Clinical Excellence Commission </w:t>
            </w:r>
            <w:r w:rsidR="008348F6">
              <w:rPr>
                <w:rFonts w:ascii="Calibri" w:hAnsi="Calibri" w:cs="Arial"/>
              </w:rPr>
              <w:t xml:space="preserve">Board; Director, </w:t>
            </w:r>
            <w:r w:rsidR="008348F6" w:rsidRPr="008348F6">
              <w:rPr>
                <w:rFonts w:ascii="Calibri" w:hAnsi="Calibri" w:cs="Arial"/>
              </w:rPr>
              <w:t>NSW Agency for Clinical Innovation</w:t>
            </w:r>
            <w:r w:rsidR="008348F6">
              <w:rPr>
                <w:rFonts w:ascii="Calibri" w:hAnsi="Calibri" w:cs="Arial"/>
              </w:rPr>
              <w:t xml:space="preserve"> Board</w:t>
            </w:r>
            <w:r w:rsidR="005B3F9F">
              <w:rPr>
                <w:rFonts w:ascii="Calibri" w:hAnsi="Calibri" w:cs="Arial"/>
              </w:rPr>
              <w:t xml:space="preserve">; </w:t>
            </w:r>
            <w:r w:rsidRPr="00CE3831">
              <w:rPr>
                <w:rFonts w:ascii="Calibri" w:hAnsi="Calibri" w:cs="Arial"/>
              </w:rPr>
              <w:t>Chair, Kidney Health Australia Board</w:t>
            </w:r>
            <w:r w:rsidR="005B3F9F">
              <w:rPr>
                <w:rFonts w:ascii="Calibri" w:hAnsi="Calibri" w:cs="Arial"/>
              </w:rPr>
              <w:t>.</w:t>
            </w:r>
          </w:p>
        </w:tc>
      </w:tr>
      <w:tr w:rsidR="00812D33" w:rsidRPr="00CE3831" w14:paraId="3C2295CA" w14:textId="77777777" w:rsidTr="009B2280">
        <w:trPr>
          <w:trHeight w:val="20"/>
        </w:trPr>
        <w:tc>
          <w:tcPr>
            <w:tcW w:w="2268" w:type="dxa"/>
          </w:tcPr>
          <w:p w14:paraId="0832A8D3" w14:textId="77777777" w:rsidR="00CE3831" w:rsidRPr="00A41391" w:rsidRDefault="00CE3831">
            <w:pPr>
              <w:rPr>
                <w:rFonts w:ascii="Calibri" w:hAnsi="Calibri" w:cs="Arial"/>
                <w:bCs/>
                <w:color w:val="000000" w:themeColor="text1"/>
              </w:rPr>
            </w:pPr>
            <w:r w:rsidRPr="00A41391">
              <w:rPr>
                <w:rFonts w:ascii="Calibri" w:hAnsi="Calibri" w:cs="Arial"/>
                <w:color w:val="000000" w:themeColor="text1"/>
              </w:rPr>
              <w:t>Prof Tim Usherwood</w:t>
            </w:r>
          </w:p>
        </w:tc>
        <w:tc>
          <w:tcPr>
            <w:tcW w:w="6803" w:type="dxa"/>
          </w:tcPr>
          <w:p w14:paraId="1A835A0E" w14:textId="1C8C5E81" w:rsidR="00CE3831" w:rsidRPr="00CE3831" w:rsidRDefault="00F32253">
            <w:pPr>
              <w:rPr>
                <w:rFonts w:ascii="Calibri" w:hAnsi="Calibri" w:cs="Arial"/>
              </w:rPr>
            </w:pPr>
            <w:r w:rsidRPr="00F32253">
              <w:rPr>
                <w:rFonts w:ascii="Calibri" w:hAnsi="Calibri" w:cs="Arial"/>
              </w:rPr>
              <w:t>Professor of General Practice and Head, Westmead Clinical School, Faculty of Medicine and Health, The University of Sydney</w:t>
            </w:r>
            <w:r>
              <w:rPr>
                <w:rFonts w:ascii="Calibri" w:hAnsi="Calibri" w:cs="Arial"/>
              </w:rPr>
              <w:t xml:space="preserve">; Member, </w:t>
            </w:r>
            <w:r w:rsidR="002F7456">
              <w:rPr>
                <w:rFonts w:ascii="Calibri" w:hAnsi="Calibri" w:cs="Arial"/>
              </w:rPr>
              <w:t>PEAK</w:t>
            </w:r>
            <w:r>
              <w:rPr>
                <w:rFonts w:ascii="Calibri" w:hAnsi="Calibri" w:cs="Arial"/>
              </w:rPr>
              <w:t>.</w:t>
            </w:r>
          </w:p>
        </w:tc>
      </w:tr>
    </w:tbl>
    <w:p w14:paraId="15D943E5" w14:textId="77777777" w:rsidR="00CE3831" w:rsidRPr="00CE3831" w:rsidRDefault="00CE3831" w:rsidP="00CE3831">
      <w:pPr>
        <w:spacing w:after="0" w:line="240" w:lineRule="auto"/>
        <w:rPr>
          <w:rFonts w:ascii="Calibri" w:eastAsia="MS Mincho" w:hAnsi="Calibri" w:cs="Arial"/>
          <w:lang w:val="en-US"/>
        </w:rPr>
      </w:pPr>
    </w:p>
    <w:p w14:paraId="4B0E760B" w14:textId="77777777" w:rsidR="00CE3831" w:rsidRPr="00CE3831" w:rsidRDefault="00CE3831" w:rsidP="00CE3831">
      <w:pPr>
        <w:spacing w:after="0" w:line="240" w:lineRule="auto"/>
        <w:rPr>
          <w:rFonts w:ascii="Calibri" w:eastAsia="MS Mincho" w:hAnsi="Calibri" w:cs="Arial"/>
          <w:lang w:val="en-US"/>
        </w:rPr>
      </w:pPr>
    </w:p>
    <w:p w14:paraId="20950092" w14:textId="77777777" w:rsidR="00C5150E" w:rsidRDefault="00C5150E">
      <w:pPr>
        <w:rPr>
          <w:rFonts w:ascii="Calibri" w:eastAsia="MS Mincho" w:hAnsi="Calibri" w:cs="Arial"/>
          <w:b/>
          <w:color w:val="FF0000"/>
          <w:sz w:val="22"/>
          <w:szCs w:val="28"/>
          <w:lang w:val="en-US"/>
        </w:rPr>
      </w:pPr>
      <w:r>
        <w:br w:type="page"/>
      </w:r>
    </w:p>
    <w:p w14:paraId="04D35346" w14:textId="0F43B7BC" w:rsidR="00CE3831" w:rsidRPr="00A41391" w:rsidRDefault="00CE3831" w:rsidP="00C5150E">
      <w:pPr>
        <w:pStyle w:val="KidneyHeading3"/>
        <w:rPr>
          <w:color w:val="C00000"/>
          <w:sz w:val="28"/>
        </w:rPr>
      </w:pPr>
      <w:r w:rsidRPr="00A41391">
        <w:rPr>
          <w:color w:val="C00000"/>
          <w:sz w:val="28"/>
        </w:rPr>
        <w:lastRenderedPageBreak/>
        <w:t>Secretariat</w:t>
      </w:r>
    </w:p>
    <w:p w14:paraId="33EC60D8" w14:textId="77777777" w:rsidR="00C5150E" w:rsidRPr="001F6499" w:rsidRDefault="00C5150E" w:rsidP="00010716">
      <w:pPr>
        <w:pStyle w:val="KidneyHeading3"/>
      </w:pPr>
    </w:p>
    <w:tbl>
      <w:tblPr>
        <w:tblStyle w:val="TableGrid1"/>
        <w:tblW w:w="9071" w:type="dxa"/>
        <w:tblLook w:val="04A0" w:firstRow="1" w:lastRow="0" w:firstColumn="1" w:lastColumn="0" w:noHBand="0" w:noVBand="1"/>
      </w:tblPr>
      <w:tblGrid>
        <w:gridCol w:w="2268"/>
        <w:gridCol w:w="6803"/>
      </w:tblGrid>
      <w:tr w:rsidR="00A061FE" w:rsidRPr="00CE3831" w14:paraId="1DF71431" w14:textId="77777777" w:rsidTr="009B2280">
        <w:trPr>
          <w:trHeight w:val="20"/>
        </w:trPr>
        <w:tc>
          <w:tcPr>
            <w:tcW w:w="2268" w:type="dxa"/>
          </w:tcPr>
          <w:p w14:paraId="3A2E5EA6" w14:textId="76FE7B92" w:rsidR="00CE3831" w:rsidRPr="00A41391" w:rsidRDefault="00FD2C52" w:rsidP="00CE3831">
            <w:pPr>
              <w:rPr>
                <w:rFonts w:ascii="Calibri" w:hAnsi="Calibri" w:cs="Times New Roman"/>
                <w:bCs/>
                <w:color w:val="000000" w:themeColor="text1"/>
              </w:rPr>
            </w:pPr>
            <w:r w:rsidRPr="00A41391">
              <w:rPr>
                <w:rFonts w:ascii="Calibri" w:hAnsi="Calibri" w:cs="Times New Roman"/>
                <w:color w:val="000000" w:themeColor="text1"/>
              </w:rPr>
              <w:t>C</w:t>
            </w:r>
            <w:r w:rsidR="00CE3831" w:rsidRPr="00A41391">
              <w:rPr>
                <w:rFonts w:ascii="Calibri" w:hAnsi="Calibri" w:cs="Times New Roman"/>
                <w:color w:val="000000" w:themeColor="text1"/>
              </w:rPr>
              <w:t>hris Forbes</w:t>
            </w:r>
          </w:p>
        </w:tc>
        <w:tc>
          <w:tcPr>
            <w:tcW w:w="6803" w:type="dxa"/>
          </w:tcPr>
          <w:p w14:paraId="1FF1E551" w14:textId="77777777" w:rsidR="00CE3831" w:rsidRPr="00CE3831" w:rsidRDefault="00CE3831" w:rsidP="00CE3831">
            <w:pPr>
              <w:rPr>
                <w:rFonts w:ascii="Calibri" w:hAnsi="Calibri" w:cs="Times New Roman"/>
                <w:color w:val="FF0000"/>
              </w:rPr>
            </w:pPr>
            <w:r w:rsidRPr="00CE3831">
              <w:rPr>
                <w:rFonts w:ascii="Calibri" w:hAnsi="Calibri" w:cs="Times New Roman"/>
                <w:color w:val="000000"/>
              </w:rPr>
              <w:t>CEO, Kidney Health Australia (from November 2018)</w:t>
            </w:r>
          </w:p>
        </w:tc>
      </w:tr>
      <w:tr w:rsidR="00A061FE" w:rsidRPr="00CE3831" w14:paraId="5E753C5D" w14:textId="77777777" w:rsidTr="009B2280">
        <w:trPr>
          <w:trHeight w:val="20"/>
        </w:trPr>
        <w:tc>
          <w:tcPr>
            <w:tcW w:w="2268" w:type="dxa"/>
          </w:tcPr>
          <w:p w14:paraId="2ACE6562" w14:textId="77777777" w:rsidR="00CE3831" w:rsidRPr="00A41391" w:rsidRDefault="00CE3831" w:rsidP="00CE3831">
            <w:pPr>
              <w:rPr>
                <w:rFonts w:ascii="Calibri" w:hAnsi="Calibri" w:cs="Times New Roman"/>
                <w:bCs/>
                <w:color w:val="000000" w:themeColor="text1"/>
              </w:rPr>
            </w:pPr>
            <w:r w:rsidRPr="00A41391">
              <w:rPr>
                <w:rFonts w:ascii="Calibri" w:hAnsi="Calibri" w:cs="Times New Roman"/>
                <w:color w:val="000000" w:themeColor="text1"/>
              </w:rPr>
              <w:t>A/Prof Shilpa Jesudason</w:t>
            </w:r>
          </w:p>
        </w:tc>
        <w:tc>
          <w:tcPr>
            <w:tcW w:w="6803" w:type="dxa"/>
          </w:tcPr>
          <w:p w14:paraId="4B142250" w14:textId="1CAB36D9" w:rsidR="00CE3831" w:rsidRPr="00CE3831" w:rsidRDefault="00CE3831" w:rsidP="00CE3831">
            <w:pPr>
              <w:rPr>
                <w:rFonts w:ascii="Calibri" w:hAnsi="Calibri" w:cs="Times New Roman"/>
                <w:color w:val="FF0000"/>
              </w:rPr>
            </w:pPr>
            <w:r w:rsidRPr="00CE3831">
              <w:rPr>
                <w:rFonts w:ascii="Calibri" w:hAnsi="Calibri" w:cs="Times New Roman"/>
              </w:rPr>
              <w:t>Nephrologist</w:t>
            </w:r>
            <w:r w:rsidR="005B3F9F">
              <w:rPr>
                <w:rFonts w:ascii="Calibri" w:hAnsi="Calibri" w:cs="Times New Roman"/>
              </w:rPr>
              <w:t>, Royal Adelaide Hospital</w:t>
            </w:r>
            <w:r w:rsidRPr="00CE3831">
              <w:rPr>
                <w:rFonts w:ascii="Calibri" w:hAnsi="Calibri" w:cs="Times New Roman"/>
              </w:rPr>
              <w:t xml:space="preserve">; Clinical Director Kidney Health Australia; </w:t>
            </w:r>
            <w:r w:rsidR="005B3F9F">
              <w:rPr>
                <w:rFonts w:ascii="Calibri" w:hAnsi="Calibri" w:cs="Times New Roman"/>
              </w:rPr>
              <w:t xml:space="preserve">Chair, NSAP </w:t>
            </w:r>
            <w:r w:rsidRPr="00CE3831">
              <w:rPr>
                <w:rFonts w:ascii="Calibri" w:hAnsi="Calibri" w:cs="Times New Roman"/>
              </w:rPr>
              <w:t>Advisory Group</w:t>
            </w:r>
          </w:p>
        </w:tc>
      </w:tr>
      <w:tr w:rsidR="00A061FE" w:rsidRPr="00CE3831" w14:paraId="57AC9722" w14:textId="77777777" w:rsidTr="009B2280">
        <w:trPr>
          <w:trHeight w:val="20"/>
        </w:trPr>
        <w:tc>
          <w:tcPr>
            <w:tcW w:w="2268" w:type="dxa"/>
          </w:tcPr>
          <w:p w14:paraId="5299ABCD" w14:textId="77777777" w:rsidR="00CE3831" w:rsidRPr="00A41391" w:rsidRDefault="00CE3831" w:rsidP="00CE3831">
            <w:pPr>
              <w:rPr>
                <w:rFonts w:ascii="Calibri" w:hAnsi="Calibri" w:cs="Times New Roman"/>
                <w:bCs/>
                <w:color w:val="000000" w:themeColor="text1"/>
              </w:rPr>
            </w:pPr>
            <w:r w:rsidRPr="00A41391">
              <w:rPr>
                <w:rFonts w:ascii="Calibri" w:hAnsi="Calibri" w:cs="Times New Roman"/>
                <w:color w:val="000000" w:themeColor="text1"/>
              </w:rPr>
              <w:t>Dr Lisa Murphy</w:t>
            </w:r>
          </w:p>
        </w:tc>
        <w:tc>
          <w:tcPr>
            <w:tcW w:w="6803" w:type="dxa"/>
          </w:tcPr>
          <w:p w14:paraId="6C60C684" w14:textId="77777777" w:rsidR="00CE3831" w:rsidRPr="00CE3831" w:rsidRDefault="00CE3831" w:rsidP="00CE3831">
            <w:pPr>
              <w:rPr>
                <w:rFonts w:ascii="Calibri" w:hAnsi="Calibri" w:cs="Times New Roman"/>
                <w:color w:val="FF0000"/>
              </w:rPr>
            </w:pPr>
            <w:r w:rsidRPr="00CE3831">
              <w:rPr>
                <w:rFonts w:ascii="Calibri" w:hAnsi="Calibri" w:cs="Times New Roman"/>
                <w:color w:val="000000"/>
              </w:rPr>
              <w:t>Interim CEO (until October 2018); GM Prevention and Advocacy (from November 2018), Kidney Health Australia</w:t>
            </w:r>
          </w:p>
        </w:tc>
      </w:tr>
      <w:tr w:rsidR="00A061FE" w:rsidRPr="00CE3831" w14:paraId="16B0C054" w14:textId="77777777" w:rsidTr="009B2280">
        <w:trPr>
          <w:trHeight w:val="20"/>
        </w:trPr>
        <w:tc>
          <w:tcPr>
            <w:tcW w:w="2268" w:type="dxa"/>
          </w:tcPr>
          <w:p w14:paraId="132EE3D2" w14:textId="77777777" w:rsidR="00CE3831" w:rsidRPr="00A41391" w:rsidRDefault="00CE3831" w:rsidP="00CE3831">
            <w:pPr>
              <w:rPr>
                <w:rFonts w:ascii="Calibri" w:hAnsi="Calibri" w:cs="Times New Roman"/>
                <w:bCs/>
                <w:color w:val="000000" w:themeColor="text1"/>
              </w:rPr>
            </w:pPr>
            <w:r w:rsidRPr="00A41391">
              <w:rPr>
                <w:rFonts w:ascii="Calibri" w:hAnsi="Calibri" w:cs="Times New Roman"/>
                <w:color w:val="000000" w:themeColor="text1"/>
              </w:rPr>
              <w:t>Dr Emma Tinning</w:t>
            </w:r>
          </w:p>
        </w:tc>
        <w:tc>
          <w:tcPr>
            <w:tcW w:w="6803" w:type="dxa"/>
          </w:tcPr>
          <w:p w14:paraId="08E6BB6B" w14:textId="77777777" w:rsidR="00CE3831" w:rsidRPr="00CE3831" w:rsidRDefault="00CE3831" w:rsidP="00CE3831">
            <w:pPr>
              <w:rPr>
                <w:rFonts w:ascii="Calibri" w:hAnsi="Calibri" w:cs="Times New Roman"/>
              </w:rPr>
            </w:pPr>
            <w:r w:rsidRPr="00CE3831">
              <w:rPr>
                <w:rFonts w:ascii="Calibri" w:hAnsi="Calibri" w:cs="Times New Roman"/>
              </w:rPr>
              <w:t>Executive Officer National Strategic Action Plan for Kidney Disease, Kidney Health Australia</w:t>
            </w:r>
          </w:p>
        </w:tc>
      </w:tr>
    </w:tbl>
    <w:p w14:paraId="15CF22CC" w14:textId="77777777" w:rsidR="00CE3831" w:rsidRPr="00CE3831" w:rsidRDefault="00CE3831" w:rsidP="00CE3831">
      <w:pPr>
        <w:spacing w:after="0" w:line="240" w:lineRule="auto"/>
        <w:rPr>
          <w:rFonts w:ascii="Calibri" w:eastAsia="MS Mincho" w:hAnsi="Calibri" w:cs="Times New Roman"/>
          <w:color w:val="FF0000"/>
          <w:lang w:val="en-US"/>
        </w:rPr>
      </w:pPr>
    </w:p>
    <w:p w14:paraId="46769C23" w14:textId="77777777" w:rsidR="00CE3831" w:rsidRPr="00CE3831" w:rsidRDefault="00CE3831" w:rsidP="00CE3831">
      <w:pPr>
        <w:spacing w:after="0" w:line="240" w:lineRule="auto"/>
        <w:rPr>
          <w:rFonts w:ascii="Calibri" w:eastAsia="MS Mincho" w:hAnsi="Calibri" w:cs="Times New Roman"/>
          <w:lang w:val="en-US"/>
        </w:rPr>
      </w:pPr>
    </w:p>
    <w:p w14:paraId="1D85FEDC" w14:textId="0A3F9D50" w:rsidR="003144C8" w:rsidRPr="00A41391" w:rsidRDefault="00CE3831" w:rsidP="00165057">
      <w:pPr>
        <w:pStyle w:val="KidneyHeading3"/>
        <w:rPr>
          <w:color w:val="C00000"/>
          <w:sz w:val="28"/>
        </w:rPr>
      </w:pPr>
      <w:r w:rsidRPr="00A41391">
        <w:rPr>
          <w:color w:val="C00000"/>
          <w:sz w:val="28"/>
        </w:rPr>
        <w:t>Kidney Health Australia Consumer Council</w:t>
      </w:r>
    </w:p>
    <w:p w14:paraId="4582C753" w14:textId="77777777" w:rsidR="009F442A" w:rsidRDefault="009F442A" w:rsidP="00165057">
      <w:pPr>
        <w:pStyle w:val="KidneyHeading3"/>
      </w:pPr>
    </w:p>
    <w:p w14:paraId="64BB7D4E" w14:textId="4C847FCB" w:rsidR="00154330" w:rsidRPr="00010716" w:rsidRDefault="0011240E" w:rsidP="00010716">
      <w:pPr>
        <w:pStyle w:val="ListBullet"/>
      </w:pPr>
      <w:r w:rsidRPr="00010716">
        <w:t xml:space="preserve">Paolo Cardelli (Chair) </w:t>
      </w:r>
    </w:p>
    <w:p w14:paraId="701C3B16" w14:textId="77777777" w:rsidR="0011240E" w:rsidRPr="00010716" w:rsidRDefault="0011240E" w:rsidP="00010716">
      <w:pPr>
        <w:pStyle w:val="ListBullet"/>
      </w:pPr>
      <w:r w:rsidRPr="00010716">
        <w:t>Martin Chambers</w:t>
      </w:r>
    </w:p>
    <w:p w14:paraId="06139D60" w14:textId="77777777" w:rsidR="0011240E" w:rsidRPr="00010716" w:rsidRDefault="0011240E" w:rsidP="00010716">
      <w:pPr>
        <w:pStyle w:val="ListBullet"/>
      </w:pPr>
      <w:r w:rsidRPr="00010716">
        <w:t xml:space="preserve">Dale </w:t>
      </w:r>
      <w:proofErr w:type="spellStart"/>
      <w:r w:rsidRPr="00010716">
        <w:t>Creely</w:t>
      </w:r>
      <w:proofErr w:type="spellEnd"/>
    </w:p>
    <w:p w14:paraId="39893262" w14:textId="77777777" w:rsidR="0011240E" w:rsidRPr="00010716" w:rsidRDefault="0011240E" w:rsidP="00010716">
      <w:pPr>
        <w:pStyle w:val="ListBullet"/>
      </w:pPr>
      <w:r w:rsidRPr="00010716">
        <w:t xml:space="preserve">William </w:t>
      </w:r>
      <w:proofErr w:type="spellStart"/>
      <w:r w:rsidRPr="00010716">
        <w:t>Handke</w:t>
      </w:r>
      <w:proofErr w:type="spellEnd"/>
    </w:p>
    <w:p w14:paraId="5F5EB084" w14:textId="77777777" w:rsidR="0011240E" w:rsidRPr="00010716" w:rsidRDefault="0011240E" w:rsidP="00010716">
      <w:pPr>
        <w:pStyle w:val="ListBullet"/>
      </w:pPr>
      <w:r w:rsidRPr="00010716">
        <w:t>Shaun Johnson</w:t>
      </w:r>
    </w:p>
    <w:p w14:paraId="4EA6ACC4" w14:textId="77777777" w:rsidR="0011240E" w:rsidRPr="00010716" w:rsidRDefault="0011240E" w:rsidP="00010716">
      <w:pPr>
        <w:pStyle w:val="ListBullet"/>
      </w:pPr>
      <w:r w:rsidRPr="00010716">
        <w:t>Peter Williams</w:t>
      </w:r>
      <w:r w:rsidRPr="00010716">
        <w:tab/>
      </w:r>
    </w:p>
    <w:p w14:paraId="6B3EBBDC" w14:textId="77777777" w:rsidR="0011240E" w:rsidRPr="00010716" w:rsidRDefault="0011240E" w:rsidP="00010716">
      <w:pPr>
        <w:pStyle w:val="ListBullet"/>
      </w:pPr>
      <w:r w:rsidRPr="00010716">
        <w:t>Mason Little</w:t>
      </w:r>
    </w:p>
    <w:p w14:paraId="60B9CCE6" w14:textId="77777777" w:rsidR="0011240E" w:rsidRPr="00010716" w:rsidRDefault="0011240E" w:rsidP="00010716">
      <w:pPr>
        <w:pStyle w:val="ListBullet"/>
      </w:pPr>
      <w:r w:rsidRPr="00010716">
        <w:t>Barry MacKinnon</w:t>
      </w:r>
    </w:p>
    <w:p w14:paraId="52F675A3" w14:textId="77777777" w:rsidR="0011240E" w:rsidRPr="00010716" w:rsidRDefault="0011240E" w:rsidP="00010716">
      <w:pPr>
        <w:pStyle w:val="ListBullet"/>
      </w:pPr>
      <w:r w:rsidRPr="00010716">
        <w:t>Fabian Marsden</w:t>
      </w:r>
    </w:p>
    <w:p w14:paraId="540BBF23" w14:textId="77777777" w:rsidR="0011240E" w:rsidRPr="00010716" w:rsidRDefault="0011240E" w:rsidP="00010716">
      <w:pPr>
        <w:pStyle w:val="ListBullet"/>
      </w:pPr>
      <w:r w:rsidRPr="00010716">
        <w:t>Wayne McGlone</w:t>
      </w:r>
    </w:p>
    <w:p w14:paraId="61B08225" w14:textId="77777777" w:rsidR="0011240E" w:rsidRPr="00010716" w:rsidRDefault="0011240E" w:rsidP="00010716">
      <w:pPr>
        <w:pStyle w:val="ListBullet"/>
      </w:pPr>
      <w:r w:rsidRPr="00010716">
        <w:t>Luke Macauley</w:t>
      </w:r>
    </w:p>
    <w:p w14:paraId="4B7DBCE0" w14:textId="77777777" w:rsidR="0011240E" w:rsidRPr="00010716" w:rsidRDefault="0011240E" w:rsidP="00010716">
      <w:pPr>
        <w:pStyle w:val="ListBullet"/>
      </w:pPr>
      <w:r w:rsidRPr="00010716">
        <w:t xml:space="preserve">David Morgan </w:t>
      </w:r>
      <w:r w:rsidRPr="00010716">
        <w:tab/>
      </w:r>
    </w:p>
    <w:p w14:paraId="31C3CBBF" w14:textId="77777777" w:rsidR="0011240E" w:rsidRPr="00010716" w:rsidRDefault="0011240E" w:rsidP="00010716">
      <w:pPr>
        <w:pStyle w:val="ListBullet"/>
      </w:pPr>
      <w:r w:rsidRPr="00010716">
        <w:t>Dr Shyam Muthuramalingam</w:t>
      </w:r>
    </w:p>
    <w:p w14:paraId="3F6C2738" w14:textId="77777777" w:rsidR="0011240E" w:rsidRPr="00010716" w:rsidRDefault="0011240E" w:rsidP="00010716">
      <w:pPr>
        <w:pStyle w:val="ListBullet"/>
      </w:pPr>
      <w:r w:rsidRPr="00010716">
        <w:t xml:space="preserve">Dr Tamara Paget </w:t>
      </w:r>
    </w:p>
    <w:p w14:paraId="3329581A" w14:textId="77777777" w:rsidR="0011240E" w:rsidRPr="00010716" w:rsidRDefault="0011240E" w:rsidP="00010716">
      <w:pPr>
        <w:pStyle w:val="ListBullet"/>
      </w:pPr>
      <w:r w:rsidRPr="00010716">
        <w:t>Dr Chirag Patel</w:t>
      </w:r>
    </w:p>
    <w:p w14:paraId="54259F3B" w14:textId="77777777" w:rsidR="0011240E" w:rsidRPr="00010716" w:rsidRDefault="0011240E" w:rsidP="00010716">
      <w:pPr>
        <w:pStyle w:val="ListBullet"/>
      </w:pPr>
      <w:r w:rsidRPr="00010716">
        <w:t xml:space="preserve">Cilla </w:t>
      </w:r>
      <w:proofErr w:type="spellStart"/>
      <w:r w:rsidRPr="00010716">
        <w:t>Preece</w:t>
      </w:r>
      <w:proofErr w:type="spellEnd"/>
    </w:p>
    <w:p w14:paraId="425A86B5" w14:textId="77777777" w:rsidR="0011240E" w:rsidRPr="00010716" w:rsidRDefault="0011240E" w:rsidP="00010716">
      <w:pPr>
        <w:pStyle w:val="ListBullet"/>
      </w:pPr>
      <w:r w:rsidRPr="00010716">
        <w:t>Ted Russell</w:t>
      </w:r>
    </w:p>
    <w:p w14:paraId="2669773F" w14:textId="0AF2CA8A" w:rsidR="0020765A" w:rsidRPr="0011240E" w:rsidRDefault="0011240E" w:rsidP="00010716">
      <w:pPr>
        <w:pStyle w:val="ListBullet"/>
      </w:pPr>
      <w:r w:rsidRPr="0011240E">
        <w:t>Jan Watso</w:t>
      </w:r>
      <w:r w:rsidR="0020765A">
        <w:t>n</w:t>
      </w:r>
    </w:p>
    <w:p w14:paraId="0C4C4BC2" w14:textId="77777777" w:rsidR="0020765A" w:rsidRPr="00010716" w:rsidRDefault="0020765A" w:rsidP="00010716">
      <w:pPr>
        <w:pStyle w:val="ListBullet"/>
        <w:numPr>
          <w:ilvl w:val="0"/>
          <w:numId w:val="0"/>
        </w:numPr>
        <w:spacing w:after="0" w:line="240" w:lineRule="auto"/>
        <w:ind w:left="360"/>
        <w:rPr>
          <w:rFonts w:ascii="Calibri" w:eastAsia="MS Mincho" w:hAnsi="Calibri" w:cs="Times New Roman"/>
          <w:color w:val="FF0000"/>
          <w:lang w:val="en-US"/>
        </w:rPr>
      </w:pPr>
    </w:p>
    <w:p w14:paraId="6BF327DC" w14:textId="77777777" w:rsidR="00CE3831" w:rsidRPr="00A41391" w:rsidRDefault="00CE3831" w:rsidP="00010716">
      <w:pPr>
        <w:pStyle w:val="KidneyHeading3"/>
        <w:rPr>
          <w:color w:val="C00000"/>
          <w:sz w:val="28"/>
        </w:rPr>
      </w:pPr>
      <w:r w:rsidRPr="00A41391">
        <w:rPr>
          <w:color w:val="C00000"/>
          <w:sz w:val="28"/>
        </w:rPr>
        <w:t>Roundtable Participants</w:t>
      </w:r>
    </w:p>
    <w:p w14:paraId="6A4D05D3" w14:textId="77777777" w:rsidR="00CE3831" w:rsidRPr="00CE3831" w:rsidRDefault="00CE3831" w:rsidP="00CE3831">
      <w:pPr>
        <w:spacing w:after="0" w:line="240" w:lineRule="auto"/>
        <w:rPr>
          <w:rFonts w:ascii="Calibri" w:eastAsia="MS Mincho" w:hAnsi="Calibri" w:cs="Times New Roman"/>
          <w:color w:val="FF0000"/>
          <w:lang w:val="en-US"/>
        </w:rPr>
      </w:pPr>
    </w:p>
    <w:tbl>
      <w:tblPr>
        <w:tblStyle w:val="TableGrid1"/>
        <w:tblW w:w="9071" w:type="dxa"/>
        <w:tblLook w:val="04A0" w:firstRow="1" w:lastRow="0" w:firstColumn="1" w:lastColumn="0" w:noHBand="0" w:noVBand="1"/>
      </w:tblPr>
      <w:tblGrid>
        <w:gridCol w:w="2268"/>
        <w:gridCol w:w="6803"/>
      </w:tblGrid>
      <w:tr w:rsidR="00CE3831" w:rsidRPr="00CE3831" w14:paraId="16F16BF2" w14:textId="77777777" w:rsidTr="009B2280">
        <w:trPr>
          <w:trHeight w:val="20"/>
        </w:trPr>
        <w:tc>
          <w:tcPr>
            <w:tcW w:w="2268" w:type="dxa"/>
            <w:hideMark/>
          </w:tcPr>
          <w:p w14:paraId="27E566DD" w14:textId="77777777" w:rsidR="00CE3831" w:rsidRPr="00A41391" w:rsidRDefault="00CE3831" w:rsidP="00CE3831">
            <w:pPr>
              <w:rPr>
                <w:rFonts w:ascii="Calibri" w:hAnsi="Calibri" w:cs="Times New Roman"/>
                <w:b/>
                <w:bCs/>
              </w:rPr>
            </w:pPr>
            <w:r w:rsidRPr="00A41391">
              <w:rPr>
                <w:rFonts w:ascii="Calibri" w:hAnsi="Calibri" w:cs="Times New Roman"/>
                <w:b/>
                <w:bCs/>
              </w:rPr>
              <w:t>Prof Stephen Alexander</w:t>
            </w:r>
          </w:p>
        </w:tc>
        <w:tc>
          <w:tcPr>
            <w:tcW w:w="6803" w:type="dxa"/>
            <w:hideMark/>
          </w:tcPr>
          <w:p w14:paraId="26A805C0" w14:textId="0E324D38" w:rsidR="00CE3831" w:rsidRPr="00CE3831" w:rsidRDefault="00591C28" w:rsidP="00CE3831">
            <w:pPr>
              <w:rPr>
                <w:rFonts w:ascii="Calibri" w:hAnsi="Calibri" w:cs="Times New Roman"/>
                <w:color w:val="000000"/>
              </w:rPr>
            </w:pPr>
            <w:r>
              <w:rPr>
                <w:rFonts w:ascii="Calibri" w:hAnsi="Calibri" w:cs="Times New Roman"/>
                <w:color w:val="000000"/>
              </w:rPr>
              <w:t xml:space="preserve">Nephrologist, </w:t>
            </w:r>
            <w:r w:rsidR="00CE3831" w:rsidRPr="00CE3831">
              <w:rPr>
                <w:rFonts w:ascii="Calibri" w:hAnsi="Calibri" w:cs="Times New Roman"/>
                <w:color w:val="000000"/>
              </w:rPr>
              <w:t>President, TSANZ</w:t>
            </w:r>
          </w:p>
        </w:tc>
      </w:tr>
      <w:tr w:rsidR="00CE3831" w:rsidRPr="00CE3831" w14:paraId="7CD3F9F9" w14:textId="77777777" w:rsidTr="009B2280">
        <w:trPr>
          <w:trHeight w:val="20"/>
        </w:trPr>
        <w:tc>
          <w:tcPr>
            <w:tcW w:w="2268" w:type="dxa"/>
            <w:hideMark/>
          </w:tcPr>
          <w:p w14:paraId="46C6EA8C" w14:textId="1BD78E72" w:rsidR="00CE3831" w:rsidRPr="00A41391" w:rsidRDefault="00CE3831" w:rsidP="00CE3831">
            <w:pPr>
              <w:rPr>
                <w:rFonts w:ascii="Calibri" w:hAnsi="Calibri" w:cs="Times New Roman"/>
                <w:b/>
                <w:bCs/>
              </w:rPr>
            </w:pPr>
            <w:r w:rsidRPr="00A41391">
              <w:rPr>
                <w:rFonts w:ascii="Calibri" w:hAnsi="Calibri" w:cs="Times New Roman"/>
                <w:b/>
                <w:bCs/>
              </w:rPr>
              <w:t xml:space="preserve">Toni </w:t>
            </w:r>
            <w:proofErr w:type="spellStart"/>
            <w:r w:rsidRPr="00A41391">
              <w:rPr>
                <w:rFonts w:ascii="Calibri" w:hAnsi="Calibri" w:cs="Times New Roman"/>
                <w:b/>
                <w:bCs/>
              </w:rPr>
              <w:t>Aslett</w:t>
            </w:r>
            <w:proofErr w:type="spellEnd"/>
          </w:p>
        </w:tc>
        <w:tc>
          <w:tcPr>
            <w:tcW w:w="6803" w:type="dxa"/>
            <w:hideMark/>
          </w:tcPr>
          <w:p w14:paraId="5820C936" w14:textId="77777777" w:rsidR="00CE3831" w:rsidRPr="00CE3831" w:rsidRDefault="00CE3831" w:rsidP="00CE3831">
            <w:pPr>
              <w:rPr>
                <w:rFonts w:ascii="Calibri" w:hAnsi="Calibri" w:cs="Times New Roman"/>
                <w:color w:val="000000"/>
              </w:rPr>
            </w:pPr>
            <w:r w:rsidRPr="00CE3831">
              <w:rPr>
                <w:rFonts w:ascii="Calibri" w:hAnsi="Calibri" w:cs="Times New Roman"/>
                <w:color w:val="000000"/>
              </w:rPr>
              <w:t>Executive Director Stroke Services, Stroke Foundation</w:t>
            </w:r>
          </w:p>
        </w:tc>
      </w:tr>
      <w:tr w:rsidR="00CE3831" w:rsidRPr="00CE3831" w14:paraId="18510D5D" w14:textId="77777777" w:rsidTr="009B2280">
        <w:trPr>
          <w:trHeight w:val="20"/>
        </w:trPr>
        <w:tc>
          <w:tcPr>
            <w:tcW w:w="2268" w:type="dxa"/>
            <w:hideMark/>
          </w:tcPr>
          <w:p w14:paraId="6B29D218" w14:textId="37806F60" w:rsidR="00CE3831" w:rsidRPr="00A41391" w:rsidRDefault="00CE3831" w:rsidP="00CE3831">
            <w:pPr>
              <w:rPr>
                <w:rFonts w:ascii="Calibri" w:hAnsi="Calibri" w:cs="Times New Roman"/>
                <w:b/>
                <w:bCs/>
              </w:rPr>
            </w:pPr>
            <w:r w:rsidRPr="00A41391">
              <w:rPr>
                <w:rFonts w:ascii="Calibri" w:hAnsi="Calibri" w:cs="Times New Roman"/>
                <w:b/>
                <w:bCs/>
              </w:rPr>
              <w:t>Karen Booth</w:t>
            </w:r>
          </w:p>
        </w:tc>
        <w:tc>
          <w:tcPr>
            <w:tcW w:w="6803" w:type="dxa"/>
            <w:hideMark/>
          </w:tcPr>
          <w:p w14:paraId="3E6DE0AC" w14:textId="77777777" w:rsidR="00CE3831" w:rsidRPr="00CE3831" w:rsidRDefault="00CE3831" w:rsidP="00CE3831">
            <w:pPr>
              <w:rPr>
                <w:rFonts w:ascii="Calibri" w:hAnsi="Calibri" w:cs="Times New Roman"/>
                <w:color w:val="000000"/>
              </w:rPr>
            </w:pPr>
            <w:r w:rsidRPr="00CE3831">
              <w:rPr>
                <w:rFonts w:ascii="Calibri" w:hAnsi="Calibri" w:cs="Times New Roman"/>
                <w:color w:val="000000"/>
              </w:rPr>
              <w:t>Primary Care Nurse; President, APNA; Action Plan Advisory Group</w:t>
            </w:r>
          </w:p>
        </w:tc>
      </w:tr>
      <w:tr w:rsidR="00FD2C52" w:rsidRPr="00CE3831" w14:paraId="208A6034" w14:textId="77777777" w:rsidTr="009B2280">
        <w:trPr>
          <w:trHeight w:val="20"/>
        </w:trPr>
        <w:tc>
          <w:tcPr>
            <w:tcW w:w="2268" w:type="dxa"/>
          </w:tcPr>
          <w:p w14:paraId="3B678BB2" w14:textId="5D5926C5" w:rsidR="00FD2C52" w:rsidRPr="00A41391" w:rsidDel="00FD2C52" w:rsidRDefault="00FD2C52" w:rsidP="00CE3831">
            <w:pPr>
              <w:rPr>
                <w:rFonts w:ascii="Calibri" w:hAnsi="Calibri" w:cs="Times New Roman"/>
                <w:b/>
                <w:bCs/>
              </w:rPr>
            </w:pPr>
            <w:r w:rsidRPr="00A41391">
              <w:rPr>
                <w:rFonts w:ascii="Calibri" w:hAnsi="Calibri" w:cs="Times New Roman"/>
                <w:b/>
                <w:bCs/>
              </w:rPr>
              <w:t>Dr Katherine Barraclough</w:t>
            </w:r>
          </w:p>
        </w:tc>
        <w:tc>
          <w:tcPr>
            <w:tcW w:w="6803" w:type="dxa"/>
          </w:tcPr>
          <w:p w14:paraId="0E67007C" w14:textId="4BC51B80" w:rsidR="00FD2C52" w:rsidRPr="00CE3831" w:rsidRDefault="00FD2C52" w:rsidP="00CE3831">
            <w:pPr>
              <w:rPr>
                <w:rFonts w:ascii="Calibri" w:hAnsi="Calibri" w:cs="Times New Roman"/>
                <w:color w:val="000000"/>
              </w:rPr>
            </w:pPr>
            <w:r>
              <w:rPr>
                <w:rFonts w:ascii="Calibri" w:hAnsi="Calibri" w:cs="Times New Roman"/>
                <w:color w:val="000000"/>
              </w:rPr>
              <w:t>Nephrologist</w:t>
            </w:r>
            <w:r w:rsidR="009F24E5">
              <w:rPr>
                <w:rFonts w:ascii="Calibri" w:hAnsi="Calibri" w:cs="Times New Roman"/>
                <w:color w:val="000000"/>
              </w:rPr>
              <w:t xml:space="preserve">; Chair of </w:t>
            </w:r>
            <w:r w:rsidR="009F24E5" w:rsidRPr="009F24E5">
              <w:rPr>
                <w:rFonts w:ascii="Calibri" w:hAnsi="Calibri" w:cs="Times New Roman"/>
                <w:color w:val="000000"/>
              </w:rPr>
              <w:t>ANZSN Green Nephrology Working Group</w:t>
            </w:r>
          </w:p>
        </w:tc>
      </w:tr>
      <w:tr w:rsidR="00CE3831" w:rsidRPr="00CE3831" w14:paraId="7E4A9893" w14:textId="77777777" w:rsidTr="009B2280">
        <w:trPr>
          <w:trHeight w:val="20"/>
        </w:trPr>
        <w:tc>
          <w:tcPr>
            <w:tcW w:w="2268" w:type="dxa"/>
            <w:hideMark/>
          </w:tcPr>
          <w:p w14:paraId="787A6B52" w14:textId="553D860C" w:rsidR="00CE3831" w:rsidRPr="00A41391" w:rsidRDefault="00CE3831" w:rsidP="00CE3831">
            <w:pPr>
              <w:rPr>
                <w:rFonts w:ascii="Calibri" w:hAnsi="Calibri" w:cs="Times New Roman"/>
                <w:b/>
                <w:bCs/>
              </w:rPr>
            </w:pPr>
            <w:r w:rsidRPr="00A41391">
              <w:rPr>
                <w:rFonts w:ascii="Calibri" w:hAnsi="Calibri" w:cs="Times New Roman"/>
                <w:b/>
                <w:bCs/>
              </w:rPr>
              <w:t>Sarah Brown</w:t>
            </w:r>
          </w:p>
        </w:tc>
        <w:tc>
          <w:tcPr>
            <w:tcW w:w="6803" w:type="dxa"/>
            <w:hideMark/>
          </w:tcPr>
          <w:p w14:paraId="0B740E05" w14:textId="77777777" w:rsidR="00CE3831" w:rsidRPr="00CE3831" w:rsidRDefault="00CE3831" w:rsidP="00CE3831">
            <w:pPr>
              <w:rPr>
                <w:rFonts w:ascii="Calibri" w:hAnsi="Calibri" w:cs="Times New Roman"/>
                <w:color w:val="000000"/>
              </w:rPr>
            </w:pPr>
            <w:r w:rsidRPr="00CE3831">
              <w:rPr>
                <w:rFonts w:ascii="Calibri" w:hAnsi="Calibri" w:cs="Times New Roman"/>
                <w:color w:val="000000"/>
              </w:rPr>
              <w:t>CEO, Purple House</w:t>
            </w:r>
            <w:r w:rsidRPr="00CE3831">
              <w:rPr>
                <w:rFonts w:ascii="Cambria" w:hAnsi="Cambria" w:cs="Times New Roman"/>
              </w:rPr>
              <w:t xml:space="preserve"> </w:t>
            </w:r>
            <w:r w:rsidRPr="00CE3831">
              <w:rPr>
                <w:rFonts w:ascii="Calibri" w:hAnsi="Calibri" w:cs="Times New Roman"/>
                <w:color w:val="000000"/>
              </w:rPr>
              <w:t xml:space="preserve">(Western Desert </w:t>
            </w:r>
            <w:proofErr w:type="spellStart"/>
            <w:r w:rsidRPr="00CE3831">
              <w:rPr>
                <w:rFonts w:ascii="Calibri" w:hAnsi="Calibri" w:cs="Times New Roman"/>
                <w:color w:val="000000"/>
              </w:rPr>
              <w:t>Nganampa</w:t>
            </w:r>
            <w:proofErr w:type="spellEnd"/>
            <w:r w:rsidRPr="00CE3831">
              <w:rPr>
                <w:rFonts w:ascii="Calibri" w:hAnsi="Calibri" w:cs="Times New Roman"/>
                <w:color w:val="000000"/>
              </w:rPr>
              <w:t xml:space="preserve"> </w:t>
            </w:r>
            <w:proofErr w:type="spellStart"/>
            <w:r w:rsidRPr="00CE3831">
              <w:rPr>
                <w:rFonts w:ascii="Calibri" w:hAnsi="Calibri" w:cs="Times New Roman"/>
                <w:color w:val="000000"/>
              </w:rPr>
              <w:t>Walytja</w:t>
            </w:r>
            <w:proofErr w:type="spellEnd"/>
            <w:r w:rsidRPr="00CE3831">
              <w:rPr>
                <w:rFonts w:ascii="Calibri" w:hAnsi="Calibri" w:cs="Times New Roman"/>
                <w:color w:val="000000"/>
              </w:rPr>
              <w:t xml:space="preserve"> </w:t>
            </w:r>
            <w:proofErr w:type="spellStart"/>
            <w:r w:rsidRPr="00CE3831">
              <w:rPr>
                <w:rFonts w:ascii="Calibri" w:hAnsi="Calibri" w:cs="Times New Roman"/>
                <w:color w:val="000000"/>
              </w:rPr>
              <w:t>Palyantjaku</w:t>
            </w:r>
            <w:proofErr w:type="spellEnd"/>
            <w:r w:rsidRPr="00CE3831">
              <w:rPr>
                <w:rFonts w:ascii="Calibri" w:hAnsi="Calibri" w:cs="Times New Roman"/>
                <w:color w:val="000000"/>
              </w:rPr>
              <w:t xml:space="preserve"> </w:t>
            </w:r>
            <w:proofErr w:type="spellStart"/>
            <w:r w:rsidRPr="00CE3831">
              <w:rPr>
                <w:rFonts w:ascii="Calibri" w:hAnsi="Calibri" w:cs="Times New Roman"/>
                <w:color w:val="000000"/>
              </w:rPr>
              <w:t>Tjutaku</w:t>
            </w:r>
            <w:proofErr w:type="spellEnd"/>
            <w:r w:rsidRPr="00CE3831">
              <w:rPr>
                <w:rFonts w:ascii="Calibri" w:hAnsi="Calibri" w:cs="Times New Roman"/>
                <w:color w:val="000000"/>
              </w:rPr>
              <w:t xml:space="preserve"> Aboriginal Corporation)</w:t>
            </w:r>
          </w:p>
        </w:tc>
      </w:tr>
      <w:tr w:rsidR="00CE3831" w:rsidRPr="00CE3831" w14:paraId="568B2B2B" w14:textId="77777777" w:rsidTr="009B2280">
        <w:trPr>
          <w:trHeight w:val="20"/>
        </w:trPr>
        <w:tc>
          <w:tcPr>
            <w:tcW w:w="2268" w:type="dxa"/>
            <w:hideMark/>
          </w:tcPr>
          <w:p w14:paraId="0ECC398A" w14:textId="77777777" w:rsidR="00CE3831" w:rsidRPr="00A41391" w:rsidRDefault="00CE3831" w:rsidP="00CE3831">
            <w:pPr>
              <w:rPr>
                <w:rFonts w:ascii="Calibri" w:hAnsi="Calibri" w:cs="Times New Roman"/>
                <w:b/>
                <w:bCs/>
              </w:rPr>
            </w:pPr>
            <w:r w:rsidRPr="00A41391">
              <w:rPr>
                <w:rFonts w:ascii="Calibri" w:hAnsi="Calibri" w:cs="Times New Roman"/>
                <w:b/>
                <w:bCs/>
              </w:rPr>
              <w:t>Prof Alan Cass</w:t>
            </w:r>
          </w:p>
        </w:tc>
        <w:tc>
          <w:tcPr>
            <w:tcW w:w="6803" w:type="dxa"/>
            <w:hideMark/>
          </w:tcPr>
          <w:p w14:paraId="4BC8199B" w14:textId="77777777" w:rsidR="00CE3831" w:rsidRPr="00CE3831" w:rsidRDefault="00CE3831" w:rsidP="00CE3831">
            <w:pPr>
              <w:rPr>
                <w:rFonts w:ascii="Calibri" w:hAnsi="Calibri" w:cs="Times New Roman"/>
                <w:color w:val="000000"/>
              </w:rPr>
            </w:pPr>
            <w:r w:rsidRPr="00CE3831">
              <w:rPr>
                <w:rFonts w:ascii="Calibri" w:hAnsi="Calibri" w:cs="Times New Roman"/>
                <w:color w:val="000000"/>
              </w:rPr>
              <w:t>Director, Menzies School of Health Research</w:t>
            </w:r>
          </w:p>
        </w:tc>
      </w:tr>
      <w:tr w:rsidR="00CE3831" w:rsidRPr="00CE3831" w14:paraId="4A692ED1" w14:textId="77777777" w:rsidTr="009B2280">
        <w:trPr>
          <w:trHeight w:val="20"/>
        </w:trPr>
        <w:tc>
          <w:tcPr>
            <w:tcW w:w="2268" w:type="dxa"/>
            <w:hideMark/>
          </w:tcPr>
          <w:p w14:paraId="340404FC" w14:textId="344C61D6" w:rsidR="00CE3831" w:rsidRPr="00A41391" w:rsidRDefault="00CE3831" w:rsidP="00CE3831">
            <w:pPr>
              <w:rPr>
                <w:rFonts w:ascii="Calibri" w:hAnsi="Calibri" w:cs="Times New Roman"/>
                <w:b/>
                <w:bCs/>
              </w:rPr>
            </w:pPr>
            <w:r w:rsidRPr="00A41391">
              <w:rPr>
                <w:rFonts w:ascii="Calibri" w:hAnsi="Calibri" w:cs="Times New Roman"/>
                <w:b/>
                <w:bCs/>
              </w:rPr>
              <w:t>Martin Chambers</w:t>
            </w:r>
          </w:p>
        </w:tc>
        <w:tc>
          <w:tcPr>
            <w:tcW w:w="6803" w:type="dxa"/>
            <w:hideMark/>
          </w:tcPr>
          <w:p w14:paraId="194014C3" w14:textId="77089804" w:rsidR="00CE3831" w:rsidRPr="00CE3831" w:rsidRDefault="00FD2C52" w:rsidP="00CE3831">
            <w:pPr>
              <w:rPr>
                <w:rFonts w:ascii="Calibri" w:hAnsi="Calibri" w:cs="Times New Roman"/>
                <w:color w:val="000000"/>
              </w:rPr>
            </w:pPr>
            <w:r>
              <w:rPr>
                <w:rFonts w:ascii="Calibri" w:hAnsi="Calibri" w:cs="Times New Roman"/>
                <w:color w:val="000000"/>
              </w:rPr>
              <w:t>Carer</w:t>
            </w:r>
          </w:p>
        </w:tc>
      </w:tr>
      <w:tr w:rsidR="00CE3831" w:rsidRPr="00CE3831" w14:paraId="54C73120" w14:textId="77777777" w:rsidTr="009B2280">
        <w:trPr>
          <w:trHeight w:val="20"/>
        </w:trPr>
        <w:tc>
          <w:tcPr>
            <w:tcW w:w="2268" w:type="dxa"/>
            <w:hideMark/>
          </w:tcPr>
          <w:p w14:paraId="4035E7AF" w14:textId="3C09AB39" w:rsidR="00CE3831" w:rsidRPr="00A41391" w:rsidRDefault="00591C28" w:rsidP="00CE3831">
            <w:pPr>
              <w:rPr>
                <w:rFonts w:ascii="Calibri" w:hAnsi="Calibri" w:cs="Times New Roman"/>
                <w:b/>
                <w:bCs/>
              </w:rPr>
            </w:pPr>
            <w:r w:rsidRPr="00A41391">
              <w:rPr>
                <w:rFonts w:ascii="Calibri" w:hAnsi="Calibri" w:cs="Times New Roman"/>
                <w:b/>
                <w:bCs/>
              </w:rPr>
              <w:t xml:space="preserve">Prof </w:t>
            </w:r>
            <w:r w:rsidR="00CE3831" w:rsidRPr="00A41391">
              <w:rPr>
                <w:rFonts w:ascii="Calibri" w:hAnsi="Calibri" w:cs="Times New Roman"/>
                <w:b/>
                <w:bCs/>
              </w:rPr>
              <w:t>Toby Coates</w:t>
            </w:r>
          </w:p>
        </w:tc>
        <w:tc>
          <w:tcPr>
            <w:tcW w:w="6803" w:type="dxa"/>
            <w:hideMark/>
          </w:tcPr>
          <w:p w14:paraId="6F0603A8" w14:textId="1FBCBD94" w:rsidR="00CE3831" w:rsidRPr="00CE3831" w:rsidRDefault="00591C28" w:rsidP="00591C28">
            <w:pPr>
              <w:rPr>
                <w:rFonts w:ascii="Calibri" w:hAnsi="Calibri" w:cs="Times New Roman"/>
                <w:color w:val="000000"/>
              </w:rPr>
            </w:pPr>
            <w:r>
              <w:rPr>
                <w:rFonts w:ascii="Calibri" w:hAnsi="Calibri" w:cs="Times New Roman"/>
                <w:color w:val="000000"/>
              </w:rPr>
              <w:t xml:space="preserve">Nephrologist, </w:t>
            </w:r>
            <w:proofErr w:type="spellStart"/>
            <w:r w:rsidR="00FD2C52">
              <w:rPr>
                <w:rFonts w:ascii="Calibri" w:hAnsi="Calibri" w:cs="Times New Roman"/>
                <w:color w:val="000000"/>
              </w:rPr>
              <w:t>Councilor</w:t>
            </w:r>
            <w:proofErr w:type="spellEnd"/>
            <w:r>
              <w:rPr>
                <w:rFonts w:ascii="Calibri" w:hAnsi="Calibri" w:cs="Times New Roman"/>
                <w:color w:val="000000"/>
              </w:rPr>
              <w:t xml:space="preserve"> and </w:t>
            </w:r>
            <w:r w:rsidR="00CE3831" w:rsidRPr="00CE3831">
              <w:rPr>
                <w:rFonts w:ascii="Calibri" w:hAnsi="Calibri" w:cs="Times New Roman"/>
                <w:color w:val="000000"/>
              </w:rPr>
              <w:t xml:space="preserve">President </w:t>
            </w:r>
            <w:r>
              <w:rPr>
                <w:rFonts w:ascii="Calibri" w:hAnsi="Calibri" w:cs="Times New Roman"/>
                <w:color w:val="000000"/>
              </w:rPr>
              <w:t>E</w:t>
            </w:r>
            <w:r w:rsidR="00CE3831" w:rsidRPr="00CE3831">
              <w:rPr>
                <w:rFonts w:ascii="Calibri" w:hAnsi="Calibri" w:cs="Times New Roman"/>
                <w:color w:val="000000"/>
              </w:rPr>
              <w:t>lect, TSANZ</w:t>
            </w:r>
          </w:p>
        </w:tc>
      </w:tr>
      <w:tr w:rsidR="00CE3831" w:rsidRPr="00CE3831" w14:paraId="6FD08D37" w14:textId="77777777" w:rsidTr="009B2280">
        <w:trPr>
          <w:trHeight w:val="20"/>
        </w:trPr>
        <w:tc>
          <w:tcPr>
            <w:tcW w:w="2268" w:type="dxa"/>
            <w:hideMark/>
          </w:tcPr>
          <w:p w14:paraId="78B48472" w14:textId="26C18E70" w:rsidR="00CE3831" w:rsidRPr="00A41391" w:rsidRDefault="00CE3831" w:rsidP="00CE3831">
            <w:pPr>
              <w:rPr>
                <w:rFonts w:ascii="Calibri" w:hAnsi="Calibri" w:cs="Times New Roman"/>
                <w:b/>
                <w:bCs/>
              </w:rPr>
            </w:pPr>
            <w:r w:rsidRPr="00A41391">
              <w:rPr>
                <w:rFonts w:ascii="Calibri" w:hAnsi="Calibri" w:cs="Times New Roman"/>
                <w:b/>
                <w:bCs/>
              </w:rPr>
              <w:t>Helen Coolican</w:t>
            </w:r>
          </w:p>
        </w:tc>
        <w:tc>
          <w:tcPr>
            <w:tcW w:w="6803" w:type="dxa"/>
            <w:hideMark/>
          </w:tcPr>
          <w:p w14:paraId="4049F1DD" w14:textId="77777777" w:rsidR="00CE3831" w:rsidRPr="00CE3831" w:rsidRDefault="00CE3831" w:rsidP="00CE3831">
            <w:pPr>
              <w:rPr>
                <w:rFonts w:ascii="Calibri" w:hAnsi="Calibri" w:cs="Times New Roman"/>
                <w:color w:val="000000"/>
              </w:rPr>
            </w:pPr>
            <w:r w:rsidRPr="00CE3831">
              <w:rPr>
                <w:rFonts w:ascii="Calibri" w:hAnsi="Calibri" w:cs="Times New Roman"/>
                <w:color w:val="000000"/>
              </w:rPr>
              <w:t>PKD Australia</w:t>
            </w:r>
          </w:p>
        </w:tc>
      </w:tr>
      <w:tr w:rsidR="00CE3831" w:rsidRPr="00CE3831" w14:paraId="0AD86ADE" w14:textId="77777777" w:rsidTr="009B2280">
        <w:trPr>
          <w:trHeight w:val="20"/>
        </w:trPr>
        <w:tc>
          <w:tcPr>
            <w:tcW w:w="2268" w:type="dxa"/>
            <w:hideMark/>
          </w:tcPr>
          <w:p w14:paraId="2EC66055" w14:textId="6A8236F3" w:rsidR="00CE3831" w:rsidRPr="00A41391" w:rsidRDefault="00CE3831" w:rsidP="00CE3831">
            <w:pPr>
              <w:rPr>
                <w:rFonts w:ascii="Calibri" w:hAnsi="Calibri" w:cs="Times New Roman"/>
                <w:b/>
                <w:bCs/>
              </w:rPr>
            </w:pPr>
            <w:r w:rsidRPr="00A41391">
              <w:rPr>
                <w:rFonts w:ascii="Calibri" w:hAnsi="Calibri" w:cs="Times New Roman"/>
                <w:b/>
                <w:bCs/>
              </w:rPr>
              <w:t>Judi Cornell</w:t>
            </w:r>
          </w:p>
        </w:tc>
        <w:tc>
          <w:tcPr>
            <w:tcW w:w="6803" w:type="dxa"/>
            <w:hideMark/>
          </w:tcPr>
          <w:p w14:paraId="0B6A5F58" w14:textId="77777777" w:rsidR="00CE3831" w:rsidRPr="00CE3831" w:rsidRDefault="00CE3831" w:rsidP="00CE3831">
            <w:pPr>
              <w:rPr>
                <w:rFonts w:ascii="Calibri" w:hAnsi="Calibri" w:cs="Times New Roman"/>
                <w:color w:val="000000"/>
              </w:rPr>
            </w:pPr>
            <w:r w:rsidRPr="00CE3831">
              <w:rPr>
                <w:rFonts w:ascii="Calibri" w:hAnsi="Calibri" w:cs="Times New Roman"/>
                <w:color w:val="000000"/>
              </w:rPr>
              <w:t>PKD Australia</w:t>
            </w:r>
          </w:p>
        </w:tc>
      </w:tr>
      <w:tr w:rsidR="00CE3831" w:rsidRPr="00CE3831" w14:paraId="26FCC7CB" w14:textId="77777777" w:rsidTr="009B2280">
        <w:trPr>
          <w:trHeight w:val="20"/>
        </w:trPr>
        <w:tc>
          <w:tcPr>
            <w:tcW w:w="2268" w:type="dxa"/>
            <w:hideMark/>
          </w:tcPr>
          <w:p w14:paraId="2B888D75" w14:textId="5DC0EA2A" w:rsidR="00CE3831" w:rsidRPr="00A41391" w:rsidRDefault="00CE3831" w:rsidP="00CE3831">
            <w:pPr>
              <w:rPr>
                <w:rFonts w:ascii="Calibri" w:hAnsi="Calibri" w:cs="Times New Roman"/>
                <w:b/>
                <w:bCs/>
              </w:rPr>
            </w:pPr>
            <w:r w:rsidRPr="00A41391">
              <w:rPr>
                <w:rFonts w:ascii="Calibri" w:hAnsi="Calibri" w:cs="Times New Roman"/>
                <w:b/>
                <w:bCs/>
              </w:rPr>
              <w:t>Stephen Cornish</w:t>
            </w:r>
          </w:p>
        </w:tc>
        <w:tc>
          <w:tcPr>
            <w:tcW w:w="6803" w:type="dxa"/>
            <w:hideMark/>
          </w:tcPr>
          <w:p w14:paraId="30A78DEF" w14:textId="77777777" w:rsidR="00CE3831" w:rsidRPr="00CE3831" w:rsidRDefault="00CE3831" w:rsidP="00CE3831">
            <w:pPr>
              <w:rPr>
                <w:rFonts w:ascii="Calibri" w:hAnsi="Calibri" w:cs="Times New Roman"/>
                <w:color w:val="000000"/>
              </w:rPr>
            </w:pPr>
            <w:r w:rsidRPr="00CE3831">
              <w:rPr>
                <w:rFonts w:ascii="Calibri" w:hAnsi="Calibri" w:cs="Times New Roman"/>
                <w:color w:val="000000"/>
              </w:rPr>
              <w:t>Youth Program Manager, Kidney Health Australia</w:t>
            </w:r>
          </w:p>
        </w:tc>
      </w:tr>
      <w:tr w:rsidR="00CE3831" w:rsidRPr="00CE3831" w14:paraId="7D33F27D" w14:textId="77777777" w:rsidTr="009B2280">
        <w:trPr>
          <w:trHeight w:val="20"/>
        </w:trPr>
        <w:tc>
          <w:tcPr>
            <w:tcW w:w="2268" w:type="dxa"/>
            <w:hideMark/>
          </w:tcPr>
          <w:p w14:paraId="4A89728A" w14:textId="77777777" w:rsidR="00CE3831" w:rsidRPr="00A41391" w:rsidRDefault="00CE3831" w:rsidP="00CE3831">
            <w:pPr>
              <w:rPr>
                <w:rFonts w:ascii="Calibri" w:hAnsi="Calibri" w:cs="Times New Roman"/>
                <w:b/>
                <w:bCs/>
              </w:rPr>
            </w:pPr>
            <w:r w:rsidRPr="00A41391">
              <w:rPr>
                <w:rFonts w:ascii="Calibri" w:hAnsi="Calibri" w:cs="Times New Roman"/>
                <w:b/>
                <w:bCs/>
              </w:rPr>
              <w:t xml:space="preserve">Dr Kristy </w:t>
            </w:r>
            <w:proofErr w:type="spellStart"/>
            <w:r w:rsidRPr="00A41391">
              <w:rPr>
                <w:rFonts w:ascii="Calibri" w:hAnsi="Calibri" w:cs="Times New Roman"/>
                <w:b/>
                <w:bCs/>
              </w:rPr>
              <w:t>Domitrovic</w:t>
            </w:r>
            <w:proofErr w:type="spellEnd"/>
          </w:p>
        </w:tc>
        <w:tc>
          <w:tcPr>
            <w:tcW w:w="6803" w:type="dxa"/>
            <w:hideMark/>
          </w:tcPr>
          <w:p w14:paraId="15FBF007" w14:textId="77777777" w:rsidR="00CE3831" w:rsidRPr="00CE3831" w:rsidRDefault="00CE3831" w:rsidP="00CE3831">
            <w:pPr>
              <w:rPr>
                <w:rFonts w:ascii="Calibri" w:hAnsi="Calibri" w:cs="Times New Roman"/>
                <w:color w:val="000000"/>
              </w:rPr>
            </w:pPr>
            <w:r w:rsidRPr="00CE3831">
              <w:rPr>
                <w:rFonts w:ascii="Calibri" w:hAnsi="Calibri" w:cs="Times New Roman"/>
                <w:color w:val="000000"/>
              </w:rPr>
              <w:t>Director of Engagement, Policy and Strategy, Private Health Australia</w:t>
            </w:r>
          </w:p>
        </w:tc>
      </w:tr>
      <w:tr w:rsidR="00CE3831" w:rsidRPr="00CE3831" w14:paraId="58AD0A42" w14:textId="77777777" w:rsidTr="009B2280">
        <w:trPr>
          <w:trHeight w:val="20"/>
        </w:trPr>
        <w:tc>
          <w:tcPr>
            <w:tcW w:w="2268" w:type="dxa"/>
            <w:hideMark/>
          </w:tcPr>
          <w:p w14:paraId="4CEA9D38" w14:textId="4CE439FA" w:rsidR="00CE3831" w:rsidRPr="00A41391" w:rsidRDefault="00CE3831" w:rsidP="00CE3831">
            <w:pPr>
              <w:rPr>
                <w:rFonts w:ascii="Calibri" w:hAnsi="Calibri" w:cs="Times New Roman"/>
                <w:b/>
                <w:bCs/>
              </w:rPr>
            </w:pPr>
            <w:r w:rsidRPr="00A41391">
              <w:rPr>
                <w:rFonts w:ascii="Calibri" w:hAnsi="Calibri" w:cs="Times New Roman"/>
                <w:b/>
                <w:bCs/>
              </w:rPr>
              <w:t>Fiona Donnelly</w:t>
            </w:r>
          </w:p>
        </w:tc>
        <w:tc>
          <w:tcPr>
            <w:tcW w:w="6803" w:type="dxa"/>
            <w:hideMark/>
          </w:tcPr>
          <w:p w14:paraId="5F9E5844" w14:textId="77777777" w:rsidR="00CE3831" w:rsidRPr="00CE3831" w:rsidRDefault="00CE3831" w:rsidP="00CE3831">
            <w:pPr>
              <w:rPr>
                <w:rFonts w:ascii="Calibri" w:hAnsi="Calibri" w:cs="Times New Roman"/>
                <w:color w:val="000000"/>
              </w:rPr>
            </w:pPr>
            <w:r w:rsidRPr="00CE3831">
              <w:rPr>
                <w:rFonts w:ascii="Calibri" w:hAnsi="Calibri" w:cs="Times New Roman"/>
                <w:color w:val="000000"/>
              </w:rPr>
              <w:t>Renal Nurse; President, RSA; Action Plan Advisory Group</w:t>
            </w:r>
          </w:p>
        </w:tc>
      </w:tr>
      <w:tr w:rsidR="00CE3831" w:rsidRPr="00CE3831" w14:paraId="2BD02534" w14:textId="77777777" w:rsidTr="009B2280">
        <w:trPr>
          <w:trHeight w:val="20"/>
        </w:trPr>
        <w:tc>
          <w:tcPr>
            <w:tcW w:w="2268" w:type="dxa"/>
            <w:hideMark/>
          </w:tcPr>
          <w:p w14:paraId="016F72DA" w14:textId="6A911B29" w:rsidR="00CE3831" w:rsidRPr="00A41391" w:rsidRDefault="00CE3831" w:rsidP="00CE3831">
            <w:pPr>
              <w:rPr>
                <w:rFonts w:ascii="Calibri" w:hAnsi="Calibri" w:cs="Times New Roman"/>
                <w:b/>
                <w:bCs/>
              </w:rPr>
            </w:pPr>
            <w:r w:rsidRPr="00A41391">
              <w:rPr>
                <w:rFonts w:ascii="Calibri" w:hAnsi="Calibri" w:cs="Times New Roman"/>
                <w:b/>
                <w:bCs/>
              </w:rPr>
              <w:t>Chris Forbes</w:t>
            </w:r>
          </w:p>
        </w:tc>
        <w:tc>
          <w:tcPr>
            <w:tcW w:w="6803" w:type="dxa"/>
            <w:hideMark/>
          </w:tcPr>
          <w:p w14:paraId="2B95C5C0" w14:textId="77777777" w:rsidR="00CE3831" w:rsidRPr="00CE3831" w:rsidRDefault="00CE3831" w:rsidP="00CE3831">
            <w:pPr>
              <w:rPr>
                <w:rFonts w:ascii="Calibri" w:hAnsi="Calibri" w:cs="Times New Roman"/>
                <w:color w:val="000000"/>
              </w:rPr>
            </w:pPr>
            <w:r w:rsidRPr="00CE3831">
              <w:rPr>
                <w:rFonts w:ascii="Calibri" w:hAnsi="Calibri" w:cs="Times New Roman"/>
                <w:color w:val="000000"/>
              </w:rPr>
              <w:t>CEO, Kidney Health Australia</w:t>
            </w:r>
          </w:p>
        </w:tc>
      </w:tr>
      <w:tr w:rsidR="00CE3831" w:rsidRPr="00CE3831" w14:paraId="2192060F" w14:textId="77777777" w:rsidTr="009B2280">
        <w:trPr>
          <w:trHeight w:val="20"/>
        </w:trPr>
        <w:tc>
          <w:tcPr>
            <w:tcW w:w="2268" w:type="dxa"/>
            <w:hideMark/>
          </w:tcPr>
          <w:p w14:paraId="6B3001AF" w14:textId="77777777" w:rsidR="00CE3831" w:rsidRPr="00A41391" w:rsidRDefault="00CE3831" w:rsidP="00CE3831">
            <w:pPr>
              <w:rPr>
                <w:rFonts w:ascii="Calibri" w:hAnsi="Calibri" w:cs="Times New Roman"/>
                <w:b/>
                <w:bCs/>
              </w:rPr>
            </w:pPr>
            <w:r w:rsidRPr="00A41391">
              <w:rPr>
                <w:rFonts w:ascii="Calibri" w:hAnsi="Calibri" w:cs="Times New Roman"/>
                <w:b/>
                <w:bCs/>
              </w:rPr>
              <w:t>Prof Martin Gallagher</w:t>
            </w:r>
          </w:p>
        </w:tc>
        <w:tc>
          <w:tcPr>
            <w:tcW w:w="6803" w:type="dxa"/>
            <w:hideMark/>
          </w:tcPr>
          <w:p w14:paraId="2BBD8B34" w14:textId="77777777" w:rsidR="00CE3831" w:rsidRPr="00CE3831" w:rsidRDefault="00CE3831" w:rsidP="00CE3831">
            <w:pPr>
              <w:rPr>
                <w:rFonts w:ascii="Calibri" w:hAnsi="Calibri" w:cs="Times New Roman"/>
                <w:color w:val="000000"/>
              </w:rPr>
            </w:pPr>
            <w:r w:rsidRPr="00CE3831">
              <w:rPr>
                <w:rFonts w:ascii="Calibri" w:hAnsi="Calibri" w:cs="Times New Roman"/>
                <w:color w:val="000000"/>
              </w:rPr>
              <w:t>Nephrologist; Chair of Clinical Policy Advisory Committee, ANZSN</w:t>
            </w:r>
          </w:p>
        </w:tc>
      </w:tr>
      <w:tr w:rsidR="00CE3831" w:rsidRPr="00CE3831" w14:paraId="4706F608" w14:textId="77777777" w:rsidTr="009B2280">
        <w:trPr>
          <w:trHeight w:val="20"/>
        </w:trPr>
        <w:tc>
          <w:tcPr>
            <w:tcW w:w="2268" w:type="dxa"/>
            <w:hideMark/>
          </w:tcPr>
          <w:p w14:paraId="79FF41D1" w14:textId="5BCBF0F3" w:rsidR="00CE3831" w:rsidRPr="00A41391" w:rsidRDefault="00CE3831" w:rsidP="00CE3831">
            <w:pPr>
              <w:rPr>
                <w:rFonts w:ascii="Calibri" w:hAnsi="Calibri" w:cs="Times New Roman"/>
                <w:b/>
                <w:bCs/>
              </w:rPr>
            </w:pPr>
            <w:r w:rsidRPr="00A41391">
              <w:rPr>
                <w:rFonts w:ascii="Calibri" w:hAnsi="Calibri" w:cs="Times New Roman"/>
                <w:b/>
                <w:bCs/>
              </w:rPr>
              <w:lastRenderedPageBreak/>
              <w:t>Kathy Godwin</w:t>
            </w:r>
          </w:p>
        </w:tc>
        <w:tc>
          <w:tcPr>
            <w:tcW w:w="6803" w:type="dxa"/>
            <w:hideMark/>
          </w:tcPr>
          <w:p w14:paraId="508CDCFF" w14:textId="77777777" w:rsidR="00CE3831" w:rsidRPr="00CE3831" w:rsidRDefault="00CE3831" w:rsidP="00CE3831">
            <w:pPr>
              <w:rPr>
                <w:rFonts w:ascii="Calibri" w:hAnsi="Calibri" w:cs="Times New Roman"/>
                <w:color w:val="000000"/>
              </w:rPr>
            </w:pPr>
            <w:r w:rsidRPr="00CE3831">
              <w:rPr>
                <w:rFonts w:ascii="Calibri" w:hAnsi="Calibri" w:cs="Times New Roman"/>
                <w:color w:val="000000"/>
              </w:rPr>
              <w:t xml:space="preserve">Primary Care Nurse, Primary Care Education Advisory Committee for Kidney Health Australia (PEAK) </w:t>
            </w:r>
          </w:p>
        </w:tc>
      </w:tr>
      <w:tr w:rsidR="00CE3831" w:rsidRPr="00CE3831" w14:paraId="637A889E" w14:textId="77777777" w:rsidTr="009B2280">
        <w:trPr>
          <w:trHeight w:val="20"/>
        </w:trPr>
        <w:tc>
          <w:tcPr>
            <w:tcW w:w="2268" w:type="dxa"/>
            <w:hideMark/>
          </w:tcPr>
          <w:p w14:paraId="7119711D" w14:textId="39E77A30" w:rsidR="00CE3831" w:rsidRPr="00A41391" w:rsidRDefault="00CE3831" w:rsidP="00CE3831">
            <w:pPr>
              <w:rPr>
                <w:rFonts w:ascii="Calibri" w:hAnsi="Calibri" w:cs="Times New Roman"/>
                <w:b/>
                <w:bCs/>
              </w:rPr>
            </w:pPr>
            <w:r w:rsidRPr="00A41391">
              <w:rPr>
                <w:rFonts w:ascii="Calibri" w:hAnsi="Calibri" w:cs="Times New Roman"/>
                <w:b/>
                <w:bCs/>
              </w:rPr>
              <w:t>Rohan Greenland</w:t>
            </w:r>
          </w:p>
        </w:tc>
        <w:tc>
          <w:tcPr>
            <w:tcW w:w="6803" w:type="dxa"/>
            <w:hideMark/>
          </w:tcPr>
          <w:p w14:paraId="78154810" w14:textId="77777777" w:rsidR="00CE3831" w:rsidRPr="00CE3831" w:rsidRDefault="00CE3831" w:rsidP="00CE3831">
            <w:pPr>
              <w:rPr>
                <w:rFonts w:ascii="Calibri" w:hAnsi="Calibri" w:cs="Times New Roman"/>
                <w:color w:val="000000"/>
              </w:rPr>
            </w:pPr>
            <w:r w:rsidRPr="00CE3831">
              <w:rPr>
                <w:rFonts w:ascii="Calibri" w:hAnsi="Calibri" w:cs="Times New Roman"/>
                <w:color w:val="000000"/>
              </w:rPr>
              <w:t>General Manager Advocacy, Heart Foundation</w:t>
            </w:r>
          </w:p>
        </w:tc>
      </w:tr>
      <w:tr w:rsidR="00CE3831" w:rsidRPr="00CE3831" w14:paraId="44A0FD1F" w14:textId="77777777" w:rsidTr="009B2280">
        <w:trPr>
          <w:trHeight w:val="20"/>
        </w:trPr>
        <w:tc>
          <w:tcPr>
            <w:tcW w:w="2268" w:type="dxa"/>
            <w:hideMark/>
          </w:tcPr>
          <w:p w14:paraId="6ED80A82" w14:textId="77777777" w:rsidR="00CE3831" w:rsidRPr="00A41391" w:rsidRDefault="00CE3831" w:rsidP="00CE3831">
            <w:pPr>
              <w:rPr>
                <w:rFonts w:ascii="Calibri" w:hAnsi="Calibri" w:cs="Times New Roman"/>
                <w:b/>
                <w:bCs/>
              </w:rPr>
            </w:pPr>
            <w:r w:rsidRPr="00A41391">
              <w:rPr>
                <w:rFonts w:ascii="Calibri" w:hAnsi="Calibri" w:cs="Times New Roman"/>
                <w:b/>
                <w:bCs/>
              </w:rPr>
              <w:t xml:space="preserve">A/Prof Siobhan </w:t>
            </w:r>
            <w:proofErr w:type="spellStart"/>
            <w:r w:rsidRPr="00A41391">
              <w:rPr>
                <w:rFonts w:ascii="Calibri" w:hAnsi="Calibri" w:cs="Times New Roman"/>
                <w:b/>
                <w:bCs/>
              </w:rPr>
              <w:t>Harpur</w:t>
            </w:r>
            <w:proofErr w:type="spellEnd"/>
          </w:p>
        </w:tc>
        <w:tc>
          <w:tcPr>
            <w:tcW w:w="6803" w:type="dxa"/>
            <w:hideMark/>
          </w:tcPr>
          <w:p w14:paraId="711819C1" w14:textId="77777777" w:rsidR="00CE3831" w:rsidRPr="00CE3831" w:rsidRDefault="00CE3831" w:rsidP="00CE3831">
            <w:pPr>
              <w:rPr>
                <w:rFonts w:ascii="Calibri" w:hAnsi="Calibri" w:cs="Times New Roman"/>
                <w:color w:val="000000"/>
              </w:rPr>
            </w:pPr>
            <w:r w:rsidRPr="00CE3831">
              <w:rPr>
                <w:rFonts w:ascii="Calibri" w:hAnsi="Calibri" w:cs="Times New Roman"/>
                <w:color w:val="000000"/>
              </w:rPr>
              <w:t>CEO Population Health Services</w:t>
            </w:r>
          </w:p>
        </w:tc>
      </w:tr>
      <w:tr w:rsidR="00CE3831" w:rsidRPr="00CE3831" w14:paraId="0DB168DF" w14:textId="77777777" w:rsidTr="009B2280">
        <w:trPr>
          <w:trHeight w:val="20"/>
        </w:trPr>
        <w:tc>
          <w:tcPr>
            <w:tcW w:w="2268" w:type="dxa"/>
            <w:hideMark/>
          </w:tcPr>
          <w:p w14:paraId="6F1B596A" w14:textId="77777777" w:rsidR="00CE3831" w:rsidRPr="00A41391" w:rsidRDefault="00CE3831" w:rsidP="00CE3831">
            <w:pPr>
              <w:rPr>
                <w:rFonts w:ascii="Calibri" w:hAnsi="Calibri" w:cs="Times New Roman"/>
                <w:b/>
                <w:bCs/>
              </w:rPr>
            </w:pPr>
            <w:r w:rsidRPr="00A41391">
              <w:rPr>
                <w:rFonts w:ascii="Calibri" w:hAnsi="Calibri" w:cs="Times New Roman"/>
                <w:b/>
                <w:bCs/>
              </w:rPr>
              <w:t xml:space="preserve">Dr Tim </w:t>
            </w:r>
            <w:proofErr w:type="spellStart"/>
            <w:r w:rsidRPr="00A41391">
              <w:rPr>
                <w:rFonts w:ascii="Calibri" w:hAnsi="Calibri" w:cs="Times New Roman"/>
                <w:b/>
                <w:bCs/>
              </w:rPr>
              <w:t>Hewitson</w:t>
            </w:r>
            <w:proofErr w:type="spellEnd"/>
          </w:p>
        </w:tc>
        <w:tc>
          <w:tcPr>
            <w:tcW w:w="6803" w:type="dxa"/>
            <w:hideMark/>
          </w:tcPr>
          <w:p w14:paraId="07421878" w14:textId="00474A19" w:rsidR="00CE3831" w:rsidRPr="00CE3831" w:rsidRDefault="00CE3831" w:rsidP="00CE3831">
            <w:pPr>
              <w:rPr>
                <w:rFonts w:ascii="Calibri" w:hAnsi="Calibri" w:cs="Times New Roman"/>
                <w:color w:val="000000"/>
              </w:rPr>
            </w:pPr>
            <w:r w:rsidRPr="00CE3831">
              <w:rPr>
                <w:rFonts w:ascii="Calibri" w:hAnsi="Calibri" w:cs="Times New Roman"/>
                <w:color w:val="000000"/>
              </w:rPr>
              <w:t xml:space="preserve">Nephrologist; Research Advisory </w:t>
            </w:r>
            <w:r w:rsidR="00C05F37" w:rsidRPr="00CE3831">
              <w:rPr>
                <w:rFonts w:ascii="Calibri" w:hAnsi="Calibri" w:cs="Times New Roman"/>
                <w:color w:val="000000"/>
              </w:rPr>
              <w:t>Committee</w:t>
            </w:r>
            <w:r w:rsidRPr="00CE3831">
              <w:rPr>
                <w:rFonts w:ascii="Calibri" w:hAnsi="Calibri" w:cs="Times New Roman"/>
                <w:color w:val="000000"/>
              </w:rPr>
              <w:t xml:space="preserve"> member, ANZSN</w:t>
            </w:r>
          </w:p>
        </w:tc>
      </w:tr>
      <w:tr w:rsidR="00CE3831" w:rsidRPr="00CE3831" w14:paraId="4E27D3D1" w14:textId="77777777" w:rsidTr="009B2280">
        <w:trPr>
          <w:trHeight w:val="20"/>
        </w:trPr>
        <w:tc>
          <w:tcPr>
            <w:tcW w:w="2268" w:type="dxa"/>
            <w:hideMark/>
          </w:tcPr>
          <w:p w14:paraId="6A10EC1B" w14:textId="77777777" w:rsidR="00CE3831" w:rsidRPr="00A41391" w:rsidRDefault="00CE3831" w:rsidP="00CE3831">
            <w:pPr>
              <w:rPr>
                <w:rFonts w:ascii="Calibri" w:hAnsi="Calibri" w:cs="Times New Roman"/>
                <w:b/>
                <w:bCs/>
              </w:rPr>
            </w:pPr>
            <w:r w:rsidRPr="00A41391">
              <w:rPr>
                <w:rFonts w:ascii="Calibri" w:hAnsi="Calibri" w:cs="Times New Roman"/>
                <w:b/>
                <w:bCs/>
              </w:rPr>
              <w:t>Prof Kirsten Howard</w:t>
            </w:r>
          </w:p>
        </w:tc>
        <w:tc>
          <w:tcPr>
            <w:tcW w:w="6803" w:type="dxa"/>
            <w:hideMark/>
          </w:tcPr>
          <w:p w14:paraId="263EB162" w14:textId="77777777" w:rsidR="00CE3831" w:rsidRPr="00CE3831" w:rsidRDefault="00CE3831" w:rsidP="00CE3831">
            <w:pPr>
              <w:rPr>
                <w:rFonts w:ascii="Calibri" w:hAnsi="Calibri" w:cs="Times New Roman"/>
                <w:color w:val="000000"/>
              </w:rPr>
            </w:pPr>
            <w:r w:rsidRPr="00CE3831">
              <w:rPr>
                <w:rFonts w:ascii="Calibri" w:hAnsi="Calibri" w:cs="Times New Roman"/>
                <w:color w:val="000000"/>
              </w:rPr>
              <w:t>Health Economist; Action Plan Advisory Group</w:t>
            </w:r>
          </w:p>
        </w:tc>
      </w:tr>
      <w:tr w:rsidR="00CE3831" w:rsidRPr="00CE3831" w14:paraId="1430BCB7" w14:textId="77777777" w:rsidTr="009B2280">
        <w:trPr>
          <w:trHeight w:val="20"/>
        </w:trPr>
        <w:tc>
          <w:tcPr>
            <w:tcW w:w="2268" w:type="dxa"/>
            <w:hideMark/>
          </w:tcPr>
          <w:p w14:paraId="68F5E33F" w14:textId="77777777" w:rsidR="00CE3831" w:rsidRPr="00A41391" w:rsidRDefault="00CE3831" w:rsidP="00CE3831">
            <w:pPr>
              <w:rPr>
                <w:rFonts w:ascii="Calibri" w:hAnsi="Calibri" w:cs="Times New Roman"/>
                <w:b/>
                <w:bCs/>
              </w:rPr>
            </w:pPr>
            <w:r w:rsidRPr="00A41391">
              <w:rPr>
                <w:rFonts w:ascii="Calibri" w:hAnsi="Calibri" w:cs="Times New Roman"/>
                <w:b/>
                <w:bCs/>
              </w:rPr>
              <w:t>Dr Brooke Huuskes</w:t>
            </w:r>
          </w:p>
        </w:tc>
        <w:tc>
          <w:tcPr>
            <w:tcW w:w="6803" w:type="dxa"/>
            <w:hideMark/>
          </w:tcPr>
          <w:p w14:paraId="3C1BDE6D" w14:textId="77777777" w:rsidR="00CE3831" w:rsidRPr="00CE3831" w:rsidRDefault="00CE3831" w:rsidP="00CE3831">
            <w:pPr>
              <w:rPr>
                <w:rFonts w:ascii="Calibri" w:hAnsi="Calibri" w:cs="Times New Roman"/>
                <w:color w:val="000000"/>
              </w:rPr>
            </w:pPr>
            <w:r w:rsidRPr="00CE3831">
              <w:rPr>
                <w:rFonts w:ascii="Calibri" w:hAnsi="Calibri" w:cs="Times New Roman"/>
                <w:color w:val="000000"/>
              </w:rPr>
              <w:t>Consumer</w:t>
            </w:r>
          </w:p>
        </w:tc>
      </w:tr>
      <w:tr w:rsidR="00CE3831" w:rsidRPr="00CE3831" w14:paraId="4CD183E0" w14:textId="77777777" w:rsidTr="009B2280">
        <w:trPr>
          <w:trHeight w:val="20"/>
        </w:trPr>
        <w:tc>
          <w:tcPr>
            <w:tcW w:w="2268" w:type="dxa"/>
            <w:hideMark/>
          </w:tcPr>
          <w:p w14:paraId="2CC4660A" w14:textId="77777777" w:rsidR="00CE3831" w:rsidRPr="00A41391" w:rsidRDefault="00CE3831" w:rsidP="00CE3831">
            <w:pPr>
              <w:rPr>
                <w:rFonts w:ascii="Calibri" w:hAnsi="Calibri" w:cs="Times New Roman"/>
                <w:b/>
                <w:bCs/>
              </w:rPr>
            </w:pPr>
            <w:r w:rsidRPr="00A41391">
              <w:rPr>
                <w:rFonts w:ascii="Calibri" w:hAnsi="Calibri" w:cs="Times New Roman"/>
                <w:b/>
                <w:bCs/>
              </w:rPr>
              <w:t>A/Prof Shilpa Jesudason</w:t>
            </w:r>
          </w:p>
        </w:tc>
        <w:tc>
          <w:tcPr>
            <w:tcW w:w="6803" w:type="dxa"/>
            <w:hideMark/>
          </w:tcPr>
          <w:p w14:paraId="058B51E5" w14:textId="77777777" w:rsidR="00CE3831" w:rsidRPr="00CE3831" w:rsidRDefault="00CE3831" w:rsidP="00CE3831">
            <w:pPr>
              <w:rPr>
                <w:rFonts w:ascii="Calibri" w:hAnsi="Calibri" w:cs="Times New Roman"/>
                <w:color w:val="000000"/>
              </w:rPr>
            </w:pPr>
            <w:r w:rsidRPr="00CE3831">
              <w:rPr>
                <w:rFonts w:ascii="Calibri" w:hAnsi="Calibri" w:cs="Times New Roman"/>
                <w:color w:val="000000"/>
              </w:rPr>
              <w:t>Nephrologist; Clinical Director, Kidney Health Australia</w:t>
            </w:r>
          </w:p>
        </w:tc>
      </w:tr>
      <w:tr w:rsidR="00CE3831" w:rsidRPr="00CE3831" w14:paraId="4C732D36" w14:textId="77777777" w:rsidTr="009B2280">
        <w:trPr>
          <w:trHeight w:val="20"/>
        </w:trPr>
        <w:tc>
          <w:tcPr>
            <w:tcW w:w="2268" w:type="dxa"/>
            <w:hideMark/>
          </w:tcPr>
          <w:p w14:paraId="1CBCFF5F" w14:textId="77777777" w:rsidR="00CE3831" w:rsidRPr="00A41391" w:rsidRDefault="00CE3831" w:rsidP="00CE3831">
            <w:pPr>
              <w:rPr>
                <w:rFonts w:ascii="Calibri" w:hAnsi="Calibri" w:cs="Times New Roman"/>
                <w:b/>
                <w:bCs/>
              </w:rPr>
            </w:pPr>
            <w:r w:rsidRPr="00A41391">
              <w:rPr>
                <w:rFonts w:ascii="Calibri" w:hAnsi="Calibri" w:cs="Times New Roman"/>
                <w:b/>
                <w:bCs/>
              </w:rPr>
              <w:t>Prof David Johnson</w:t>
            </w:r>
          </w:p>
        </w:tc>
        <w:tc>
          <w:tcPr>
            <w:tcW w:w="6803" w:type="dxa"/>
            <w:hideMark/>
          </w:tcPr>
          <w:p w14:paraId="199D8E92" w14:textId="6653B59E" w:rsidR="00CE3831" w:rsidRPr="00CE3831" w:rsidRDefault="00CE3831" w:rsidP="00CE3831">
            <w:pPr>
              <w:rPr>
                <w:rFonts w:ascii="Calibri" w:hAnsi="Calibri" w:cs="Times New Roman"/>
                <w:color w:val="000000"/>
              </w:rPr>
            </w:pPr>
            <w:r w:rsidRPr="00CE3831">
              <w:rPr>
                <w:rFonts w:ascii="Calibri" w:hAnsi="Calibri" w:cs="Times New Roman"/>
                <w:color w:val="000000"/>
              </w:rPr>
              <w:t xml:space="preserve">Nephrologist, </w:t>
            </w:r>
            <w:r w:rsidR="00591C28">
              <w:rPr>
                <w:rFonts w:ascii="Calibri" w:hAnsi="Calibri" w:cs="Times New Roman"/>
                <w:color w:val="000000"/>
              </w:rPr>
              <w:t xml:space="preserve">Chair, KHA </w:t>
            </w:r>
            <w:r w:rsidRPr="00CE3831">
              <w:rPr>
                <w:rFonts w:ascii="Calibri" w:hAnsi="Calibri" w:cs="Times New Roman"/>
                <w:color w:val="000000"/>
              </w:rPr>
              <w:t>PEAK Committee; Action Plan Advisory Group</w:t>
            </w:r>
          </w:p>
        </w:tc>
      </w:tr>
      <w:tr w:rsidR="00CE3831" w:rsidRPr="00CE3831" w14:paraId="7F2B778D" w14:textId="77777777" w:rsidTr="009B2280">
        <w:trPr>
          <w:trHeight w:val="20"/>
        </w:trPr>
        <w:tc>
          <w:tcPr>
            <w:tcW w:w="2268" w:type="dxa"/>
            <w:hideMark/>
          </w:tcPr>
          <w:p w14:paraId="799A56F7" w14:textId="77777777" w:rsidR="00CE3831" w:rsidRPr="00A41391" w:rsidRDefault="00CE3831" w:rsidP="00CE3831">
            <w:pPr>
              <w:rPr>
                <w:rFonts w:ascii="Calibri" w:hAnsi="Calibri" w:cs="Times New Roman"/>
                <w:b/>
                <w:bCs/>
              </w:rPr>
            </w:pPr>
            <w:r w:rsidRPr="00A41391">
              <w:rPr>
                <w:rFonts w:ascii="Calibri" w:hAnsi="Calibri" w:cs="Times New Roman"/>
                <w:b/>
                <w:bCs/>
              </w:rPr>
              <w:t>Prof Greg Johnson</w:t>
            </w:r>
          </w:p>
        </w:tc>
        <w:tc>
          <w:tcPr>
            <w:tcW w:w="6803" w:type="dxa"/>
            <w:hideMark/>
          </w:tcPr>
          <w:p w14:paraId="31074694" w14:textId="77777777" w:rsidR="00CE3831" w:rsidRPr="00CE3831" w:rsidRDefault="00CE3831" w:rsidP="00CE3831">
            <w:pPr>
              <w:rPr>
                <w:rFonts w:ascii="Calibri" w:hAnsi="Calibri" w:cs="Times New Roman"/>
                <w:color w:val="000000"/>
              </w:rPr>
            </w:pPr>
            <w:r w:rsidRPr="00CE3831">
              <w:rPr>
                <w:rFonts w:ascii="Calibri" w:hAnsi="Calibri" w:cs="Times New Roman"/>
                <w:color w:val="000000"/>
              </w:rPr>
              <w:t>CEO, Diabetes Australia</w:t>
            </w:r>
          </w:p>
        </w:tc>
      </w:tr>
      <w:tr w:rsidR="00CE3831" w:rsidRPr="00CE3831" w14:paraId="4E68C4E6" w14:textId="77777777" w:rsidTr="009B2280">
        <w:trPr>
          <w:trHeight w:val="20"/>
        </w:trPr>
        <w:tc>
          <w:tcPr>
            <w:tcW w:w="2268" w:type="dxa"/>
            <w:hideMark/>
          </w:tcPr>
          <w:p w14:paraId="4196499E" w14:textId="77777777" w:rsidR="00CE3831" w:rsidRPr="00A41391" w:rsidRDefault="00CE3831" w:rsidP="00CE3831">
            <w:pPr>
              <w:rPr>
                <w:rFonts w:ascii="Calibri" w:hAnsi="Calibri" w:cs="Times New Roman"/>
                <w:b/>
                <w:bCs/>
              </w:rPr>
            </w:pPr>
            <w:r w:rsidRPr="00A41391">
              <w:rPr>
                <w:rFonts w:ascii="Calibri" w:hAnsi="Calibri" w:cs="Times New Roman"/>
                <w:b/>
                <w:bCs/>
              </w:rPr>
              <w:t>Prof Matthew Jose</w:t>
            </w:r>
          </w:p>
        </w:tc>
        <w:tc>
          <w:tcPr>
            <w:tcW w:w="6803" w:type="dxa"/>
            <w:hideMark/>
          </w:tcPr>
          <w:p w14:paraId="3D9313BB" w14:textId="3AC91923" w:rsidR="00CE3831" w:rsidRPr="00CE3831" w:rsidRDefault="00591C28" w:rsidP="00CE3831">
            <w:pPr>
              <w:rPr>
                <w:rFonts w:ascii="Calibri" w:hAnsi="Calibri" w:cs="Times New Roman"/>
                <w:color w:val="000000"/>
              </w:rPr>
            </w:pPr>
            <w:r>
              <w:rPr>
                <w:rFonts w:ascii="Calibri" w:hAnsi="Calibri" w:cs="Times New Roman"/>
                <w:color w:val="000000"/>
              </w:rPr>
              <w:t xml:space="preserve">Nephrologist; </w:t>
            </w:r>
            <w:r w:rsidR="00CE3831" w:rsidRPr="00CE3831">
              <w:rPr>
                <w:rFonts w:ascii="Calibri" w:hAnsi="Calibri" w:cs="Times New Roman"/>
                <w:color w:val="000000"/>
              </w:rPr>
              <w:t>Chair, Australia and New Zealand Dialysis and Transplant Registry (ANZDATA)</w:t>
            </w:r>
          </w:p>
        </w:tc>
      </w:tr>
      <w:tr w:rsidR="00CE3831" w:rsidRPr="00CE3831" w14:paraId="0441F867" w14:textId="77777777" w:rsidTr="009B2280">
        <w:trPr>
          <w:trHeight w:val="20"/>
        </w:trPr>
        <w:tc>
          <w:tcPr>
            <w:tcW w:w="2268" w:type="dxa"/>
            <w:hideMark/>
          </w:tcPr>
          <w:p w14:paraId="24568ED6" w14:textId="77777777" w:rsidR="00CE3831" w:rsidRPr="00A41391" w:rsidRDefault="00CE3831" w:rsidP="00CE3831">
            <w:pPr>
              <w:rPr>
                <w:rFonts w:ascii="Calibri" w:hAnsi="Calibri" w:cs="Times New Roman"/>
                <w:b/>
                <w:bCs/>
              </w:rPr>
            </w:pPr>
            <w:r w:rsidRPr="00A41391">
              <w:rPr>
                <w:rFonts w:ascii="Calibri" w:hAnsi="Calibri" w:cs="Times New Roman"/>
                <w:b/>
                <w:bCs/>
              </w:rPr>
              <w:t>Prof Peter Kerr</w:t>
            </w:r>
          </w:p>
        </w:tc>
        <w:tc>
          <w:tcPr>
            <w:tcW w:w="6803" w:type="dxa"/>
            <w:hideMark/>
          </w:tcPr>
          <w:p w14:paraId="27B27512" w14:textId="49F25F92" w:rsidR="00CE3831" w:rsidRPr="00CE3831" w:rsidRDefault="00CE3831" w:rsidP="00CE3831">
            <w:pPr>
              <w:rPr>
                <w:rFonts w:ascii="Calibri" w:hAnsi="Calibri" w:cs="Times New Roman"/>
                <w:color w:val="000000"/>
              </w:rPr>
            </w:pPr>
            <w:r w:rsidRPr="00CE3831">
              <w:rPr>
                <w:rFonts w:ascii="Calibri" w:hAnsi="Calibri" w:cs="Times New Roman"/>
                <w:color w:val="000000"/>
              </w:rPr>
              <w:t xml:space="preserve">Nephrologist; Action Plan Advisory Group </w:t>
            </w:r>
          </w:p>
        </w:tc>
      </w:tr>
      <w:tr w:rsidR="00CE3831" w:rsidRPr="00CE3831" w14:paraId="7D668DCB" w14:textId="77777777" w:rsidTr="009B2280">
        <w:trPr>
          <w:trHeight w:val="20"/>
        </w:trPr>
        <w:tc>
          <w:tcPr>
            <w:tcW w:w="2268" w:type="dxa"/>
            <w:hideMark/>
          </w:tcPr>
          <w:p w14:paraId="71E3381E" w14:textId="77777777" w:rsidR="00CE3831" w:rsidRPr="00A41391" w:rsidRDefault="00CE3831" w:rsidP="00CE3831">
            <w:pPr>
              <w:rPr>
                <w:rFonts w:ascii="Calibri" w:hAnsi="Calibri" w:cs="Times New Roman"/>
                <w:b/>
                <w:bCs/>
              </w:rPr>
            </w:pPr>
            <w:r w:rsidRPr="00A41391">
              <w:rPr>
                <w:rFonts w:ascii="Calibri" w:hAnsi="Calibri" w:cs="Times New Roman"/>
                <w:b/>
                <w:bCs/>
              </w:rPr>
              <w:t>Dr Hemant Kulkarni</w:t>
            </w:r>
          </w:p>
        </w:tc>
        <w:tc>
          <w:tcPr>
            <w:tcW w:w="6803" w:type="dxa"/>
            <w:hideMark/>
          </w:tcPr>
          <w:p w14:paraId="34ECD9A6" w14:textId="77777777" w:rsidR="00CE3831" w:rsidRPr="00CE3831" w:rsidRDefault="00CE3831" w:rsidP="00CE3831">
            <w:pPr>
              <w:rPr>
                <w:rFonts w:ascii="Calibri" w:hAnsi="Calibri" w:cs="Times New Roman"/>
                <w:color w:val="000000"/>
              </w:rPr>
            </w:pPr>
            <w:r w:rsidRPr="00CE3831">
              <w:rPr>
                <w:rFonts w:ascii="Calibri" w:hAnsi="Calibri" w:cs="Times New Roman"/>
                <w:color w:val="000000"/>
              </w:rPr>
              <w:t>Nephrologist; Western Australia Government</w:t>
            </w:r>
          </w:p>
        </w:tc>
      </w:tr>
      <w:tr w:rsidR="00CE3831" w:rsidRPr="00CE3831" w14:paraId="65244BAC" w14:textId="77777777" w:rsidTr="009B2280">
        <w:trPr>
          <w:trHeight w:val="20"/>
        </w:trPr>
        <w:tc>
          <w:tcPr>
            <w:tcW w:w="2268" w:type="dxa"/>
            <w:hideMark/>
          </w:tcPr>
          <w:p w14:paraId="625A9270" w14:textId="7249509C" w:rsidR="00CE3831" w:rsidRPr="00A41391" w:rsidRDefault="00CE3831" w:rsidP="00CE3831">
            <w:pPr>
              <w:rPr>
                <w:rFonts w:ascii="Calibri" w:hAnsi="Calibri" w:cs="Times New Roman"/>
                <w:b/>
                <w:bCs/>
              </w:rPr>
            </w:pPr>
            <w:r w:rsidRPr="00A41391">
              <w:rPr>
                <w:rFonts w:ascii="Calibri" w:hAnsi="Calibri" w:cs="Times New Roman"/>
                <w:b/>
                <w:bCs/>
              </w:rPr>
              <w:t xml:space="preserve">Gwen </w:t>
            </w:r>
            <w:proofErr w:type="spellStart"/>
            <w:r w:rsidRPr="00A41391">
              <w:rPr>
                <w:rFonts w:ascii="Calibri" w:hAnsi="Calibri" w:cs="Times New Roman"/>
                <w:b/>
                <w:bCs/>
              </w:rPr>
              <w:t>Lowah</w:t>
            </w:r>
            <w:proofErr w:type="spellEnd"/>
          </w:p>
        </w:tc>
        <w:tc>
          <w:tcPr>
            <w:tcW w:w="6803" w:type="dxa"/>
            <w:hideMark/>
          </w:tcPr>
          <w:p w14:paraId="47B0CFE4" w14:textId="77777777" w:rsidR="00CE3831" w:rsidRPr="00CE3831" w:rsidRDefault="00CE3831" w:rsidP="00CE3831">
            <w:pPr>
              <w:rPr>
                <w:rFonts w:ascii="Calibri" w:hAnsi="Calibri" w:cs="Times New Roman"/>
                <w:color w:val="000000"/>
              </w:rPr>
            </w:pPr>
            <w:r w:rsidRPr="00CE3831">
              <w:rPr>
                <w:rFonts w:ascii="Calibri" w:hAnsi="Calibri" w:cs="Times New Roman"/>
                <w:color w:val="000000"/>
              </w:rPr>
              <w:t>Haemodialysis Co-Ordinator, Acute Haemodialysis Royal Darwin Hospital</w:t>
            </w:r>
          </w:p>
        </w:tc>
      </w:tr>
      <w:tr w:rsidR="00CE3831" w:rsidRPr="00CE3831" w14:paraId="71E89013" w14:textId="77777777" w:rsidTr="009B2280">
        <w:trPr>
          <w:trHeight w:val="20"/>
        </w:trPr>
        <w:tc>
          <w:tcPr>
            <w:tcW w:w="2268" w:type="dxa"/>
            <w:hideMark/>
          </w:tcPr>
          <w:p w14:paraId="3C77EA43" w14:textId="77777777" w:rsidR="00CE3831" w:rsidRPr="00A41391" w:rsidRDefault="00CE3831" w:rsidP="00CE3831">
            <w:pPr>
              <w:rPr>
                <w:rFonts w:ascii="Calibri" w:hAnsi="Calibri" w:cs="Times New Roman"/>
                <w:b/>
                <w:bCs/>
              </w:rPr>
            </w:pPr>
            <w:r w:rsidRPr="00A41391">
              <w:rPr>
                <w:rFonts w:ascii="Calibri" w:hAnsi="Calibri" w:cs="Times New Roman"/>
                <w:b/>
                <w:bCs/>
              </w:rPr>
              <w:t>Dr Marie Ludlow</w:t>
            </w:r>
          </w:p>
        </w:tc>
        <w:tc>
          <w:tcPr>
            <w:tcW w:w="6803" w:type="dxa"/>
            <w:hideMark/>
          </w:tcPr>
          <w:p w14:paraId="5F62F1F1" w14:textId="77777777" w:rsidR="00CE3831" w:rsidRPr="00CE3831" w:rsidRDefault="00CE3831" w:rsidP="00CE3831">
            <w:pPr>
              <w:rPr>
                <w:rFonts w:ascii="Calibri" w:hAnsi="Calibri" w:cs="Times New Roman"/>
                <w:color w:val="000000"/>
              </w:rPr>
            </w:pPr>
            <w:r w:rsidRPr="00CE3831">
              <w:rPr>
                <w:rFonts w:ascii="Calibri" w:hAnsi="Calibri" w:cs="Times New Roman"/>
                <w:color w:val="000000"/>
              </w:rPr>
              <w:t>General Manager Community Services, Kidney Health Australia</w:t>
            </w:r>
          </w:p>
        </w:tc>
      </w:tr>
      <w:tr w:rsidR="00CE3831" w:rsidRPr="00CE3831" w14:paraId="081890EF" w14:textId="77777777" w:rsidTr="009B2280">
        <w:trPr>
          <w:trHeight w:val="20"/>
        </w:trPr>
        <w:tc>
          <w:tcPr>
            <w:tcW w:w="2268" w:type="dxa"/>
            <w:hideMark/>
          </w:tcPr>
          <w:p w14:paraId="01EC2DD4" w14:textId="01A66078" w:rsidR="00CE3831" w:rsidRPr="00A41391" w:rsidRDefault="00CE3831" w:rsidP="00CE3831">
            <w:pPr>
              <w:rPr>
                <w:rFonts w:ascii="Calibri" w:hAnsi="Calibri" w:cs="Times New Roman"/>
                <w:b/>
                <w:bCs/>
              </w:rPr>
            </w:pPr>
            <w:r w:rsidRPr="00A41391">
              <w:rPr>
                <w:rFonts w:ascii="Calibri" w:hAnsi="Calibri" w:cs="Times New Roman"/>
                <w:b/>
                <w:bCs/>
              </w:rPr>
              <w:t xml:space="preserve">Miriam Lum </w:t>
            </w:r>
            <w:proofErr w:type="gramStart"/>
            <w:r w:rsidRPr="00A41391">
              <w:rPr>
                <w:rFonts w:ascii="Calibri" w:hAnsi="Calibri" w:cs="Times New Roman"/>
                <w:b/>
                <w:bCs/>
              </w:rPr>
              <w:t>On</w:t>
            </w:r>
            <w:proofErr w:type="gramEnd"/>
          </w:p>
        </w:tc>
        <w:tc>
          <w:tcPr>
            <w:tcW w:w="6803" w:type="dxa"/>
            <w:hideMark/>
          </w:tcPr>
          <w:p w14:paraId="5CA6DA7B" w14:textId="77777777" w:rsidR="00CE3831" w:rsidRPr="00CE3831" w:rsidRDefault="00CE3831" w:rsidP="00CE3831">
            <w:pPr>
              <w:rPr>
                <w:rFonts w:ascii="Calibri" w:hAnsi="Calibri" w:cs="Times New Roman"/>
                <w:color w:val="000000"/>
              </w:rPr>
            </w:pPr>
            <w:r w:rsidRPr="00CE3831">
              <w:rPr>
                <w:rFonts w:ascii="Calibri" w:hAnsi="Calibri" w:cs="Times New Roman"/>
                <w:color w:val="000000"/>
              </w:rPr>
              <w:t>Commonwealth Government</w:t>
            </w:r>
          </w:p>
        </w:tc>
      </w:tr>
      <w:tr w:rsidR="00CE3831" w:rsidRPr="00CE3831" w14:paraId="7B64F946" w14:textId="77777777" w:rsidTr="009B2280">
        <w:trPr>
          <w:trHeight w:val="20"/>
        </w:trPr>
        <w:tc>
          <w:tcPr>
            <w:tcW w:w="2268" w:type="dxa"/>
            <w:hideMark/>
          </w:tcPr>
          <w:p w14:paraId="317CC8B0" w14:textId="77777777" w:rsidR="00CE3831" w:rsidRPr="00A41391" w:rsidRDefault="00CE3831" w:rsidP="00CE3831">
            <w:pPr>
              <w:rPr>
                <w:rFonts w:ascii="Calibri" w:hAnsi="Calibri" w:cs="Times New Roman"/>
                <w:b/>
                <w:bCs/>
              </w:rPr>
            </w:pPr>
            <w:r w:rsidRPr="00A41391">
              <w:rPr>
                <w:rFonts w:ascii="Calibri" w:hAnsi="Calibri" w:cs="Times New Roman"/>
                <w:b/>
                <w:bCs/>
              </w:rPr>
              <w:t>A/Prof Murty Mantha</w:t>
            </w:r>
          </w:p>
        </w:tc>
        <w:tc>
          <w:tcPr>
            <w:tcW w:w="6803" w:type="dxa"/>
            <w:hideMark/>
          </w:tcPr>
          <w:p w14:paraId="1B2BD3B1" w14:textId="77777777" w:rsidR="00CE3831" w:rsidRPr="00CE3831" w:rsidRDefault="00CE3831" w:rsidP="00CE3831">
            <w:pPr>
              <w:rPr>
                <w:rFonts w:ascii="Calibri" w:hAnsi="Calibri" w:cs="Times New Roman"/>
                <w:color w:val="000000"/>
              </w:rPr>
            </w:pPr>
            <w:r w:rsidRPr="00CE3831">
              <w:rPr>
                <w:rFonts w:ascii="Calibri" w:hAnsi="Calibri" w:cs="Times New Roman"/>
                <w:color w:val="000000"/>
              </w:rPr>
              <w:t>Nephrologist; Queensland Government</w:t>
            </w:r>
          </w:p>
        </w:tc>
      </w:tr>
      <w:tr w:rsidR="00CE3831" w:rsidRPr="00CE3831" w14:paraId="5D4369BC" w14:textId="77777777" w:rsidTr="009B2280">
        <w:trPr>
          <w:trHeight w:val="20"/>
        </w:trPr>
        <w:tc>
          <w:tcPr>
            <w:tcW w:w="2268" w:type="dxa"/>
            <w:hideMark/>
          </w:tcPr>
          <w:p w14:paraId="6BBBF9AC" w14:textId="77777777" w:rsidR="00CE3831" w:rsidRPr="00A41391" w:rsidRDefault="00CE3831" w:rsidP="00CE3831">
            <w:pPr>
              <w:rPr>
                <w:rFonts w:ascii="Calibri" w:hAnsi="Calibri" w:cs="Times New Roman"/>
                <w:b/>
                <w:bCs/>
              </w:rPr>
            </w:pPr>
            <w:r w:rsidRPr="00A41391">
              <w:rPr>
                <w:rFonts w:ascii="Calibri" w:hAnsi="Calibri" w:cs="Times New Roman"/>
                <w:b/>
                <w:bCs/>
              </w:rPr>
              <w:t>Prof Stephen McDonald</w:t>
            </w:r>
          </w:p>
        </w:tc>
        <w:tc>
          <w:tcPr>
            <w:tcW w:w="6803" w:type="dxa"/>
            <w:hideMark/>
          </w:tcPr>
          <w:p w14:paraId="25663672" w14:textId="77777777" w:rsidR="00CE3831" w:rsidRPr="00CE3831" w:rsidRDefault="00CE3831" w:rsidP="00CE3831">
            <w:pPr>
              <w:rPr>
                <w:rFonts w:ascii="Calibri" w:hAnsi="Calibri" w:cs="Times New Roman"/>
                <w:color w:val="000000"/>
              </w:rPr>
            </w:pPr>
            <w:r w:rsidRPr="00CE3831">
              <w:rPr>
                <w:rFonts w:ascii="Calibri" w:hAnsi="Calibri" w:cs="Times New Roman"/>
                <w:color w:val="000000"/>
              </w:rPr>
              <w:t>Nephrologist; Executive Officer, ANZDATA</w:t>
            </w:r>
          </w:p>
        </w:tc>
      </w:tr>
      <w:tr w:rsidR="00CE3831" w:rsidRPr="00CE3831" w14:paraId="4C2045D5" w14:textId="77777777" w:rsidTr="009B2280">
        <w:trPr>
          <w:trHeight w:val="20"/>
        </w:trPr>
        <w:tc>
          <w:tcPr>
            <w:tcW w:w="2268" w:type="dxa"/>
            <w:hideMark/>
          </w:tcPr>
          <w:p w14:paraId="7E3C4595" w14:textId="66CF8F5E" w:rsidR="00CE3831" w:rsidRPr="00A41391" w:rsidRDefault="00CE3831" w:rsidP="00CE3831">
            <w:pPr>
              <w:rPr>
                <w:rFonts w:ascii="Calibri" w:hAnsi="Calibri" w:cs="Times New Roman"/>
                <w:b/>
                <w:bCs/>
              </w:rPr>
            </w:pPr>
            <w:r w:rsidRPr="00A41391">
              <w:rPr>
                <w:rFonts w:ascii="Calibri" w:hAnsi="Calibri" w:cs="Times New Roman"/>
                <w:b/>
                <w:bCs/>
              </w:rPr>
              <w:t>Wayne McGlone</w:t>
            </w:r>
          </w:p>
        </w:tc>
        <w:tc>
          <w:tcPr>
            <w:tcW w:w="6803" w:type="dxa"/>
            <w:hideMark/>
          </w:tcPr>
          <w:p w14:paraId="694661BC" w14:textId="77777777" w:rsidR="00CE3831" w:rsidRPr="00CE3831" w:rsidRDefault="00CE3831" w:rsidP="00CE3831">
            <w:pPr>
              <w:rPr>
                <w:rFonts w:ascii="Calibri" w:hAnsi="Calibri" w:cs="Times New Roman"/>
                <w:color w:val="000000"/>
              </w:rPr>
            </w:pPr>
            <w:r w:rsidRPr="00CE3831">
              <w:rPr>
                <w:rFonts w:ascii="Calibri" w:hAnsi="Calibri" w:cs="Times New Roman"/>
                <w:color w:val="000000"/>
              </w:rPr>
              <w:t>Consumer</w:t>
            </w:r>
          </w:p>
        </w:tc>
      </w:tr>
      <w:tr w:rsidR="00CE3831" w:rsidRPr="00CE3831" w14:paraId="77D62A95" w14:textId="77777777" w:rsidTr="009B2280">
        <w:trPr>
          <w:trHeight w:val="20"/>
        </w:trPr>
        <w:tc>
          <w:tcPr>
            <w:tcW w:w="2268" w:type="dxa"/>
            <w:hideMark/>
          </w:tcPr>
          <w:p w14:paraId="0D23E2BC" w14:textId="77777777" w:rsidR="00CE3831" w:rsidRPr="00A41391" w:rsidRDefault="00CE3831" w:rsidP="00CE3831">
            <w:pPr>
              <w:rPr>
                <w:rFonts w:ascii="Calibri" w:hAnsi="Calibri" w:cs="Times New Roman"/>
                <w:b/>
                <w:bCs/>
              </w:rPr>
            </w:pPr>
            <w:r w:rsidRPr="00A41391">
              <w:rPr>
                <w:rFonts w:ascii="Calibri" w:hAnsi="Calibri" w:cs="Times New Roman"/>
                <w:b/>
                <w:bCs/>
              </w:rPr>
              <w:t>A/ Prof Duncan Mortimer</w:t>
            </w:r>
          </w:p>
        </w:tc>
        <w:tc>
          <w:tcPr>
            <w:tcW w:w="6803" w:type="dxa"/>
            <w:hideMark/>
          </w:tcPr>
          <w:p w14:paraId="34BDFE6B" w14:textId="77777777" w:rsidR="00CE3831" w:rsidRPr="00CE3831" w:rsidRDefault="00CE3831" w:rsidP="00CE3831">
            <w:pPr>
              <w:rPr>
                <w:rFonts w:ascii="Calibri" w:hAnsi="Calibri" w:cs="Times New Roman"/>
                <w:color w:val="000000"/>
              </w:rPr>
            </w:pPr>
            <w:r w:rsidRPr="00CE3831">
              <w:rPr>
                <w:rFonts w:ascii="Calibri" w:hAnsi="Calibri" w:cs="Times New Roman"/>
                <w:color w:val="000000"/>
              </w:rPr>
              <w:t xml:space="preserve">Health Economist; Action Plan Advisory Group </w:t>
            </w:r>
          </w:p>
        </w:tc>
      </w:tr>
      <w:tr w:rsidR="00CE3831" w:rsidRPr="00CE3831" w14:paraId="65A2EC2B" w14:textId="77777777" w:rsidTr="009B2280">
        <w:trPr>
          <w:trHeight w:val="20"/>
        </w:trPr>
        <w:tc>
          <w:tcPr>
            <w:tcW w:w="2268" w:type="dxa"/>
            <w:hideMark/>
          </w:tcPr>
          <w:p w14:paraId="6E2C7C8E" w14:textId="77777777" w:rsidR="00CE3831" w:rsidRPr="00A41391" w:rsidRDefault="00CE3831" w:rsidP="00CE3831">
            <w:pPr>
              <w:rPr>
                <w:rFonts w:ascii="Calibri" w:hAnsi="Calibri" w:cs="Times New Roman"/>
                <w:b/>
                <w:bCs/>
              </w:rPr>
            </w:pPr>
            <w:r w:rsidRPr="00A41391">
              <w:rPr>
                <w:rFonts w:ascii="Calibri" w:hAnsi="Calibri" w:cs="Times New Roman"/>
                <w:b/>
                <w:bCs/>
              </w:rPr>
              <w:t>A/ Prof Peter Mount</w:t>
            </w:r>
          </w:p>
        </w:tc>
        <w:tc>
          <w:tcPr>
            <w:tcW w:w="6803" w:type="dxa"/>
            <w:hideMark/>
          </w:tcPr>
          <w:p w14:paraId="3BB3391D" w14:textId="77777777" w:rsidR="00CE3831" w:rsidRPr="00CE3831" w:rsidRDefault="00CE3831" w:rsidP="00CE3831">
            <w:pPr>
              <w:rPr>
                <w:rFonts w:ascii="Calibri" w:hAnsi="Calibri" w:cs="Times New Roman"/>
                <w:color w:val="000000"/>
              </w:rPr>
            </w:pPr>
            <w:r w:rsidRPr="00CE3831">
              <w:rPr>
                <w:rFonts w:ascii="Calibri" w:hAnsi="Calibri" w:cs="Times New Roman"/>
                <w:color w:val="000000"/>
              </w:rPr>
              <w:t>Nephrologist; Victorian Government</w:t>
            </w:r>
          </w:p>
        </w:tc>
      </w:tr>
      <w:tr w:rsidR="00CE3831" w:rsidRPr="00CE3831" w14:paraId="1E52CD74" w14:textId="77777777" w:rsidTr="009B2280">
        <w:trPr>
          <w:trHeight w:val="20"/>
        </w:trPr>
        <w:tc>
          <w:tcPr>
            <w:tcW w:w="2268" w:type="dxa"/>
            <w:hideMark/>
          </w:tcPr>
          <w:p w14:paraId="364B1745" w14:textId="77777777" w:rsidR="00CE3831" w:rsidRPr="00A41391" w:rsidRDefault="00CE3831" w:rsidP="00CE3831">
            <w:pPr>
              <w:rPr>
                <w:rFonts w:ascii="Calibri" w:hAnsi="Calibri" w:cs="Times New Roman"/>
                <w:b/>
                <w:bCs/>
              </w:rPr>
            </w:pPr>
            <w:r w:rsidRPr="00A41391">
              <w:rPr>
                <w:rFonts w:ascii="Calibri" w:hAnsi="Calibri" w:cs="Times New Roman"/>
                <w:b/>
                <w:bCs/>
              </w:rPr>
              <w:t>Dr Lisa Murphy</w:t>
            </w:r>
          </w:p>
        </w:tc>
        <w:tc>
          <w:tcPr>
            <w:tcW w:w="6803" w:type="dxa"/>
            <w:hideMark/>
          </w:tcPr>
          <w:p w14:paraId="79C89040" w14:textId="77777777" w:rsidR="00CE3831" w:rsidRPr="00CE3831" w:rsidRDefault="00CE3831" w:rsidP="00CE3831">
            <w:pPr>
              <w:rPr>
                <w:rFonts w:ascii="Calibri" w:hAnsi="Calibri" w:cs="Times New Roman"/>
                <w:color w:val="000000"/>
              </w:rPr>
            </w:pPr>
            <w:r w:rsidRPr="00CE3831">
              <w:rPr>
                <w:rFonts w:ascii="Calibri" w:hAnsi="Calibri" w:cs="Times New Roman"/>
                <w:color w:val="000000"/>
              </w:rPr>
              <w:t>General Manager Prevention and Advocacy, Kidney Health Australia</w:t>
            </w:r>
          </w:p>
        </w:tc>
      </w:tr>
      <w:tr w:rsidR="00CE3831" w:rsidRPr="00CE3831" w14:paraId="6EC9AA81" w14:textId="77777777" w:rsidTr="009B2280">
        <w:trPr>
          <w:trHeight w:val="20"/>
        </w:trPr>
        <w:tc>
          <w:tcPr>
            <w:tcW w:w="2268" w:type="dxa"/>
            <w:hideMark/>
          </w:tcPr>
          <w:p w14:paraId="69A0ABB0" w14:textId="43BBF6B2" w:rsidR="00CE3831" w:rsidRPr="00A41391" w:rsidRDefault="00CE3831" w:rsidP="00CE3831">
            <w:pPr>
              <w:rPr>
                <w:rFonts w:ascii="Calibri" w:hAnsi="Calibri" w:cs="Times New Roman"/>
                <w:b/>
                <w:bCs/>
              </w:rPr>
            </w:pPr>
            <w:r w:rsidRPr="00A41391">
              <w:rPr>
                <w:rFonts w:ascii="Calibri" w:hAnsi="Calibri" w:cs="Times New Roman"/>
                <w:b/>
                <w:bCs/>
              </w:rPr>
              <w:t>Dora Olivia</w:t>
            </w:r>
          </w:p>
        </w:tc>
        <w:tc>
          <w:tcPr>
            <w:tcW w:w="6803" w:type="dxa"/>
            <w:hideMark/>
          </w:tcPr>
          <w:p w14:paraId="53E762E4" w14:textId="77777777" w:rsidR="00CE3831" w:rsidRPr="00CE3831" w:rsidRDefault="00CE3831" w:rsidP="00CE3831">
            <w:pPr>
              <w:rPr>
                <w:rFonts w:ascii="Calibri" w:hAnsi="Calibri" w:cs="Times New Roman"/>
                <w:color w:val="000000"/>
              </w:rPr>
            </w:pPr>
            <w:r w:rsidRPr="00CE3831">
              <w:rPr>
                <w:rFonts w:ascii="Calibri" w:hAnsi="Calibri" w:cs="Times New Roman"/>
                <w:color w:val="000000"/>
              </w:rPr>
              <w:t>National Manager Indigenous Kidney Health, Kidney Health Australia</w:t>
            </w:r>
          </w:p>
        </w:tc>
      </w:tr>
      <w:tr w:rsidR="00CE3831" w:rsidRPr="00CE3831" w14:paraId="581D6CFA" w14:textId="77777777" w:rsidTr="009B2280">
        <w:trPr>
          <w:trHeight w:val="20"/>
        </w:trPr>
        <w:tc>
          <w:tcPr>
            <w:tcW w:w="2268" w:type="dxa"/>
            <w:hideMark/>
          </w:tcPr>
          <w:p w14:paraId="499F035C" w14:textId="77777777" w:rsidR="00CE3831" w:rsidRPr="00A41391" w:rsidRDefault="00CE3831" w:rsidP="00CE3831">
            <w:pPr>
              <w:rPr>
                <w:rFonts w:ascii="Calibri" w:hAnsi="Calibri" w:cs="Times New Roman"/>
                <w:b/>
                <w:bCs/>
              </w:rPr>
            </w:pPr>
            <w:r w:rsidRPr="00A41391">
              <w:rPr>
                <w:rFonts w:ascii="Calibri" w:hAnsi="Calibri" w:cs="Times New Roman"/>
                <w:b/>
                <w:bCs/>
              </w:rPr>
              <w:t xml:space="preserve">Prof Vlado </w:t>
            </w:r>
            <w:proofErr w:type="spellStart"/>
            <w:r w:rsidRPr="00A41391">
              <w:rPr>
                <w:rFonts w:ascii="Calibri" w:hAnsi="Calibri" w:cs="Times New Roman"/>
                <w:b/>
                <w:bCs/>
              </w:rPr>
              <w:t>Perkovic</w:t>
            </w:r>
            <w:proofErr w:type="spellEnd"/>
          </w:p>
        </w:tc>
        <w:tc>
          <w:tcPr>
            <w:tcW w:w="6803" w:type="dxa"/>
            <w:hideMark/>
          </w:tcPr>
          <w:p w14:paraId="7450BADC" w14:textId="77777777" w:rsidR="00CE3831" w:rsidRPr="00CE3831" w:rsidRDefault="00CE3831" w:rsidP="00CE3831">
            <w:pPr>
              <w:rPr>
                <w:rFonts w:ascii="Calibri" w:hAnsi="Calibri" w:cs="Times New Roman"/>
                <w:color w:val="000000"/>
              </w:rPr>
            </w:pPr>
            <w:r w:rsidRPr="00CE3831">
              <w:rPr>
                <w:rFonts w:ascii="Calibri" w:hAnsi="Calibri" w:cs="Times New Roman"/>
                <w:color w:val="000000"/>
              </w:rPr>
              <w:t>Nephrologist; Executive Director, The George Institute for Global Health</w:t>
            </w:r>
          </w:p>
        </w:tc>
      </w:tr>
      <w:tr w:rsidR="00CE3831" w:rsidRPr="00CE3831" w14:paraId="54A0E347" w14:textId="77777777" w:rsidTr="009B2280">
        <w:trPr>
          <w:trHeight w:val="20"/>
        </w:trPr>
        <w:tc>
          <w:tcPr>
            <w:tcW w:w="2268" w:type="dxa"/>
            <w:hideMark/>
          </w:tcPr>
          <w:p w14:paraId="7BEA91C0" w14:textId="1CF3DF09" w:rsidR="00CE3831" w:rsidRPr="00A41391" w:rsidRDefault="00CE3831" w:rsidP="00CE3831">
            <w:pPr>
              <w:rPr>
                <w:rFonts w:ascii="Calibri" w:hAnsi="Calibri" w:cs="Times New Roman"/>
                <w:b/>
                <w:bCs/>
              </w:rPr>
            </w:pPr>
            <w:r w:rsidRPr="00A41391">
              <w:rPr>
                <w:rFonts w:ascii="Calibri" w:hAnsi="Calibri" w:cs="Times New Roman"/>
                <w:b/>
                <w:bCs/>
              </w:rPr>
              <w:t>Kate Piper</w:t>
            </w:r>
          </w:p>
        </w:tc>
        <w:tc>
          <w:tcPr>
            <w:tcW w:w="6803" w:type="dxa"/>
            <w:hideMark/>
          </w:tcPr>
          <w:p w14:paraId="70E67845" w14:textId="77777777" w:rsidR="00CE3831" w:rsidRPr="00CE3831" w:rsidRDefault="00CE3831" w:rsidP="00CE3831">
            <w:pPr>
              <w:rPr>
                <w:rFonts w:ascii="Calibri" w:hAnsi="Calibri" w:cs="Times New Roman"/>
                <w:color w:val="000000"/>
              </w:rPr>
            </w:pPr>
            <w:r w:rsidRPr="00CE3831">
              <w:rPr>
                <w:rFonts w:ascii="Calibri" w:hAnsi="Calibri" w:cs="Times New Roman"/>
                <w:color w:val="000000"/>
              </w:rPr>
              <w:t>Assistant Director in the Chronic Disease Policy Section, Commonwealth Department of Health</w:t>
            </w:r>
          </w:p>
        </w:tc>
      </w:tr>
      <w:tr w:rsidR="00CE3831" w:rsidRPr="00CE3831" w14:paraId="08B31966" w14:textId="77777777" w:rsidTr="009B2280">
        <w:trPr>
          <w:trHeight w:val="20"/>
        </w:trPr>
        <w:tc>
          <w:tcPr>
            <w:tcW w:w="2268" w:type="dxa"/>
            <w:hideMark/>
          </w:tcPr>
          <w:p w14:paraId="3B3C1082" w14:textId="52C023FA" w:rsidR="00CE3831" w:rsidRPr="00A41391" w:rsidRDefault="00CE3831" w:rsidP="00CE3831">
            <w:pPr>
              <w:rPr>
                <w:rFonts w:ascii="Calibri" w:hAnsi="Calibri" w:cs="Times New Roman"/>
                <w:b/>
                <w:bCs/>
              </w:rPr>
            </w:pPr>
            <w:r w:rsidRPr="00A41391">
              <w:rPr>
                <w:rFonts w:ascii="Calibri" w:hAnsi="Calibri" w:cs="Times New Roman"/>
                <w:b/>
                <w:bCs/>
              </w:rPr>
              <w:t>Sarah Robinson</w:t>
            </w:r>
          </w:p>
        </w:tc>
        <w:tc>
          <w:tcPr>
            <w:tcW w:w="6803" w:type="dxa"/>
            <w:hideMark/>
          </w:tcPr>
          <w:p w14:paraId="0A520C6B" w14:textId="77777777" w:rsidR="00CE3831" w:rsidRPr="00CE3831" w:rsidRDefault="00CE3831" w:rsidP="00CE3831">
            <w:pPr>
              <w:rPr>
                <w:rFonts w:ascii="Calibri" w:hAnsi="Calibri" w:cs="Times New Roman"/>
                <w:color w:val="000000"/>
              </w:rPr>
            </w:pPr>
            <w:r w:rsidRPr="00CE3831">
              <w:rPr>
                <w:rFonts w:ascii="Calibri" w:hAnsi="Calibri" w:cs="Times New Roman"/>
                <w:color w:val="000000"/>
              </w:rPr>
              <w:t xml:space="preserve">Senior Nurse Consultant, Health Policy and Strategy Division Department of Health, Northern Territory </w:t>
            </w:r>
          </w:p>
        </w:tc>
      </w:tr>
      <w:tr w:rsidR="00CE3831" w:rsidRPr="00CE3831" w14:paraId="5839A02D" w14:textId="77777777" w:rsidTr="009B2280">
        <w:trPr>
          <w:trHeight w:val="20"/>
        </w:trPr>
        <w:tc>
          <w:tcPr>
            <w:tcW w:w="2268" w:type="dxa"/>
            <w:hideMark/>
          </w:tcPr>
          <w:p w14:paraId="59E21E31" w14:textId="30310124" w:rsidR="00CE3831" w:rsidRPr="00A41391" w:rsidRDefault="00CE3831" w:rsidP="00CE3831">
            <w:pPr>
              <w:rPr>
                <w:rFonts w:ascii="Calibri" w:hAnsi="Calibri" w:cs="Times New Roman"/>
                <w:b/>
                <w:bCs/>
              </w:rPr>
            </w:pPr>
            <w:r w:rsidRPr="00A41391">
              <w:rPr>
                <w:rFonts w:ascii="Calibri" w:hAnsi="Calibri" w:cs="Times New Roman"/>
                <w:b/>
                <w:bCs/>
              </w:rPr>
              <w:t>Maria Safe</w:t>
            </w:r>
          </w:p>
        </w:tc>
        <w:tc>
          <w:tcPr>
            <w:tcW w:w="6803" w:type="dxa"/>
            <w:hideMark/>
          </w:tcPr>
          <w:p w14:paraId="52AD2A39" w14:textId="77777777" w:rsidR="00CE3831" w:rsidRPr="00CE3831" w:rsidRDefault="00CE3831" w:rsidP="00CE3831">
            <w:pPr>
              <w:rPr>
                <w:rFonts w:ascii="Calibri" w:hAnsi="Calibri" w:cs="Times New Roman"/>
                <w:color w:val="000000"/>
              </w:rPr>
            </w:pPr>
            <w:r w:rsidRPr="00CE3831">
              <w:rPr>
                <w:rFonts w:ascii="Calibri" w:hAnsi="Calibri" w:cs="Times New Roman"/>
                <w:color w:val="000000"/>
              </w:rPr>
              <w:t>Renal Nurse; Manager, Victorian Renal Clinical Network</w:t>
            </w:r>
          </w:p>
        </w:tc>
      </w:tr>
      <w:tr w:rsidR="00CE3831" w:rsidRPr="00CE3831" w14:paraId="56783B19" w14:textId="77777777" w:rsidTr="009B2280">
        <w:trPr>
          <w:trHeight w:val="20"/>
        </w:trPr>
        <w:tc>
          <w:tcPr>
            <w:tcW w:w="2268" w:type="dxa"/>
            <w:hideMark/>
          </w:tcPr>
          <w:p w14:paraId="35C2C586" w14:textId="63059B51" w:rsidR="00CE3831" w:rsidRPr="00A41391" w:rsidRDefault="00CE3831" w:rsidP="00CE3831">
            <w:pPr>
              <w:rPr>
                <w:rFonts w:ascii="Calibri" w:hAnsi="Calibri" w:cs="Times New Roman"/>
                <w:b/>
                <w:bCs/>
              </w:rPr>
            </w:pPr>
            <w:r w:rsidRPr="00A41391">
              <w:rPr>
                <w:rFonts w:ascii="Calibri" w:hAnsi="Calibri" w:cs="Times New Roman"/>
                <w:b/>
                <w:bCs/>
              </w:rPr>
              <w:t>Dr</w:t>
            </w:r>
            <w:r w:rsidR="00FD2C52" w:rsidRPr="00A41391">
              <w:rPr>
                <w:rFonts w:ascii="Calibri" w:hAnsi="Calibri" w:cs="Times New Roman"/>
                <w:b/>
                <w:bCs/>
              </w:rPr>
              <w:t xml:space="preserve"> </w:t>
            </w:r>
            <w:r w:rsidRPr="00A41391">
              <w:rPr>
                <w:rFonts w:ascii="Calibri" w:hAnsi="Calibri" w:cs="Times New Roman"/>
                <w:b/>
                <w:bCs/>
              </w:rPr>
              <w:t>Tim Senior</w:t>
            </w:r>
          </w:p>
        </w:tc>
        <w:tc>
          <w:tcPr>
            <w:tcW w:w="6803" w:type="dxa"/>
            <w:hideMark/>
          </w:tcPr>
          <w:p w14:paraId="0C208418" w14:textId="77777777" w:rsidR="00CE3831" w:rsidRPr="00CE3831" w:rsidRDefault="00CE3831" w:rsidP="00CE3831">
            <w:pPr>
              <w:rPr>
                <w:rFonts w:ascii="Calibri" w:hAnsi="Calibri" w:cs="Times New Roman"/>
                <w:color w:val="000000"/>
              </w:rPr>
            </w:pPr>
            <w:r w:rsidRPr="00CE3831">
              <w:rPr>
                <w:rFonts w:ascii="Calibri" w:hAnsi="Calibri" w:cs="Times New Roman"/>
                <w:color w:val="000000"/>
              </w:rPr>
              <w:t>General</w:t>
            </w:r>
            <w:r w:rsidRPr="00CE3831">
              <w:rPr>
                <w:rFonts w:ascii="Cambria" w:hAnsi="Cambria" w:cs="Times New Roman"/>
              </w:rPr>
              <w:t xml:space="preserve"> </w:t>
            </w:r>
            <w:r w:rsidRPr="00CE3831">
              <w:rPr>
                <w:rFonts w:ascii="Calibri" w:hAnsi="Calibri" w:cs="Times New Roman"/>
                <w:color w:val="000000"/>
              </w:rPr>
              <w:t>Practitioner; Medical Advisor in the Royal College of General Practitioners National Faculty of Aboriginal and Torres Strait Islander Health</w:t>
            </w:r>
          </w:p>
        </w:tc>
      </w:tr>
      <w:tr w:rsidR="00CE3831" w:rsidRPr="00CE3831" w14:paraId="599E3ECA" w14:textId="77777777" w:rsidTr="009B2280">
        <w:trPr>
          <w:trHeight w:val="20"/>
        </w:trPr>
        <w:tc>
          <w:tcPr>
            <w:tcW w:w="2268" w:type="dxa"/>
            <w:hideMark/>
          </w:tcPr>
          <w:p w14:paraId="5D8018A1" w14:textId="77777777" w:rsidR="00CE3831" w:rsidRPr="00A41391" w:rsidRDefault="00CE3831" w:rsidP="00CE3831">
            <w:pPr>
              <w:rPr>
                <w:rFonts w:ascii="Calibri" w:hAnsi="Calibri" w:cs="Times New Roman"/>
                <w:b/>
                <w:bCs/>
              </w:rPr>
            </w:pPr>
            <w:r w:rsidRPr="00A41391">
              <w:rPr>
                <w:rFonts w:ascii="Calibri" w:hAnsi="Calibri" w:cs="Times New Roman"/>
                <w:b/>
                <w:bCs/>
              </w:rPr>
              <w:t>Dr Paul Snelling</w:t>
            </w:r>
          </w:p>
        </w:tc>
        <w:tc>
          <w:tcPr>
            <w:tcW w:w="6803" w:type="dxa"/>
            <w:hideMark/>
          </w:tcPr>
          <w:p w14:paraId="163DBD92" w14:textId="77777777" w:rsidR="00CE3831" w:rsidRPr="00CE3831" w:rsidRDefault="00CE3831" w:rsidP="00CE3831">
            <w:pPr>
              <w:rPr>
                <w:rFonts w:ascii="Calibri" w:hAnsi="Calibri" w:cs="Times New Roman"/>
                <w:color w:val="000000"/>
              </w:rPr>
            </w:pPr>
            <w:r w:rsidRPr="00CE3831">
              <w:rPr>
                <w:rFonts w:ascii="Calibri" w:hAnsi="Calibri" w:cs="Times New Roman"/>
                <w:color w:val="000000"/>
              </w:rPr>
              <w:t>Nephrologist; New South Wales Government</w:t>
            </w:r>
          </w:p>
        </w:tc>
      </w:tr>
      <w:tr w:rsidR="00CE3831" w:rsidRPr="00CE3831" w14:paraId="5230E2A0" w14:textId="77777777" w:rsidTr="009B2280">
        <w:trPr>
          <w:trHeight w:val="20"/>
        </w:trPr>
        <w:tc>
          <w:tcPr>
            <w:tcW w:w="2268" w:type="dxa"/>
            <w:hideMark/>
          </w:tcPr>
          <w:p w14:paraId="26DBA06E" w14:textId="77777777" w:rsidR="00CE3831" w:rsidRPr="00A41391" w:rsidRDefault="00CE3831" w:rsidP="00CE3831">
            <w:pPr>
              <w:rPr>
                <w:rFonts w:ascii="Calibri" w:hAnsi="Calibri" w:cs="Times New Roman"/>
                <w:b/>
                <w:bCs/>
              </w:rPr>
            </w:pPr>
            <w:r w:rsidRPr="00A41391">
              <w:rPr>
                <w:rFonts w:ascii="Calibri" w:hAnsi="Calibri" w:cs="Times New Roman"/>
                <w:b/>
                <w:bCs/>
              </w:rPr>
              <w:t xml:space="preserve">Dr Girish </w:t>
            </w:r>
            <w:proofErr w:type="spellStart"/>
            <w:r w:rsidRPr="00A41391">
              <w:rPr>
                <w:rFonts w:ascii="Calibri" w:hAnsi="Calibri" w:cs="Times New Roman"/>
                <w:b/>
                <w:bCs/>
              </w:rPr>
              <w:t>Talaulikar</w:t>
            </w:r>
            <w:proofErr w:type="spellEnd"/>
          </w:p>
        </w:tc>
        <w:tc>
          <w:tcPr>
            <w:tcW w:w="6803" w:type="dxa"/>
            <w:hideMark/>
          </w:tcPr>
          <w:p w14:paraId="52A655A8" w14:textId="69245913" w:rsidR="00CE3831" w:rsidRPr="00CE3831" w:rsidRDefault="00CE3831" w:rsidP="00CE3831">
            <w:pPr>
              <w:rPr>
                <w:rFonts w:ascii="Calibri" w:hAnsi="Calibri" w:cs="Times New Roman"/>
                <w:color w:val="000000"/>
              </w:rPr>
            </w:pPr>
            <w:r w:rsidRPr="00CE3831">
              <w:rPr>
                <w:rFonts w:ascii="Calibri" w:hAnsi="Calibri" w:cs="Times New Roman"/>
                <w:color w:val="000000"/>
              </w:rPr>
              <w:t>Nephrologist, Australian Capital Territory Government</w:t>
            </w:r>
            <w:r w:rsidR="00591C28">
              <w:rPr>
                <w:rFonts w:ascii="Calibri" w:hAnsi="Calibri" w:cs="Times New Roman"/>
                <w:color w:val="000000"/>
              </w:rPr>
              <w:t xml:space="preserve">; </w:t>
            </w:r>
            <w:proofErr w:type="spellStart"/>
            <w:r w:rsidR="00964299">
              <w:rPr>
                <w:rFonts w:ascii="Calibri" w:hAnsi="Calibri" w:cs="Times New Roman"/>
                <w:color w:val="000000"/>
              </w:rPr>
              <w:t>Councilor</w:t>
            </w:r>
            <w:proofErr w:type="spellEnd"/>
            <w:r w:rsidR="00591C28">
              <w:rPr>
                <w:rFonts w:ascii="Calibri" w:hAnsi="Calibri" w:cs="Times New Roman"/>
                <w:color w:val="000000"/>
              </w:rPr>
              <w:t>, ANZSN</w:t>
            </w:r>
          </w:p>
        </w:tc>
      </w:tr>
      <w:tr w:rsidR="00CE3831" w:rsidRPr="00CE3831" w14:paraId="50370CC3" w14:textId="77777777" w:rsidTr="009B2280">
        <w:trPr>
          <w:trHeight w:val="20"/>
        </w:trPr>
        <w:tc>
          <w:tcPr>
            <w:tcW w:w="2268" w:type="dxa"/>
          </w:tcPr>
          <w:p w14:paraId="3872F0BD" w14:textId="77777777" w:rsidR="00CE3831" w:rsidRPr="00A41391" w:rsidRDefault="00CE3831" w:rsidP="00CE3831">
            <w:pPr>
              <w:rPr>
                <w:rFonts w:ascii="Calibri" w:hAnsi="Calibri" w:cs="Times New Roman"/>
                <w:b/>
                <w:bCs/>
              </w:rPr>
            </w:pPr>
            <w:r w:rsidRPr="00A41391">
              <w:rPr>
                <w:rFonts w:ascii="Calibri" w:hAnsi="Calibri" w:cs="Times New Roman"/>
                <w:b/>
                <w:bCs/>
              </w:rPr>
              <w:t>Dr Emma Tinning</w:t>
            </w:r>
          </w:p>
        </w:tc>
        <w:tc>
          <w:tcPr>
            <w:tcW w:w="6803" w:type="dxa"/>
          </w:tcPr>
          <w:p w14:paraId="2C8A499E" w14:textId="77777777" w:rsidR="00CE3831" w:rsidRPr="00CE3831" w:rsidRDefault="00CE3831" w:rsidP="00CE3831">
            <w:pPr>
              <w:rPr>
                <w:rFonts w:ascii="Calibri" w:hAnsi="Calibri" w:cs="Times New Roman"/>
                <w:color w:val="000000"/>
              </w:rPr>
            </w:pPr>
            <w:r w:rsidRPr="00CE3831">
              <w:rPr>
                <w:rFonts w:ascii="Calibri" w:hAnsi="Calibri" w:cs="Times New Roman"/>
                <w:color w:val="000000"/>
              </w:rPr>
              <w:t>Executive Officer National Strategic Action Plan for Kidney Health, Kidney Health Australia</w:t>
            </w:r>
          </w:p>
        </w:tc>
      </w:tr>
    </w:tbl>
    <w:p w14:paraId="6AF170ED" w14:textId="77777777" w:rsidR="00CE3831" w:rsidRPr="00CE3831" w:rsidRDefault="00CE3831" w:rsidP="00CE3831">
      <w:pPr>
        <w:spacing w:after="0" w:line="240" w:lineRule="auto"/>
        <w:rPr>
          <w:rFonts w:ascii="Calibri" w:eastAsia="MS Mincho" w:hAnsi="Calibri" w:cs="Times New Roman"/>
          <w:color w:val="FF0000"/>
          <w:lang w:val="en-US"/>
        </w:rPr>
      </w:pPr>
    </w:p>
    <w:p w14:paraId="4B861701" w14:textId="77777777" w:rsidR="00CE3831" w:rsidRPr="00CE3831" w:rsidRDefault="00CE3831" w:rsidP="00CE3831">
      <w:pPr>
        <w:spacing w:after="0" w:line="240" w:lineRule="auto"/>
        <w:rPr>
          <w:rFonts w:ascii="Calibri" w:eastAsia="MS Mincho" w:hAnsi="Calibri" w:cs="Times New Roman"/>
          <w:lang w:val="en-US"/>
        </w:rPr>
      </w:pPr>
    </w:p>
    <w:p w14:paraId="4F05381B" w14:textId="746703CB" w:rsidR="009F442A" w:rsidRPr="00A41391" w:rsidRDefault="00FD2C52" w:rsidP="00010716">
      <w:pPr>
        <w:pStyle w:val="KidneyHeading3"/>
        <w:rPr>
          <w:sz w:val="28"/>
        </w:rPr>
      </w:pPr>
      <w:r w:rsidRPr="00A41391">
        <w:rPr>
          <w:color w:val="C00000"/>
          <w:sz w:val="28"/>
        </w:rPr>
        <w:t>Expert Groups</w:t>
      </w:r>
      <w:r w:rsidRPr="00A41391">
        <w:rPr>
          <w:sz w:val="28"/>
        </w:rPr>
        <w:t xml:space="preserve"> </w:t>
      </w:r>
    </w:p>
    <w:p w14:paraId="4FB7BB15" w14:textId="302D222E" w:rsidR="00CE3831" w:rsidRPr="001F0065" w:rsidRDefault="00CE3831" w:rsidP="00010716">
      <w:pPr>
        <w:pStyle w:val="KidneyHeading3"/>
        <w:rPr>
          <w:sz w:val="28"/>
        </w:rPr>
      </w:pPr>
    </w:p>
    <w:p w14:paraId="5690E9F9" w14:textId="56FEECF6" w:rsidR="00CE3831" w:rsidRPr="00CE3831" w:rsidRDefault="00A31AA9" w:rsidP="00010716">
      <w:pPr>
        <w:pStyle w:val="ListBullet"/>
        <w:rPr>
          <w:lang w:val="en-US"/>
        </w:rPr>
      </w:pPr>
      <w:r>
        <w:rPr>
          <w:lang w:val="en-US"/>
        </w:rPr>
        <w:t xml:space="preserve">AGHA </w:t>
      </w:r>
    </w:p>
    <w:p w14:paraId="106CCB07" w14:textId="0995CA51" w:rsidR="00CE3831" w:rsidRPr="00CE3831" w:rsidRDefault="00CE3831" w:rsidP="00010716">
      <w:pPr>
        <w:pStyle w:val="ListBullet"/>
        <w:rPr>
          <w:lang w:val="en-US"/>
        </w:rPr>
      </w:pPr>
      <w:r w:rsidRPr="00CE3831">
        <w:rPr>
          <w:lang w:val="en-US"/>
        </w:rPr>
        <w:t>ANZDATA</w:t>
      </w:r>
    </w:p>
    <w:p w14:paraId="38B58FA7" w14:textId="748BD509" w:rsidR="00CE3831" w:rsidRPr="00CE3831" w:rsidRDefault="00CE3831" w:rsidP="00010716">
      <w:pPr>
        <w:pStyle w:val="ListBullet"/>
        <w:rPr>
          <w:lang w:val="en-US"/>
        </w:rPr>
      </w:pPr>
      <w:r w:rsidRPr="00CE3831">
        <w:rPr>
          <w:lang w:val="en-US"/>
        </w:rPr>
        <w:t>ANZSN</w:t>
      </w:r>
    </w:p>
    <w:p w14:paraId="2854D7C8" w14:textId="3A823B1A" w:rsidR="00CE3831" w:rsidRPr="00CE3831" w:rsidRDefault="00CE3831" w:rsidP="00010716">
      <w:pPr>
        <w:pStyle w:val="ListBullet"/>
        <w:rPr>
          <w:lang w:val="en-US"/>
        </w:rPr>
      </w:pPr>
      <w:r w:rsidRPr="00CE3831">
        <w:rPr>
          <w:lang w:val="en-US"/>
        </w:rPr>
        <w:t>APNA</w:t>
      </w:r>
    </w:p>
    <w:p w14:paraId="59E6CC87" w14:textId="5E1334BE" w:rsidR="00CE3831" w:rsidRPr="00CE3831" w:rsidRDefault="00A31AA9" w:rsidP="00010716">
      <w:pPr>
        <w:pStyle w:val="ListBullet"/>
        <w:rPr>
          <w:lang w:val="en-US"/>
        </w:rPr>
      </w:pPr>
      <w:r>
        <w:rPr>
          <w:lang w:val="en-US"/>
        </w:rPr>
        <w:t>BEAT-CKD</w:t>
      </w:r>
    </w:p>
    <w:p w14:paraId="06412BB7" w14:textId="77777777" w:rsidR="00CE3831" w:rsidRPr="00CE3831" w:rsidRDefault="00CE3831" w:rsidP="00010716">
      <w:pPr>
        <w:pStyle w:val="ListBullet"/>
        <w:rPr>
          <w:lang w:val="en-US"/>
        </w:rPr>
      </w:pPr>
      <w:r w:rsidRPr="00CE3831">
        <w:rPr>
          <w:lang w:val="en-US"/>
        </w:rPr>
        <w:t>Deloitte Australia</w:t>
      </w:r>
    </w:p>
    <w:p w14:paraId="0D36C8B3" w14:textId="77777777" w:rsidR="00CE3831" w:rsidRPr="00CE3831" w:rsidRDefault="00CE3831" w:rsidP="00010716">
      <w:pPr>
        <w:pStyle w:val="ListBullet"/>
        <w:rPr>
          <w:lang w:val="en-US"/>
        </w:rPr>
      </w:pPr>
      <w:r w:rsidRPr="00CE3831">
        <w:rPr>
          <w:lang w:val="en-US"/>
        </w:rPr>
        <w:t>Diabetes Australia</w:t>
      </w:r>
    </w:p>
    <w:p w14:paraId="09BE3DDE" w14:textId="77777777" w:rsidR="00CE3831" w:rsidRPr="00CE3831" w:rsidRDefault="00CE3831" w:rsidP="00010716">
      <w:pPr>
        <w:pStyle w:val="ListBullet"/>
        <w:rPr>
          <w:lang w:val="en-US"/>
        </w:rPr>
      </w:pPr>
      <w:r w:rsidRPr="00CE3831">
        <w:rPr>
          <w:lang w:val="en-US"/>
        </w:rPr>
        <w:t>The George Institute for Global Health</w:t>
      </w:r>
    </w:p>
    <w:p w14:paraId="62582206" w14:textId="77777777" w:rsidR="00CE3831" w:rsidRPr="00CE3831" w:rsidRDefault="00CE3831" w:rsidP="00010716">
      <w:pPr>
        <w:pStyle w:val="ListBullet"/>
        <w:rPr>
          <w:lang w:val="en-US"/>
        </w:rPr>
      </w:pPr>
      <w:r w:rsidRPr="00CE3831">
        <w:rPr>
          <w:lang w:val="en-US"/>
        </w:rPr>
        <w:t>The Heart Foundation</w:t>
      </w:r>
    </w:p>
    <w:p w14:paraId="6A1E18BE" w14:textId="77777777" w:rsidR="00CE3831" w:rsidRPr="00CE3831" w:rsidRDefault="00CE3831" w:rsidP="00010716">
      <w:pPr>
        <w:pStyle w:val="ListBullet"/>
        <w:rPr>
          <w:lang w:val="en-US"/>
        </w:rPr>
      </w:pPr>
      <w:proofErr w:type="spellStart"/>
      <w:r w:rsidRPr="00CE3831">
        <w:rPr>
          <w:lang w:val="en-US"/>
        </w:rPr>
        <w:t>KidGen</w:t>
      </w:r>
      <w:proofErr w:type="spellEnd"/>
    </w:p>
    <w:p w14:paraId="1FA825B0" w14:textId="03AA827C" w:rsidR="00CE3831" w:rsidRPr="00CE3831" w:rsidRDefault="00CE3831" w:rsidP="00010716">
      <w:pPr>
        <w:pStyle w:val="ListBullet"/>
        <w:rPr>
          <w:lang w:val="en-US"/>
        </w:rPr>
      </w:pPr>
      <w:r w:rsidRPr="00CE3831">
        <w:rPr>
          <w:lang w:val="en-US"/>
        </w:rPr>
        <w:t>KHA-CARI</w:t>
      </w:r>
      <w:r w:rsidR="00964299">
        <w:rPr>
          <w:lang w:val="en-US"/>
        </w:rPr>
        <w:t xml:space="preserve"> </w:t>
      </w:r>
      <w:r w:rsidRPr="00CE3831">
        <w:rPr>
          <w:lang w:val="en-US"/>
        </w:rPr>
        <w:t xml:space="preserve">Guidelines Group </w:t>
      </w:r>
    </w:p>
    <w:p w14:paraId="10BAA3A9" w14:textId="77777777" w:rsidR="00CE3831" w:rsidRPr="00CE3831" w:rsidRDefault="00CE3831" w:rsidP="00010716">
      <w:pPr>
        <w:pStyle w:val="ListBullet"/>
        <w:rPr>
          <w:lang w:val="en-US"/>
        </w:rPr>
      </w:pPr>
      <w:r w:rsidRPr="00CE3831">
        <w:rPr>
          <w:lang w:val="en-US"/>
        </w:rPr>
        <w:t xml:space="preserve">Kidney Health Australia National Consumer Council </w:t>
      </w:r>
    </w:p>
    <w:p w14:paraId="63255240" w14:textId="77777777" w:rsidR="00CE3831" w:rsidRPr="00CE3831" w:rsidRDefault="00CE3831" w:rsidP="00010716">
      <w:pPr>
        <w:pStyle w:val="ListBullet"/>
        <w:rPr>
          <w:lang w:val="en-US"/>
        </w:rPr>
      </w:pPr>
      <w:r w:rsidRPr="00CE3831">
        <w:rPr>
          <w:lang w:val="en-US"/>
        </w:rPr>
        <w:lastRenderedPageBreak/>
        <w:t>Menzies School of Health Research</w:t>
      </w:r>
    </w:p>
    <w:p w14:paraId="29D14282" w14:textId="4C085DA2" w:rsidR="00CE3831" w:rsidRPr="00CE3831" w:rsidRDefault="00CE3831" w:rsidP="00010716">
      <w:pPr>
        <w:pStyle w:val="ListBullet"/>
        <w:rPr>
          <w:lang w:val="en-US"/>
        </w:rPr>
      </w:pPr>
      <w:r w:rsidRPr="00CE3831">
        <w:rPr>
          <w:lang w:val="en-US"/>
        </w:rPr>
        <w:t>NACCHO</w:t>
      </w:r>
    </w:p>
    <w:p w14:paraId="5BF14639" w14:textId="77777777" w:rsidR="00CE3831" w:rsidRPr="00CE3831" w:rsidRDefault="00CE3831" w:rsidP="00010716">
      <w:pPr>
        <w:pStyle w:val="ListBullet"/>
        <w:rPr>
          <w:lang w:val="en-US"/>
        </w:rPr>
      </w:pPr>
      <w:r w:rsidRPr="00CE3831">
        <w:rPr>
          <w:lang w:val="en-US"/>
        </w:rPr>
        <w:t>PKD Foundation of Australia</w:t>
      </w:r>
    </w:p>
    <w:p w14:paraId="521FE01B" w14:textId="3E306ADE" w:rsidR="00CE3831" w:rsidRPr="00CE3831" w:rsidRDefault="00CE3831" w:rsidP="00010716">
      <w:pPr>
        <w:pStyle w:val="ListBullet"/>
        <w:rPr>
          <w:lang w:val="en-US"/>
        </w:rPr>
      </w:pPr>
      <w:r w:rsidRPr="00CE3831">
        <w:rPr>
          <w:lang w:val="en-US"/>
        </w:rPr>
        <w:t>PEAK</w:t>
      </w:r>
    </w:p>
    <w:p w14:paraId="2BE55F20" w14:textId="77777777" w:rsidR="00CE3831" w:rsidRPr="00CE3831" w:rsidRDefault="00CE3831" w:rsidP="00010716">
      <w:pPr>
        <w:pStyle w:val="ListBullet"/>
        <w:rPr>
          <w:lang w:val="en-US"/>
        </w:rPr>
      </w:pPr>
      <w:r w:rsidRPr="00CE3831">
        <w:rPr>
          <w:lang w:val="en-US"/>
        </w:rPr>
        <w:t xml:space="preserve">Purple House (Western Desert </w:t>
      </w:r>
      <w:proofErr w:type="spellStart"/>
      <w:r w:rsidRPr="00CE3831">
        <w:rPr>
          <w:lang w:val="en-US"/>
        </w:rPr>
        <w:t>Nganampa</w:t>
      </w:r>
      <w:proofErr w:type="spellEnd"/>
      <w:r w:rsidRPr="00CE3831">
        <w:rPr>
          <w:lang w:val="en-US"/>
        </w:rPr>
        <w:t xml:space="preserve"> </w:t>
      </w:r>
      <w:proofErr w:type="spellStart"/>
      <w:r w:rsidRPr="00CE3831">
        <w:rPr>
          <w:lang w:val="en-US"/>
        </w:rPr>
        <w:t>Walytja</w:t>
      </w:r>
      <w:proofErr w:type="spellEnd"/>
      <w:r w:rsidRPr="00CE3831">
        <w:rPr>
          <w:lang w:val="en-US"/>
        </w:rPr>
        <w:t xml:space="preserve"> </w:t>
      </w:r>
      <w:proofErr w:type="spellStart"/>
      <w:r w:rsidRPr="00CE3831">
        <w:rPr>
          <w:lang w:val="en-US"/>
        </w:rPr>
        <w:t>Palyantjaku</w:t>
      </w:r>
      <w:proofErr w:type="spellEnd"/>
      <w:r w:rsidRPr="00CE3831">
        <w:rPr>
          <w:lang w:val="en-US"/>
        </w:rPr>
        <w:t xml:space="preserve"> </w:t>
      </w:r>
      <w:proofErr w:type="spellStart"/>
      <w:r w:rsidRPr="00CE3831">
        <w:rPr>
          <w:lang w:val="en-US"/>
        </w:rPr>
        <w:t>Tjutaku</w:t>
      </w:r>
      <w:proofErr w:type="spellEnd"/>
      <w:r w:rsidRPr="00CE3831">
        <w:rPr>
          <w:lang w:val="en-US"/>
        </w:rPr>
        <w:t xml:space="preserve"> Aboriginal Corporation)</w:t>
      </w:r>
    </w:p>
    <w:p w14:paraId="197F1702" w14:textId="7AF7EAA4" w:rsidR="00CE3831" w:rsidRPr="00CE3831" w:rsidRDefault="00CE3831" w:rsidP="00010716">
      <w:pPr>
        <w:pStyle w:val="ListBullet"/>
        <w:rPr>
          <w:lang w:val="en-US"/>
        </w:rPr>
      </w:pPr>
      <w:r w:rsidRPr="00CE3831">
        <w:rPr>
          <w:lang w:val="en-US"/>
        </w:rPr>
        <w:t>RSA</w:t>
      </w:r>
    </w:p>
    <w:p w14:paraId="3BA26D09" w14:textId="77777777" w:rsidR="00CE3831" w:rsidRPr="00CE3831" w:rsidRDefault="00CE3831" w:rsidP="00010716">
      <w:pPr>
        <w:pStyle w:val="ListBullet"/>
        <w:rPr>
          <w:lang w:val="en-US"/>
        </w:rPr>
      </w:pPr>
      <w:r w:rsidRPr="00CE3831">
        <w:rPr>
          <w:lang w:val="en-US"/>
        </w:rPr>
        <w:t>State Primary Health Networks</w:t>
      </w:r>
    </w:p>
    <w:p w14:paraId="613DCCC8" w14:textId="77777777" w:rsidR="00CE3831" w:rsidRPr="00CE3831" w:rsidRDefault="00CE3831" w:rsidP="00010716">
      <w:pPr>
        <w:pStyle w:val="ListBullet"/>
        <w:rPr>
          <w:lang w:val="en-US"/>
        </w:rPr>
      </w:pPr>
      <w:r w:rsidRPr="00CE3831">
        <w:rPr>
          <w:lang w:val="en-US"/>
        </w:rPr>
        <w:t>The Stroke Foundation</w:t>
      </w:r>
    </w:p>
    <w:p w14:paraId="1AE5FEAF" w14:textId="77777777" w:rsidR="00CE3831" w:rsidRPr="00CE3831" w:rsidRDefault="00CE3831" w:rsidP="00010716">
      <w:pPr>
        <w:pStyle w:val="ListBullet"/>
        <w:rPr>
          <w:lang w:val="en-US"/>
        </w:rPr>
      </w:pPr>
      <w:r w:rsidRPr="00CE3831">
        <w:rPr>
          <w:lang w:val="en-US"/>
        </w:rPr>
        <w:t>The Organ and Tissue Authority</w:t>
      </w:r>
    </w:p>
    <w:p w14:paraId="046833E1" w14:textId="77777777" w:rsidR="00CE3831" w:rsidRPr="00CE3831" w:rsidRDefault="00CE3831" w:rsidP="00010716">
      <w:pPr>
        <w:pStyle w:val="ListBullet"/>
        <w:rPr>
          <w:lang w:val="en-US"/>
        </w:rPr>
      </w:pPr>
      <w:r w:rsidRPr="00CE3831">
        <w:rPr>
          <w:lang w:val="en-US"/>
        </w:rPr>
        <w:t>Top End Renal Services</w:t>
      </w:r>
    </w:p>
    <w:p w14:paraId="2C9AE9F9" w14:textId="32F84ED7" w:rsidR="00CE3831" w:rsidRPr="00CE3831" w:rsidRDefault="00CE3831" w:rsidP="00010716">
      <w:pPr>
        <w:pStyle w:val="ListBullet"/>
        <w:rPr>
          <w:lang w:val="en-US"/>
        </w:rPr>
      </w:pPr>
      <w:r w:rsidRPr="00CE3831">
        <w:rPr>
          <w:lang w:val="en-US"/>
        </w:rPr>
        <w:t>TSANZ</w:t>
      </w:r>
    </w:p>
    <w:p w14:paraId="4E0EC7E1" w14:textId="77777777" w:rsidR="00CE3831" w:rsidRPr="00CE3831" w:rsidRDefault="00CE3831" w:rsidP="00CE3831">
      <w:pPr>
        <w:spacing w:after="0" w:line="240" w:lineRule="auto"/>
        <w:rPr>
          <w:rFonts w:ascii="Calibri" w:eastAsia="MS Mincho" w:hAnsi="Calibri" w:cs="Times New Roman"/>
          <w:lang w:val="en-US"/>
        </w:rPr>
      </w:pPr>
    </w:p>
    <w:p w14:paraId="2816D516" w14:textId="7A612A6E" w:rsidR="00CE3831" w:rsidRPr="00A41391" w:rsidRDefault="00CE3831" w:rsidP="00A82B4A">
      <w:pPr>
        <w:pStyle w:val="KidneyHeading3"/>
        <w:rPr>
          <w:color w:val="C00000"/>
          <w:sz w:val="28"/>
        </w:rPr>
      </w:pPr>
      <w:r w:rsidRPr="00A41391">
        <w:rPr>
          <w:color w:val="C00000"/>
          <w:sz w:val="28"/>
        </w:rPr>
        <w:t>Australian Government Department of Health</w:t>
      </w:r>
    </w:p>
    <w:p w14:paraId="7CA5B2B2" w14:textId="7BC556DD" w:rsidR="00A82B4A" w:rsidRDefault="00A82B4A" w:rsidP="00A82B4A">
      <w:pPr>
        <w:pStyle w:val="KidneyHeading3"/>
      </w:pPr>
    </w:p>
    <w:tbl>
      <w:tblPr>
        <w:tblStyle w:val="TableGrid1"/>
        <w:tblW w:w="9071" w:type="dxa"/>
        <w:tblLook w:val="04A0" w:firstRow="1" w:lastRow="0" w:firstColumn="1" w:lastColumn="0" w:noHBand="0" w:noVBand="1"/>
      </w:tblPr>
      <w:tblGrid>
        <w:gridCol w:w="2268"/>
        <w:gridCol w:w="6803"/>
      </w:tblGrid>
      <w:tr w:rsidR="00A82B4A" w:rsidRPr="00CE3831" w14:paraId="1EB64609" w14:textId="77777777" w:rsidTr="009B2280">
        <w:trPr>
          <w:trHeight w:val="20"/>
        </w:trPr>
        <w:tc>
          <w:tcPr>
            <w:tcW w:w="2268" w:type="dxa"/>
          </w:tcPr>
          <w:p w14:paraId="5A8C871F" w14:textId="68CEB155" w:rsidR="00A82B4A" w:rsidRPr="00010716" w:rsidRDefault="00A82B4A" w:rsidP="002015CA">
            <w:pPr>
              <w:rPr>
                <w:rFonts w:ascii="Calibri" w:hAnsi="Calibri" w:cs="Times New Roman"/>
              </w:rPr>
            </w:pPr>
            <w:r w:rsidRPr="00010716">
              <w:rPr>
                <w:rFonts w:ascii="Calibri" w:eastAsia="MS Mincho" w:hAnsi="Calibri" w:cs="Times New Roman"/>
                <w:lang w:val="en-US"/>
              </w:rPr>
              <w:t>Jacinta McDonald</w:t>
            </w:r>
          </w:p>
        </w:tc>
        <w:tc>
          <w:tcPr>
            <w:tcW w:w="6803" w:type="dxa"/>
          </w:tcPr>
          <w:p w14:paraId="5C28A7B2" w14:textId="650B7CFC" w:rsidR="00A82B4A" w:rsidRPr="00010716" w:rsidRDefault="00A82B4A" w:rsidP="002015CA">
            <w:pPr>
              <w:rPr>
                <w:rFonts w:ascii="Calibri" w:eastAsia="MS Mincho" w:hAnsi="Calibri" w:cs="Times New Roman"/>
                <w:color w:val="000000"/>
                <w:lang w:val="en-US"/>
              </w:rPr>
            </w:pPr>
            <w:r w:rsidRPr="00CE3831">
              <w:rPr>
                <w:rFonts w:ascii="Calibri" w:eastAsia="MS Mincho" w:hAnsi="Calibri" w:cs="Times New Roman"/>
                <w:color w:val="000000"/>
                <w:lang w:val="en-US"/>
              </w:rPr>
              <w:t>Director, Chronic Disease Policy Section</w:t>
            </w:r>
          </w:p>
        </w:tc>
      </w:tr>
      <w:tr w:rsidR="00A82B4A" w:rsidRPr="00CE3831" w14:paraId="2769D2AE" w14:textId="77777777" w:rsidTr="009B2280">
        <w:trPr>
          <w:trHeight w:val="20"/>
        </w:trPr>
        <w:tc>
          <w:tcPr>
            <w:tcW w:w="2268" w:type="dxa"/>
          </w:tcPr>
          <w:p w14:paraId="51A99019" w14:textId="5EFE5115" w:rsidR="00A82B4A" w:rsidRPr="00010716" w:rsidRDefault="00A82B4A" w:rsidP="002015CA">
            <w:pPr>
              <w:rPr>
                <w:rFonts w:ascii="Calibri" w:hAnsi="Calibri" w:cs="Times New Roman"/>
              </w:rPr>
            </w:pPr>
            <w:r w:rsidRPr="00010716">
              <w:rPr>
                <w:rFonts w:ascii="Calibri" w:eastAsia="MS Mincho" w:hAnsi="Calibri" w:cs="Times New Roman"/>
                <w:lang w:val="en-US"/>
              </w:rPr>
              <w:t>Kevin Thompson</w:t>
            </w:r>
          </w:p>
        </w:tc>
        <w:tc>
          <w:tcPr>
            <w:tcW w:w="6803" w:type="dxa"/>
          </w:tcPr>
          <w:p w14:paraId="7109FE33" w14:textId="204C311A" w:rsidR="00A82B4A" w:rsidRPr="00CE3831" w:rsidRDefault="00A82B4A" w:rsidP="002015CA">
            <w:pPr>
              <w:rPr>
                <w:rFonts w:ascii="Calibri" w:hAnsi="Calibri" w:cs="Times New Roman"/>
                <w:color w:val="FF0000"/>
              </w:rPr>
            </w:pPr>
            <w:r w:rsidRPr="00CE3831">
              <w:rPr>
                <w:rFonts w:ascii="Calibri" w:eastAsia="MS Mincho" w:hAnsi="Calibri" w:cs="Times New Roman"/>
                <w:color w:val="000000"/>
                <w:lang w:val="en-US"/>
              </w:rPr>
              <w:t>A/g Director,</w:t>
            </w:r>
            <w:r w:rsidRPr="00CE3831">
              <w:rPr>
                <w:rFonts w:ascii="Cambria" w:eastAsia="MS Mincho" w:hAnsi="Cambria" w:cs="Times New Roman"/>
                <w:sz w:val="24"/>
                <w:szCs w:val="24"/>
                <w:lang w:val="en-US"/>
              </w:rPr>
              <w:t xml:space="preserve"> </w:t>
            </w:r>
            <w:r w:rsidRPr="00CE3831">
              <w:rPr>
                <w:rFonts w:ascii="Calibri" w:eastAsia="MS Mincho" w:hAnsi="Calibri" w:cs="Times New Roman"/>
                <w:color w:val="000000"/>
                <w:lang w:val="en-US"/>
              </w:rPr>
              <w:t>Chronic Disease Policy Section</w:t>
            </w:r>
          </w:p>
        </w:tc>
      </w:tr>
      <w:tr w:rsidR="00A82B4A" w:rsidRPr="00CE3831" w14:paraId="509E2BF2" w14:textId="77777777" w:rsidTr="009B2280">
        <w:trPr>
          <w:trHeight w:val="20"/>
        </w:trPr>
        <w:tc>
          <w:tcPr>
            <w:tcW w:w="2268" w:type="dxa"/>
          </w:tcPr>
          <w:p w14:paraId="21C42345" w14:textId="19C92091" w:rsidR="00A82B4A" w:rsidRPr="00010716" w:rsidRDefault="00A82B4A" w:rsidP="002015CA">
            <w:pPr>
              <w:rPr>
                <w:rFonts w:ascii="Calibri" w:hAnsi="Calibri" w:cs="Times New Roman"/>
              </w:rPr>
            </w:pPr>
            <w:r w:rsidRPr="00010716">
              <w:rPr>
                <w:rFonts w:ascii="Calibri" w:eastAsia="MS Mincho" w:hAnsi="Calibri" w:cs="Times New Roman"/>
                <w:lang w:val="en-US"/>
              </w:rPr>
              <w:t>Kate Piper</w:t>
            </w:r>
          </w:p>
        </w:tc>
        <w:tc>
          <w:tcPr>
            <w:tcW w:w="6803" w:type="dxa"/>
          </w:tcPr>
          <w:p w14:paraId="7C89E188" w14:textId="0AEB0CA8" w:rsidR="00A82B4A" w:rsidRPr="00CE3831" w:rsidRDefault="00A82B4A" w:rsidP="002015CA">
            <w:pPr>
              <w:rPr>
                <w:rFonts w:ascii="Calibri" w:hAnsi="Calibri" w:cs="Times New Roman"/>
                <w:color w:val="FF0000"/>
              </w:rPr>
            </w:pPr>
            <w:r w:rsidRPr="00CE3831">
              <w:rPr>
                <w:rFonts w:ascii="Calibri" w:eastAsia="MS Mincho" w:hAnsi="Calibri" w:cs="Times New Roman"/>
                <w:color w:val="000000"/>
                <w:lang w:val="en-US"/>
              </w:rPr>
              <w:t>Assistant Director, Chronic Disease Policy Section</w:t>
            </w:r>
          </w:p>
        </w:tc>
      </w:tr>
      <w:tr w:rsidR="00A82B4A" w:rsidRPr="00CE3831" w14:paraId="3517E2A2" w14:textId="77777777" w:rsidTr="009B2280">
        <w:trPr>
          <w:trHeight w:val="20"/>
        </w:trPr>
        <w:tc>
          <w:tcPr>
            <w:tcW w:w="2268" w:type="dxa"/>
          </w:tcPr>
          <w:p w14:paraId="5F08C166" w14:textId="54BF5575" w:rsidR="00A82B4A" w:rsidRPr="00010716" w:rsidRDefault="00A82B4A" w:rsidP="002015CA">
            <w:pPr>
              <w:rPr>
                <w:rFonts w:ascii="Calibri" w:hAnsi="Calibri" w:cs="Times New Roman"/>
              </w:rPr>
            </w:pPr>
            <w:r w:rsidRPr="00010716">
              <w:rPr>
                <w:rFonts w:ascii="Calibri" w:eastAsia="MS Mincho" w:hAnsi="Calibri" w:cs="Times New Roman"/>
                <w:lang w:val="en-US"/>
              </w:rPr>
              <w:t>Joanne Davies</w:t>
            </w:r>
          </w:p>
        </w:tc>
        <w:tc>
          <w:tcPr>
            <w:tcW w:w="6803" w:type="dxa"/>
          </w:tcPr>
          <w:p w14:paraId="6DF041C4" w14:textId="55BF16E5" w:rsidR="00A82B4A" w:rsidRPr="00CE3831" w:rsidRDefault="00A82B4A" w:rsidP="002015CA">
            <w:pPr>
              <w:rPr>
                <w:rFonts w:ascii="Calibri" w:hAnsi="Calibri" w:cs="Times New Roman"/>
              </w:rPr>
            </w:pPr>
            <w:r w:rsidRPr="00B84347">
              <w:rPr>
                <w:rFonts w:ascii="Calibri" w:eastAsia="MS Mincho" w:hAnsi="Calibri" w:cs="Times New Roman"/>
                <w:color w:val="000000"/>
                <w:lang w:val="en-US"/>
              </w:rPr>
              <w:t>Assistant Director</w:t>
            </w:r>
            <w:r>
              <w:rPr>
                <w:rFonts w:ascii="Calibri" w:eastAsia="MS Mincho" w:hAnsi="Calibri" w:cs="Times New Roman"/>
                <w:color w:val="000000"/>
                <w:lang w:val="en-US"/>
              </w:rPr>
              <w:t xml:space="preserve">, </w:t>
            </w:r>
            <w:r w:rsidRPr="00B84347">
              <w:rPr>
                <w:rFonts w:ascii="Calibri" w:eastAsia="MS Mincho" w:hAnsi="Calibri" w:cs="Times New Roman"/>
                <w:color w:val="000000"/>
                <w:lang w:val="en-US"/>
              </w:rPr>
              <w:t>Chronic Disease Policy Section</w:t>
            </w:r>
          </w:p>
        </w:tc>
      </w:tr>
      <w:tr w:rsidR="00A82B4A" w:rsidRPr="00CE3831" w14:paraId="61C26CEA" w14:textId="77777777" w:rsidTr="009B2280">
        <w:trPr>
          <w:trHeight w:val="20"/>
        </w:trPr>
        <w:tc>
          <w:tcPr>
            <w:tcW w:w="2268" w:type="dxa"/>
          </w:tcPr>
          <w:p w14:paraId="66CFE76E" w14:textId="147ACC86" w:rsidR="00A82B4A" w:rsidRPr="00010716" w:rsidRDefault="00A82B4A" w:rsidP="002015CA">
            <w:pPr>
              <w:rPr>
                <w:rFonts w:ascii="Calibri" w:eastAsia="MS Mincho" w:hAnsi="Calibri" w:cs="Times New Roman"/>
                <w:lang w:val="en-US"/>
              </w:rPr>
            </w:pPr>
            <w:r w:rsidRPr="00010716">
              <w:rPr>
                <w:rFonts w:ascii="Calibri" w:eastAsia="MS Mincho" w:hAnsi="Calibri" w:cs="Times New Roman"/>
                <w:lang w:val="en-US"/>
              </w:rPr>
              <w:t>Trudy McInnis</w:t>
            </w:r>
          </w:p>
        </w:tc>
        <w:tc>
          <w:tcPr>
            <w:tcW w:w="6803" w:type="dxa"/>
          </w:tcPr>
          <w:p w14:paraId="50EE51BC" w14:textId="05AFF076" w:rsidR="00A82B4A" w:rsidRPr="00B84347" w:rsidRDefault="00A82B4A" w:rsidP="002015CA">
            <w:pPr>
              <w:rPr>
                <w:rFonts w:ascii="Calibri" w:eastAsia="MS Mincho" w:hAnsi="Calibri" w:cs="Times New Roman"/>
                <w:color w:val="000000"/>
                <w:lang w:val="en-US"/>
              </w:rPr>
            </w:pPr>
            <w:r w:rsidRPr="00CE3831">
              <w:rPr>
                <w:rFonts w:ascii="Calibri" w:eastAsia="MS Mincho" w:hAnsi="Calibri" w:cs="Times New Roman"/>
                <w:color w:val="000000"/>
                <w:lang w:val="en-US"/>
              </w:rPr>
              <w:t>Director, Indigenous Health Division</w:t>
            </w:r>
          </w:p>
        </w:tc>
      </w:tr>
      <w:tr w:rsidR="00A82B4A" w:rsidRPr="00CE3831" w14:paraId="332042D3" w14:textId="77777777" w:rsidTr="009B2280">
        <w:trPr>
          <w:trHeight w:val="20"/>
        </w:trPr>
        <w:tc>
          <w:tcPr>
            <w:tcW w:w="2268" w:type="dxa"/>
          </w:tcPr>
          <w:p w14:paraId="2107D29B" w14:textId="3E18B063" w:rsidR="00A82B4A" w:rsidRPr="00010716" w:rsidRDefault="00A82B4A" w:rsidP="002015CA">
            <w:pPr>
              <w:rPr>
                <w:rFonts w:ascii="Calibri" w:eastAsia="MS Mincho" w:hAnsi="Calibri" w:cs="Times New Roman"/>
                <w:lang w:val="en-US"/>
              </w:rPr>
            </w:pPr>
            <w:r w:rsidRPr="00010716">
              <w:rPr>
                <w:rFonts w:ascii="Calibri" w:eastAsia="MS Mincho" w:hAnsi="Calibri" w:cs="Times New Roman"/>
                <w:lang w:val="en-US"/>
              </w:rPr>
              <w:t>Rebecca Drew</w:t>
            </w:r>
          </w:p>
        </w:tc>
        <w:tc>
          <w:tcPr>
            <w:tcW w:w="6803" w:type="dxa"/>
          </w:tcPr>
          <w:p w14:paraId="44274F76" w14:textId="622BA563" w:rsidR="00A82B4A" w:rsidRPr="00B84347" w:rsidRDefault="00A82B4A" w:rsidP="002015CA">
            <w:pPr>
              <w:rPr>
                <w:rFonts w:ascii="Calibri" w:eastAsia="MS Mincho" w:hAnsi="Calibri" w:cs="Times New Roman"/>
                <w:color w:val="000000"/>
                <w:lang w:val="en-US"/>
              </w:rPr>
            </w:pPr>
            <w:r w:rsidRPr="00CE3831">
              <w:rPr>
                <w:rFonts w:ascii="Calibri" w:eastAsia="MS Mincho" w:hAnsi="Calibri" w:cs="Times New Roman"/>
                <w:color w:val="000000"/>
                <w:lang w:val="en-US"/>
              </w:rPr>
              <w:t>Assistant Director, Indigenous Health Division</w:t>
            </w:r>
          </w:p>
        </w:tc>
      </w:tr>
    </w:tbl>
    <w:p w14:paraId="7D28B773" w14:textId="1F96DF3F" w:rsidR="00CE3831" w:rsidRPr="00CE3831" w:rsidRDefault="00CE3831" w:rsidP="00CE3831">
      <w:pPr>
        <w:spacing w:after="0" w:line="240" w:lineRule="auto"/>
        <w:rPr>
          <w:rFonts w:ascii="Calibri" w:eastAsia="MS Mincho" w:hAnsi="Calibri" w:cs="Times New Roman"/>
          <w:color w:val="000000"/>
          <w:lang w:val="en-US"/>
        </w:rPr>
      </w:pPr>
    </w:p>
    <w:p w14:paraId="07412FE4" w14:textId="77777777" w:rsidR="00A82B4A" w:rsidRPr="00CE3831" w:rsidRDefault="00A82B4A" w:rsidP="00CE3831">
      <w:pPr>
        <w:spacing w:after="0" w:line="240" w:lineRule="auto"/>
        <w:rPr>
          <w:rFonts w:ascii="Calibri" w:eastAsia="MS Mincho" w:hAnsi="Calibri" w:cs="Times New Roman"/>
          <w:color w:val="000000"/>
          <w:lang w:val="en-US"/>
        </w:rPr>
      </w:pPr>
    </w:p>
    <w:p w14:paraId="5BEEBAB4" w14:textId="66EF288C" w:rsidR="00ED51C1" w:rsidRPr="00A41391" w:rsidRDefault="00CE3831">
      <w:pPr>
        <w:pStyle w:val="KidneyHeading3"/>
        <w:rPr>
          <w:color w:val="C00000"/>
          <w:sz w:val="28"/>
        </w:rPr>
      </w:pPr>
      <w:r w:rsidRPr="00A41391">
        <w:rPr>
          <w:color w:val="C00000"/>
          <w:sz w:val="28"/>
        </w:rPr>
        <w:t>State and Territory Departments</w:t>
      </w:r>
    </w:p>
    <w:p w14:paraId="7FF36323" w14:textId="77777777" w:rsidR="009F442A" w:rsidRPr="001F6499" w:rsidRDefault="009F442A" w:rsidP="00010716">
      <w:pPr>
        <w:pStyle w:val="KidneyHeading3"/>
      </w:pPr>
    </w:p>
    <w:p w14:paraId="0904A9AB" w14:textId="77777777" w:rsidR="00CE3831" w:rsidRPr="00CE3831" w:rsidRDefault="00CE3831" w:rsidP="00010716">
      <w:pPr>
        <w:pStyle w:val="ListBullet"/>
        <w:rPr>
          <w:lang w:val="en-US"/>
        </w:rPr>
      </w:pPr>
      <w:r w:rsidRPr="00CE3831">
        <w:rPr>
          <w:lang w:val="en-US"/>
        </w:rPr>
        <w:t>Australian Capital Territory – Department of Health</w:t>
      </w:r>
    </w:p>
    <w:p w14:paraId="12EDB48E" w14:textId="77777777" w:rsidR="00CE3831" w:rsidRPr="00CE3831" w:rsidRDefault="00CE3831" w:rsidP="00010716">
      <w:pPr>
        <w:pStyle w:val="ListBullet"/>
        <w:rPr>
          <w:lang w:val="en-US"/>
        </w:rPr>
      </w:pPr>
      <w:r w:rsidRPr="00CE3831">
        <w:rPr>
          <w:lang w:val="en-US"/>
        </w:rPr>
        <w:t>Northern Territory – Health Policy and Strategy Division, Department of Health</w:t>
      </w:r>
    </w:p>
    <w:p w14:paraId="44345E3D" w14:textId="77777777" w:rsidR="00CE3831" w:rsidRPr="00CE3831" w:rsidRDefault="00CE3831" w:rsidP="00010716">
      <w:pPr>
        <w:pStyle w:val="ListBullet"/>
        <w:rPr>
          <w:lang w:val="en-US"/>
        </w:rPr>
      </w:pPr>
      <w:r w:rsidRPr="00CE3831">
        <w:rPr>
          <w:lang w:val="en-US"/>
        </w:rPr>
        <w:t>New South Wales – Agency for Clinical Innovation</w:t>
      </w:r>
    </w:p>
    <w:p w14:paraId="28101BE9" w14:textId="77777777" w:rsidR="00CE3831" w:rsidRPr="00CE3831" w:rsidRDefault="00CE3831" w:rsidP="00010716">
      <w:pPr>
        <w:pStyle w:val="ListBullet"/>
        <w:rPr>
          <w:lang w:val="en-US"/>
        </w:rPr>
      </w:pPr>
      <w:r w:rsidRPr="00CE3831">
        <w:rPr>
          <w:lang w:val="en-US"/>
        </w:rPr>
        <w:t>Queensland – System Planning Branch, Department of Health</w:t>
      </w:r>
    </w:p>
    <w:p w14:paraId="0D0B73A4" w14:textId="77777777" w:rsidR="00CE3831" w:rsidRPr="00CE3831" w:rsidRDefault="00CE3831" w:rsidP="00010716">
      <w:pPr>
        <w:pStyle w:val="ListBullet"/>
        <w:rPr>
          <w:lang w:val="en-US"/>
        </w:rPr>
      </w:pPr>
      <w:r w:rsidRPr="00CE3831">
        <w:rPr>
          <w:lang w:val="en-US"/>
        </w:rPr>
        <w:t>South Australia - Clinical Improvement and Engagement, SA Health</w:t>
      </w:r>
    </w:p>
    <w:p w14:paraId="0B6024B0" w14:textId="77777777" w:rsidR="00CE3831" w:rsidRPr="00CE3831" w:rsidRDefault="00CE3831" w:rsidP="00010716">
      <w:pPr>
        <w:pStyle w:val="ListBullet"/>
        <w:rPr>
          <w:lang w:val="en-US"/>
        </w:rPr>
      </w:pPr>
      <w:r w:rsidRPr="00CE3831">
        <w:rPr>
          <w:lang w:val="en-US"/>
        </w:rPr>
        <w:t>Tasmania - CEO Public Health Services, Department of Health</w:t>
      </w:r>
    </w:p>
    <w:p w14:paraId="026C19B5" w14:textId="77777777" w:rsidR="00CE3831" w:rsidRPr="00CE3831" w:rsidRDefault="00CE3831" w:rsidP="00010716">
      <w:pPr>
        <w:pStyle w:val="ListBullet"/>
        <w:rPr>
          <w:lang w:val="en-US"/>
        </w:rPr>
      </w:pPr>
      <w:r w:rsidRPr="00CE3831">
        <w:rPr>
          <w:lang w:val="en-US"/>
        </w:rPr>
        <w:t>Victoria – Renal Clinical Network, Safer Care Victoria</w:t>
      </w:r>
    </w:p>
    <w:p w14:paraId="0822D6DA" w14:textId="77777777" w:rsidR="00CE3831" w:rsidRPr="00CE3831" w:rsidRDefault="00CE3831" w:rsidP="00010716">
      <w:pPr>
        <w:pStyle w:val="ListBullet"/>
        <w:rPr>
          <w:lang w:val="en-US"/>
        </w:rPr>
      </w:pPr>
      <w:r w:rsidRPr="00CE3831">
        <w:rPr>
          <w:lang w:val="en-US"/>
        </w:rPr>
        <w:t>Western Australia – Department of Health</w:t>
      </w:r>
    </w:p>
    <w:p w14:paraId="3A8ACADD" w14:textId="77777777" w:rsidR="00E44C4D" w:rsidRDefault="00E44C4D" w:rsidP="00772295">
      <w:pPr>
        <w:spacing w:after="0" w:line="276" w:lineRule="auto"/>
        <w:rPr>
          <w:sz w:val="36"/>
          <w:szCs w:val="36"/>
        </w:rPr>
        <w:sectPr w:rsidR="00E44C4D">
          <w:pgSz w:w="11906" w:h="16838"/>
          <w:pgMar w:top="1440" w:right="1440" w:bottom="1440" w:left="1440" w:header="708" w:footer="708" w:gutter="0"/>
          <w:cols w:space="708"/>
          <w:docGrid w:linePitch="360"/>
        </w:sectPr>
      </w:pPr>
    </w:p>
    <w:p w14:paraId="65815C54" w14:textId="1D942A3E" w:rsidR="004E2E6F" w:rsidRPr="00A41391" w:rsidRDefault="00057A53" w:rsidP="00010716">
      <w:pPr>
        <w:pStyle w:val="KidneyHeading"/>
        <w:rPr>
          <w:color w:val="C00000"/>
          <w:szCs w:val="40"/>
        </w:rPr>
      </w:pPr>
      <w:r w:rsidRPr="00A41391">
        <w:rPr>
          <w:color w:val="C00000"/>
          <w:szCs w:val="40"/>
        </w:rPr>
        <w:lastRenderedPageBreak/>
        <w:t xml:space="preserve">Appendix 2: </w:t>
      </w:r>
      <w:r w:rsidR="004E2E6F" w:rsidRPr="00A41391">
        <w:rPr>
          <w:color w:val="C00000"/>
          <w:szCs w:val="40"/>
        </w:rPr>
        <w:t xml:space="preserve">Summary report </w:t>
      </w:r>
      <w:r w:rsidR="00E44C4D" w:rsidRPr="00A41391">
        <w:rPr>
          <w:color w:val="C00000"/>
          <w:szCs w:val="40"/>
        </w:rPr>
        <w:t xml:space="preserve">of </w:t>
      </w:r>
      <w:r w:rsidR="002F7456" w:rsidRPr="00A41391">
        <w:rPr>
          <w:color w:val="C00000"/>
          <w:szCs w:val="40"/>
        </w:rPr>
        <w:t>Stakeholder S</w:t>
      </w:r>
      <w:r w:rsidR="004E2E6F" w:rsidRPr="00A41391">
        <w:rPr>
          <w:color w:val="C00000"/>
          <w:szCs w:val="40"/>
        </w:rPr>
        <w:t>urvey</w:t>
      </w:r>
    </w:p>
    <w:sdt>
      <w:sdtPr>
        <w:rPr>
          <w:rFonts w:asciiTheme="minorHAnsi" w:eastAsiaTheme="minorHAnsi" w:hAnsiTheme="minorHAnsi" w:cstheme="minorBidi"/>
          <w:b w:val="0"/>
          <w:bCs w:val="0"/>
          <w:color w:val="auto"/>
          <w:sz w:val="22"/>
          <w:szCs w:val="22"/>
          <w:lang w:val="en-AU"/>
        </w:rPr>
        <w:id w:val="-55239909"/>
        <w:docPartObj>
          <w:docPartGallery w:val="Table of Contents"/>
          <w:docPartUnique/>
        </w:docPartObj>
      </w:sdtPr>
      <w:sdtEndPr>
        <w:rPr>
          <w:noProof/>
          <w:sz w:val="20"/>
        </w:rPr>
      </w:sdtEndPr>
      <w:sdtContent>
        <w:p w14:paraId="1CF29E40" w14:textId="77777777" w:rsidR="001F6499" w:rsidRPr="001F6499" w:rsidRDefault="001F6499" w:rsidP="00772295">
          <w:pPr>
            <w:pStyle w:val="TOCHeading"/>
            <w:spacing w:before="0"/>
            <w:rPr>
              <w:rFonts w:asciiTheme="minorHAnsi" w:eastAsiaTheme="minorHAnsi" w:hAnsiTheme="minorHAnsi" w:cstheme="minorBidi"/>
              <w:b w:val="0"/>
              <w:bCs w:val="0"/>
              <w:color w:val="auto"/>
              <w:sz w:val="24"/>
              <w:szCs w:val="24"/>
              <w:lang w:val="en-AU"/>
            </w:rPr>
          </w:pPr>
        </w:p>
        <w:p w14:paraId="4A22CF24" w14:textId="31194DE9" w:rsidR="004E2E6F" w:rsidRPr="00A41391" w:rsidRDefault="001F0065" w:rsidP="00772295">
          <w:pPr>
            <w:pStyle w:val="TOCHeading"/>
            <w:spacing w:before="0"/>
            <w:rPr>
              <w:color w:val="C00000"/>
            </w:rPr>
          </w:pPr>
          <w:r w:rsidRPr="00A41391">
            <w:rPr>
              <w:color w:val="C00000"/>
            </w:rPr>
            <w:t>Contents</w:t>
          </w:r>
        </w:p>
        <w:p w14:paraId="3B14F3CF" w14:textId="0CF05A64" w:rsidR="004E2E6F" w:rsidRPr="00010716" w:rsidRDefault="004E2E6F" w:rsidP="00772295">
          <w:pPr>
            <w:pStyle w:val="TOC1"/>
            <w:tabs>
              <w:tab w:val="right" w:leader="dot" w:pos="9016"/>
            </w:tabs>
            <w:spacing w:before="0" w:line="276" w:lineRule="auto"/>
            <w:rPr>
              <w:rFonts w:eastAsiaTheme="minorEastAsia"/>
              <w:b w:val="0"/>
              <w:i w:val="0"/>
              <w:iCs w:val="0"/>
              <w:noProof/>
              <w:lang w:eastAsia="ja-JP"/>
            </w:rPr>
          </w:pPr>
          <w:r>
            <w:rPr>
              <w:b w:val="0"/>
            </w:rPr>
            <w:fldChar w:fldCharType="begin"/>
          </w:r>
          <w:r>
            <w:instrText xml:space="preserve"> TOC \o "1-3" \h \z \u </w:instrText>
          </w:r>
          <w:r>
            <w:rPr>
              <w:b w:val="0"/>
            </w:rPr>
            <w:fldChar w:fldCharType="separate"/>
          </w:r>
          <w:r w:rsidR="003144C8" w:rsidRPr="00010716">
            <w:rPr>
              <w:i w:val="0"/>
              <w:iCs w:val="0"/>
              <w:noProof/>
            </w:rPr>
            <w:t>INTRODUCTION</w:t>
          </w:r>
          <w:r w:rsidR="003144C8" w:rsidRPr="00010716">
            <w:rPr>
              <w:i w:val="0"/>
              <w:iCs w:val="0"/>
              <w:noProof/>
            </w:rPr>
            <w:tab/>
          </w:r>
          <w:r w:rsidRPr="00010716">
            <w:rPr>
              <w:i w:val="0"/>
              <w:iCs w:val="0"/>
              <w:noProof/>
            </w:rPr>
            <w:fldChar w:fldCharType="begin"/>
          </w:r>
          <w:r w:rsidRPr="00010716">
            <w:rPr>
              <w:i w:val="0"/>
              <w:iCs w:val="0"/>
              <w:noProof/>
            </w:rPr>
            <w:instrText xml:space="preserve"> PAGEREF _Toc421528249 \h </w:instrText>
          </w:r>
          <w:r w:rsidRPr="00010716">
            <w:rPr>
              <w:i w:val="0"/>
              <w:iCs w:val="0"/>
              <w:noProof/>
            </w:rPr>
          </w:r>
          <w:r w:rsidRPr="00010716">
            <w:rPr>
              <w:i w:val="0"/>
              <w:iCs w:val="0"/>
              <w:noProof/>
            </w:rPr>
            <w:fldChar w:fldCharType="separate"/>
          </w:r>
          <w:r w:rsidR="007D6052">
            <w:rPr>
              <w:i w:val="0"/>
              <w:iCs w:val="0"/>
              <w:noProof/>
            </w:rPr>
            <w:t>1</w:t>
          </w:r>
          <w:r w:rsidRPr="00010716">
            <w:rPr>
              <w:i w:val="0"/>
              <w:iCs w:val="0"/>
              <w:noProof/>
            </w:rPr>
            <w:fldChar w:fldCharType="end"/>
          </w:r>
          <w:r w:rsidR="0076611D">
            <w:rPr>
              <w:i w:val="0"/>
              <w:iCs w:val="0"/>
              <w:noProof/>
            </w:rPr>
            <w:t>5</w:t>
          </w:r>
        </w:p>
        <w:p w14:paraId="2DDA2EBB" w14:textId="50405A4F" w:rsidR="004E2E6F" w:rsidRPr="00010716" w:rsidRDefault="003144C8" w:rsidP="00772295">
          <w:pPr>
            <w:pStyle w:val="TOC1"/>
            <w:tabs>
              <w:tab w:val="right" w:leader="dot" w:pos="9016"/>
            </w:tabs>
            <w:spacing w:before="0" w:line="276" w:lineRule="auto"/>
            <w:rPr>
              <w:rFonts w:eastAsiaTheme="minorEastAsia"/>
              <w:b w:val="0"/>
              <w:i w:val="0"/>
              <w:iCs w:val="0"/>
              <w:noProof/>
              <w:lang w:eastAsia="ja-JP"/>
            </w:rPr>
          </w:pPr>
          <w:r w:rsidRPr="00010716">
            <w:rPr>
              <w:i w:val="0"/>
              <w:iCs w:val="0"/>
              <w:noProof/>
            </w:rPr>
            <w:t>METHOD AND ANALYSIS</w:t>
          </w:r>
          <w:r w:rsidRPr="00010716">
            <w:rPr>
              <w:i w:val="0"/>
              <w:iCs w:val="0"/>
              <w:noProof/>
            </w:rPr>
            <w:tab/>
          </w:r>
          <w:r w:rsidR="009F442A">
            <w:rPr>
              <w:i w:val="0"/>
              <w:iCs w:val="0"/>
              <w:noProof/>
            </w:rPr>
            <w:t>1</w:t>
          </w:r>
          <w:r w:rsidR="0076611D">
            <w:rPr>
              <w:i w:val="0"/>
              <w:iCs w:val="0"/>
              <w:noProof/>
            </w:rPr>
            <w:t>5</w:t>
          </w:r>
        </w:p>
        <w:p w14:paraId="263F904E" w14:textId="4BC9F06C" w:rsidR="004E2E6F" w:rsidRPr="00010716" w:rsidRDefault="003144C8" w:rsidP="00772295">
          <w:pPr>
            <w:pStyle w:val="TOC1"/>
            <w:tabs>
              <w:tab w:val="right" w:leader="dot" w:pos="9016"/>
            </w:tabs>
            <w:spacing w:before="0" w:line="276" w:lineRule="auto"/>
            <w:rPr>
              <w:rFonts w:eastAsiaTheme="minorEastAsia"/>
              <w:b w:val="0"/>
              <w:i w:val="0"/>
              <w:iCs w:val="0"/>
              <w:noProof/>
              <w:lang w:eastAsia="ja-JP"/>
            </w:rPr>
          </w:pPr>
          <w:r w:rsidRPr="00010716">
            <w:rPr>
              <w:i w:val="0"/>
              <w:iCs w:val="0"/>
              <w:noProof/>
            </w:rPr>
            <w:t>SUMMARY OF RESPONSES</w:t>
          </w:r>
          <w:r w:rsidRPr="00010716">
            <w:rPr>
              <w:i w:val="0"/>
              <w:iCs w:val="0"/>
              <w:noProof/>
            </w:rPr>
            <w:tab/>
          </w:r>
          <w:r w:rsidR="009F442A">
            <w:rPr>
              <w:i w:val="0"/>
              <w:iCs w:val="0"/>
              <w:noProof/>
            </w:rPr>
            <w:t>1</w:t>
          </w:r>
          <w:r w:rsidR="0076611D">
            <w:rPr>
              <w:i w:val="0"/>
              <w:iCs w:val="0"/>
              <w:noProof/>
            </w:rPr>
            <w:t>6</w:t>
          </w:r>
        </w:p>
        <w:p w14:paraId="6F8FC80A" w14:textId="6976392E" w:rsidR="004E2E6F" w:rsidRDefault="003144C8" w:rsidP="00E34DEA">
          <w:pPr>
            <w:pStyle w:val="TOC2"/>
            <w:rPr>
              <w:rFonts w:eastAsiaTheme="minorEastAsia"/>
              <w:noProof/>
              <w:sz w:val="24"/>
              <w:szCs w:val="24"/>
              <w:lang w:eastAsia="ja-JP"/>
            </w:rPr>
          </w:pPr>
          <w:r>
            <w:rPr>
              <w:noProof/>
            </w:rPr>
            <w:t>RESPONDENT CHARACTERISTICS</w:t>
          </w:r>
          <w:r>
            <w:rPr>
              <w:noProof/>
            </w:rPr>
            <w:tab/>
          </w:r>
          <w:r w:rsidR="009F442A">
            <w:rPr>
              <w:noProof/>
            </w:rPr>
            <w:t>1</w:t>
          </w:r>
          <w:r w:rsidR="0076611D">
            <w:rPr>
              <w:noProof/>
            </w:rPr>
            <w:t>6</w:t>
          </w:r>
        </w:p>
        <w:p w14:paraId="79FA2150" w14:textId="7DE528D2" w:rsidR="004E2E6F" w:rsidRDefault="003144C8" w:rsidP="00E34DEA">
          <w:pPr>
            <w:pStyle w:val="TOC2"/>
            <w:rPr>
              <w:rFonts w:eastAsiaTheme="minorEastAsia"/>
              <w:noProof/>
              <w:sz w:val="24"/>
              <w:szCs w:val="24"/>
              <w:lang w:eastAsia="ja-JP"/>
            </w:rPr>
          </w:pPr>
          <w:r>
            <w:rPr>
              <w:noProof/>
            </w:rPr>
            <w:t>PRIORITY AREAS</w:t>
          </w:r>
          <w:r w:rsidR="004E2E6F">
            <w:rPr>
              <w:noProof/>
            </w:rPr>
            <w:tab/>
          </w:r>
          <w:r w:rsidR="009F442A">
            <w:rPr>
              <w:noProof/>
            </w:rPr>
            <w:t>1</w:t>
          </w:r>
          <w:r w:rsidR="0076611D">
            <w:rPr>
              <w:noProof/>
            </w:rPr>
            <w:t>7</w:t>
          </w:r>
        </w:p>
        <w:p w14:paraId="0BDCF9AB" w14:textId="7277BFEF" w:rsidR="004E2E6F" w:rsidRDefault="004E2E6F" w:rsidP="00772295">
          <w:pPr>
            <w:pStyle w:val="TOC3"/>
            <w:tabs>
              <w:tab w:val="right" w:leader="dot" w:pos="9016"/>
            </w:tabs>
            <w:spacing w:line="276" w:lineRule="auto"/>
            <w:rPr>
              <w:rFonts w:eastAsiaTheme="minorEastAsia"/>
              <w:noProof/>
              <w:sz w:val="24"/>
              <w:szCs w:val="24"/>
              <w:lang w:eastAsia="ja-JP"/>
            </w:rPr>
          </w:pPr>
          <w:r>
            <w:rPr>
              <w:noProof/>
            </w:rPr>
            <w:t>Priority one - prevention and early detection of kidney disease</w:t>
          </w:r>
          <w:r>
            <w:rPr>
              <w:noProof/>
            </w:rPr>
            <w:tab/>
          </w:r>
          <w:r w:rsidR="009F442A">
            <w:rPr>
              <w:noProof/>
            </w:rPr>
            <w:t>1</w:t>
          </w:r>
          <w:r w:rsidR="0076611D">
            <w:rPr>
              <w:noProof/>
            </w:rPr>
            <w:t>8</w:t>
          </w:r>
        </w:p>
        <w:p w14:paraId="3762D57C" w14:textId="6064B429" w:rsidR="004E2E6F" w:rsidRDefault="004E2E6F" w:rsidP="00772295">
          <w:pPr>
            <w:pStyle w:val="TOC3"/>
            <w:tabs>
              <w:tab w:val="right" w:leader="dot" w:pos="9016"/>
            </w:tabs>
            <w:spacing w:line="276" w:lineRule="auto"/>
            <w:rPr>
              <w:rFonts w:eastAsiaTheme="minorEastAsia"/>
              <w:noProof/>
              <w:sz w:val="24"/>
              <w:szCs w:val="24"/>
              <w:lang w:eastAsia="ja-JP"/>
            </w:rPr>
          </w:pPr>
          <w:r>
            <w:rPr>
              <w:noProof/>
            </w:rPr>
            <w:t>Priority two - Improving the lives of people affected by kidney disease</w:t>
          </w:r>
          <w:r>
            <w:rPr>
              <w:noProof/>
            </w:rPr>
            <w:tab/>
          </w:r>
          <w:r w:rsidR="0076611D">
            <w:rPr>
              <w:noProof/>
            </w:rPr>
            <w:t>20</w:t>
          </w:r>
        </w:p>
        <w:p w14:paraId="65A4D102" w14:textId="1728BE64" w:rsidR="004E2E6F" w:rsidRDefault="004E2E6F" w:rsidP="00772295">
          <w:pPr>
            <w:pStyle w:val="TOC3"/>
            <w:tabs>
              <w:tab w:val="right" w:leader="dot" w:pos="9016"/>
            </w:tabs>
            <w:spacing w:line="276" w:lineRule="auto"/>
            <w:rPr>
              <w:rFonts w:eastAsiaTheme="minorEastAsia"/>
              <w:noProof/>
              <w:sz w:val="24"/>
              <w:szCs w:val="24"/>
              <w:lang w:eastAsia="ja-JP"/>
            </w:rPr>
          </w:pPr>
          <w:r>
            <w:rPr>
              <w:noProof/>
            </w:rPr>
            <w:t>Priority three - Increasing organ donation and transplantation</w:t>
          </w:r>
          <w:r>
            <w:rPr>
              <w:noProof/>
            </w:rPr>
            <w:tab/>
          </w:r>
          <w:r w:rsidR="009F442A">
            <w:rPr>
              <w:noProof/>
            </w:rPr>
            <w:t>2</w:t>
          </w:r>
          <w:r w:rsidR="0076611D">
            <w:rPr>
              <w:noProof/>
            </w:rPr>
            <w:t>1</w:t>
          </w:r>
        </w:p>
        <w:p w14:paraId="7EF32731" w14:textId="18DB8A74" w:rsidR="004E2E6F" w:rsidRDefault="004E2E6F" w:rsidP="00772295">
          <w:pPr>
            <w:pStyle w:val="TOC3"/>
            <w:tabs>
              <w:tab w:val="right" w:leader="dot" w:pos="9016"/>
            </w:tabs>
            <w:spacing w:line="276" w:lineRule="auto"/>
            <w:rPr>
              <w:rFonts w:eastAsiaTheme="minorEastAsia"/>
              <w:noProof/>
              <w:sz w:val="24"/>
              <w:szCs w:val="24"/>
              <w:lang w:eastAsia="ja-JP"/>
            </w:rPr>
          </w:pPr>
          <w:r>
            <w:rPr>
              <w:noProof/>
            </w:rPr>
            <w:t xml:space="preserve">Priority four </w:t>
          </w:r>
          <w:r w:rsidR="009F442A">
            <w:rPr>
              <w:noProof/>
            </w:rPr>
            <w:t xml:space="preserve">- supporting </w:t>
          </w:r>
          <w:r>
            <w:rPr>
              <w:noProof/>
            </w:rPr>
            <w:t>high needs communities</w:t>
          </w:r>
          <w:r>
            <w:rPr>
              <w:noProof/>
            </w:rPr>
            <w:tab/>
          </w:r>
          <w:r w:rsidR="009F442A">
            <w:rPr>
              <w:noProof/>
            </w:rPr>
            <w:t>2</w:t>
          </w:r>
          <w:r w:rsidR="0076611D">
            <w:rPr>
              <w:noProof/>
            </w:rPr>
            <w:t>3</w:t>
          </w:r>
        </w:p>
        <w:p w14:paraId="51339177" w14:textId="7E9655DB" w:rsidR="004E2E6F" w:rsidRDefault="004E2E6F" w:rsidP="00772295">
          <w:pPr>
            <w:pStyle w:val="TOC3"/>
            <w:tabs>
              <w:tab w:val="right" w:leader="dot" w:pos="9016"/>
            </w:tabs>
            <w:spacing w:line="276" w:lineRule="auto"/>
            <w:rPr>
              <w:rFonts w:eastAsiaTheme="minorEastAsia"/>
              <w:noProof/>
              <w:sz w:val="24"/>
              <w:szCs w:val="24"/>
              <w:lang w:eastAsia="ja-JP"/>
            </w:rPr>
          </w:pPr>
          <w:r>
            <w:rPr>
              <w:noProof/>
            </w:rPr>
            <w:t>Priority five – increased focus on kidney research</w:t>
          </w:r>
          <w:r>
            <w:rPr>
              <w:noProof/>
            </w:rPr>
            <w:tab/>
          </w:r>
          <w:r w:rsidR="009F442A">
            <w:rPr>
              <w:noProof/>
            </w:rPr>
            <w:t>2</w:t>
          </w:r>
          <w:r w:rsidR="0076611D">
            <w:rPr>
              <w:noProof/>
            </w:rPr>
            <w:t>4</w:t>
          </w:r>
        </w:p>
        <w:p w14:paraId="42605613" w14:textId="131A7A8A" w:rsidR="004E2E6F" w:rsidRDefault="004E2E6F" w:rsidP="00772295">
          <w:pPr>
            <w:pStyle w:val="TOC3"/>
            <w:tabs>
              <w:tab w:val="right" w:leader="dot" w:pos="9016"/>
            </w:tabs>
            <w:spacing w:line="276" w:lineRule="auto"/>
            <w:rPr>
              <w:rFonts w:eastAsiaTheme="minorEastAsia"/>
              <w:noProof/>
              <w:sz w:val="24"/>
              <w:szCs w:val="24"/>
              <w:lang w:eastAsia="ja-JP"/>
            </w:rPr>
          </w:pPr>
          <w:r>
            <w:rPr>
              <w:noProof/>
            </w:rPr>
            <w:t>Areas of progress in kidney health</w:t>
          </w:r>
          <w:r>
            <w:rPr>
              <w:noProof/>
            </w:rPr>
            <w:tab/>
          </w:r>
          <w:r w:rsidR="009F442A">
            <w:rPr>
              <w:noProof/>
            </w:rPr>
            <w:t>2</w:t>
          </w:r>
          <w:r w:rsidR="0076611D">
            <w:rPr>
              <w:noProof/>
            </w:rPr>
            <w:t>5</w:t>
          </w:r>
        </w:p>
        <w:p w14:paraId="04D2FA90" w14:textId="7D2A11F8" w:rsidR="004E2E6F" w:rsidRDefault="004E2E6F" w:rsidP="00772295">
          <w:pPr>
            <w:pStyle w:val="TOC3"/>
            <w:tabs>
              <w:tab w:val="right" w:leader="dot" w:pos="9016"/>
            </w:tabs>
            <w:spacing w:line="276" w:lineRule="auto"/>
            <w:rPr>
              <w:rFonts w:eastAsiaTheme="minorEastAsia"/>
              <w:noProof/>
              <w:sz w:val="24"/>
              <w:szCs w:val="24"/>
              <w:lang w:eastAsia="ja-JP"/>
            </w:rPr>
          </w:pPr>
          <w:r>
            <w:rPr>
              <w:noProof/>
            </w:rPr>
            <w:t>Areas needing more progress in kidney health</w:t>
          </w:r>
          <w:r>
            <w:rPr>
              <w:noProof/>
            </w:rPr>
            <w:tab/>
          </w:r>
          <w:r w:rsidR="009F442A">
            <w:rPr>
              <w:noProof/>
            </w:rPr>
            <w:t>2</w:t>
          </w:r>
          <w:r w:rsidR="0076611D">
            <w:rPr>
              <w:noProof/>
            </w:rPr>
            <w:t>7</w:t>
          </w:r>
        </w:p>
        <w:p w14:paraId="2CE309C1" w14:textId="715E5926" w:rsidR="004E2E6F" w:rsidRDefault="004E2E6F" w:rsidP="00772295">
          <w:pPr>
            <w:pStyle w:val="TOC3"/>
            <w:tabs>
              <w:tab w:val="right" w:leader="dot" w:pos="9016"/>
            </w:tabs>
            <w:spacing w:line="276" w:lineRule="auto"/>
            <w:rPr>
              <w:rFonts w:eastAsiaTheme="minorEastAsia"/>
              <w:noProof/>
              <w:sz w:val="24"/>
              <w:szCs w:val="24"/>
              <w:lang w:eastAsia="ja-JP"/>
            </w:rPr>
          </w:pPr>
          <w:r>
            <w:rPr>
              <w:noProof/>
            </w:rPr>
            <w:t>Actions for inclusion in the Action Plan</w:t>
          </w:r>
          <w:r>
            <w:rPr>
              <w:noProof/>
            </w:rPr>
            <w:tab/>
          </w:r>
          <w:r w:rsidR="009F442A">
            <w:rPr>
              <w:noProof/>
            </w:rPr>
            <w:t>2</w:t>
          </w:r>
          <w:r w:rsidR="0076611D">
            <w:rPr>
              <w:noProof/>
            </w:rPr>
            <w:t>8</w:t>
          </w:r>
        </w:p>
        <w:p w14:paraId="1CFA07BC" w14:textId="46076C56" w:rsidR="004E2E6F" w:rsidRDefault="003144C8" w:rsidP="00E34DEA">
          <w:pPr>
            <w:pStyle w:val="TOC2"/>
            <w:rPr>
              <w:rFonts w:eastAsiaTheme="minorEastAsia"/>
              <w:noProof/>
              <w:lang w:eastAsia="ja-JP"/>
            </w:rPr>
          </w:pPr>
          <w:r w:rsidRPr="00E34DEA">
            <w:rPr>
              <w:noProof/>
            </w:rPr>
            <w:t>DISCUSSION</w:t>
          </w:r>
          <w:r>
            <w:rPr>
              <w:noProof/>
            </w:rPr>
            <w:tab/>
          </w:r>
          <w:r w:rsidR="009F442A">
            <w:rPr>
              <w:noProof/>
            </w:rPr>
            <w:t>2</w:t>
          </w:r>
          <w:r w:rsidR="0076611D">
            <w:rPr>
              <w:noProof/>
            </w:rPr>
            <w:t>9</w:t>
          </w:r>
        </w:p>
        <w:p w14:paraId="3F0769E0" w14:textId="7CC12779" w:rsidR="004E2E6F" w:rsidRDefault="003144C8" w:rsidP="00E34DEA">
          <w:pPr>
            <w:pStyle w:val="TOC2"/>
            <w:rPr>
              <w:rFonts w:eastAsiaTheme="minorEastAsia"/>
              <w:noProof/>
              <w:lang w:eastAsia="ja-JP"/>
            </w:rPr>
          </w:pPr>
          <w:r w:rsidRPr="00E34DEA">
            <w:rPr>
              <w:noProof/>
            </w:rPr>
            <w:t>CONCLUSION</w:t>
          </w:r>
          <w:r w:rsidR="004E2E6F">
            <w:rPr>
              <w:noProof/>
            </w:rPr>
            <w:tab/>
          </w:r>
          <w:r w:rsidR="0076611D">
            <w:rPr>
              <w:noProof/>
            </w:rPr>
            <w:t>30</w:t>
          </w:r>
        </w:p>
        <w:p w14:paraId="34717DD5" w14:textId="6B399F1A" w:rsidR="004E2E6F" w:rsidRDefault="004E2E6F" w:rsidP="00772295">
          <w:pPr>
            <w:spacing w:after="0" w:line="276" w:lineRule="auto"/>
          </w:pPr>
          <w:r>
            <w:rPr>
              <w:b/>
              <w:bCs/>
              <w:noProof/>
            </w:rPr>
            <w:fldChar w:fldCharType="end"/>
          </w:r>
        </w:p>
      </w:sdtContent>
    </w:sdt>
    <w:p w14:paraId="4573C4B3" w14:textId="77777777" w:rsidR="00326031" w:rsidRDefault="00326031" w:rsidP="00010716">
      <w:pPr>
        <w:pStyle w:val="Kidneysubheading"/>
        <w:rPr>
          <w:color w:val="C00000"/>
        </w:rPr>
      </w:pPr>
      <w:bookmarkStart w:id="3" w:name="_Toc421528249"/>
      <w:r>
        <w:rPr>
          <w:color w:val="C00000"/>
        </w:rPr>
        <w:br w:type="page"/>
      </w:r>
    </w:p>
    <w:p w14:paraId="62843D0C" w14:textId="71AAEDDA" w:rsidR="003144C8" w:rsidRPr="00A41391" w:rsidRDefault="004E2E6F" w:rsidP="00010716">
      <w:pPr>
        <w:pStyle w:val="Kidneysubheading"/>
        <w:rPr>
          <w:color w:val="C00000"/>
        </w:rPr>
      </w:pPr>
      <w:r w:rsidRPr="00A41391">
        <w:rPr>
          <w:color w:val="C00000"/>
        </w:rPr>
        <w:lastRenderedPageBreak/>
        <w:t>Introduction</w:t>
      </w:r>
      <w:bookmarkEnd w:id="3"/>
    </w:p>
    <w:p w14:paraId="1CB1100B" w14:textId="5D86FC57" w:rsidR="00B12511" w:rsidRDefault="00E44C4D" w:rsidP="00010716">
      <w:r>
        <w:t xml:space="preserve">A key component of this </w:t>
      </w:r>
      <w:r w:rsidR="004E2E6F" w:rsidRPr="00265748">
        <w:t xml:space="preserve">consultation process </w:t>
      </w:r>
      <w:r>
        <w:t xml:space="preserve">was an online public </w:t>
      </w:r>
      <w:r w:rsidR="002F7456">
        <w:t xml:space="preserve">Stakeholder Survey </w:t>
      </w:r>
      <w:r w:rsidR="004E2E6F" w:rsidRPr="00265748">
        <w:t>seeking feedback on a range of</w:t>
      </w:r>
      <w:r w:rsidR="002F7456">
        <w:t xml:space="preserve"> </w:t>
      </w:r>
      <w:r w:rsidR="004E2E6F" w:rsidRPr="00265748">
        <w:t>proposed priorities and actions for addressing kidney disease in Australia</w:t>
      </w:r>
      <w:r w:rsidR="002F7456">
        <w:t xml:space="preserve">, </w:t>
      </w:r>
      <w:r w:rsidR="00B12511" w:rsidRPr="00B12511">
        <w:t>where the gaps are, and suggestions for what needs to be included in the Action Plan.</w:t>
      </w:r>
      <w:r w:rsidR="00B12511">
        <w:t xml:space="preserve"> </w:t>
      </w:r>
      <w:bookmarkStart w:id="4" w:name="_Hlk10875545"/>
    </w:p>
    <w:bookmarkEnd w:id="4"/>
    <w:p w14:paraId="33C3710B" w14:textId="6BD47D06" w:rsidR="00616666" w:rsidRDefault="00616666" w:rsidP="00772295">
      <w:pPr>
        <w:spacing w:after="0" w:line="276" w:lineRule="auto"/>
      </w:pPr>
    </w:p>
    <w:p w14:paraId="07923CE8" w14:textId="08DFFE5F" w:rsidR="006B3E91" w:rsidRPr="00A41391" w:rsidRDefault="004E2E6F" w:rsidP="006B3E91">
      <w:pPr>
        <w:pStyle w:val="Kidneysubheading"/>
        <w:rPr>
          <w:color w:val="C00000"/>
        </w:rPr>
      </w:pPr>
      <w:bookmarkStart w:id="5" w:name="_Toc421528250"/>
      <w:r w:rsidRPr="00A41391">
        <w:rPr>
          <w:color w:val="C00000"/>
        </w:rPr>
        <w:t>Method and analysis</w:t>
      </w:r>
      <w:bookmarkEnd w:id="5"/>
    </w:p>
    <w:p w14:paraId="566978BB" w14:textId="3285A2C8" w:rsidR="004E2E6F" w:rsidRDefault="004E2E6F" w:rsidP="00010716">
      <w:r>
        <w:t>The survey comprised</w:t>
      </w:r>
      <w:r w:rsidR="00CE2A42">
        <w:t xml:space="preserve"> 24</w:t>
      </w:r>
      <w:r>
        <w:t xml:space="preserve"> question</w:t>
      </w:r>
      <w:r w:rsidR="00CE2A42">
        <w:t>s</w:t>
      </w:r>
      <w:r w:rsidR="00580E71">
        <w:t xml:space="preserve">, </w:t>
      </w:r>
      <w:r w:rsidR="00580E71" w:rsidRPr="00580E71">
        <w:t>provided via the Survey Monkey platform</w:t>
      </w:r>
      <w:r w:rsidR="00580E71">
        <w:t>,</w:t>
      </w:r>
      <w:r>
        <w:t xml:space="preserve"> including question</w:t>
      </w:r>
      <w:r w:rsidR="00AD6268">
        <w:t>s</w:t>
      </w:r>
      <w:r>
        <w:t xml:space="preserve"> relating to demographics</w:t>
      </w:r>
      <w:r w:rsidR="00AD6268">
        <w:t xml:space="preserve">, </w:t>
      </w:r>
      <w:r>
        <w:t>draft priorities and actions and a number of free text questions relating to potential additional actions, areas of progress in kidney disease, areas needing improvement and the actions respondents would most like to see included in the Action Plan.</w:t>
      </w:r>
    </w:p>
    <w:p w14:paraId="27497DEB" w14:textId="77777777" w:rsidR="004E2E6F" w:rsidRDefault="004E2E6F" w:rsidP="00010716">
      <w:r>
        <w:t xml:space="preserve">Under the five priority areas, respondents were instructed to rank each of the potential actions according to their perceived importance (noting that respondents might consider all of the actions important). The choice of ranking (rather than rating - </w:t>
      </w:r>
      <w:proofErr w:type="spellStart"/>
      <w:r>
        <w:t>ie</w:t>
      </w:r>
      <w:proofErr w:type="spellEnd"/>
      <w:r>
        <w:t xml:space="preserve">, asking participants to rate actions as very important, important, somewhat important etc) was designed to elicit preferences and avoid the possibility of every action being rated identically. </w:t>
      </w:r>
    </w:p>
    <w:p w14:paraId="7938B05E" w14:textId="20BBFFC9" w:rsidR="004E2E6F" w:rsidRPr="00AD6268" w:rsidRDefault="004E2E6F" w:rsidP="00010716">
      <w:r>
        <w:t xml:space="preserve">Analysis for the ranking questions included identifying the actions ranked </w:t>
      </w:r>
      <w:r w:rsidR="00AD6268">
        <w:t>‘</w:t>
      </w:r>
      <w:r>
        <w:t>number one priority</w:t>
      </w:r>
      <w:r w:rsidR="00AD6268">
        <w:t>’</w:t>
      </w:r>
      <w:r>
        <w:t xml:space="preserve"> most frequently and allocating an overall/aggregate ranking score for each action. Aggregate scores, which take into account all rankings for each action from highest to lowest (</w:t>
      </w:r>
      <w:proofErr w:type="spellStart"/>
      <w:r>
        <w:t>ie</w:t>
      </w:r>
      <w:proofErr w:type="spellEnd"/>
      <w:r>
        <w:t xml:space="preserve"> the number of times </w:t>
      </w:r>
      <w:r w:rsidR="00AD6268">
        <w:t>each</w:t>
      </w:r>
      <w:r>
        <w:t xml:space="preserve"> action is ranked 1, 2, 3, 4, …) provide insight into the spread of priorities.</w:t>
      </w:r>
      <w:r w:rsidR="00AD6268">
        <w:t xml:space="preserve"> </w:t>
      </w:r>
      <w:r>
        <w:t>Free text questions were analysed using thematic analysis. This involved each response being allocated an initial topic code followed by grouping of these codes into higher order themes.</w:t>
      </w:r>
    </w:p>
    <w:p w14:paraId="4466416E" w14:textId="77777777" w:rsidR="00036FFC" w:rsidRDefault="00036FFC" w:rsidP="006B3E91">
      <w:pPr>
        <w:pStyle w:val="Kidneysubheading"/>
      </w:pPr>
      <w:bookmarkStart w:id="6" w:name="_Toc421528251"/>
    </w:p>
    <w:p w14:paraId="46696C4B" w14:textId="77777777" w:rsidR="00326031" w:rsidRDefault="00326031" w:rsidP="006B3E91">
      <w:pPr>
        <w:pStyle w:val="Kidneysubheading"/>
      </w:pPr>
      <w:r>
        <w:br w:type="page"/>
      </w:r>
    </w:p>
    <w:p w14:paraId="0ED2F319" w14:textId="14EF9665" w:rsidR="004E2E6F" w:rsidRPr="00A41391" w:rsidRDefault="004E2E6F" w:rsidP="006B3E91">
      <w:pPr>
        <w:pStyle w:val="Kidneysubheading"/>
        <w:rPr>
          <w:color w:val="C00000"/>
        </w:rPr>
      </w:pPr>
      <w:r w:rsidRPr="00A41391">
        <w:rPr>
          <w:color w:val="C00000"/>
        </w:rPr>
        <w:lastRenderedPageBreak/>
        <w:t>Summary of responses</w:t>
      </w:r>
      <w:bookmarkEnd w:id="6"/>
    </w:p>
    <w:p w14:paraId="1FFEAA36" w14:textId="44BF4D75" w:rsidR="002236EE" w:rsidRPr="002236EE" w:rsidRDefault="002236EE" w:rsidP="002236EE">
      <w:r>
        <w:t>Over</w:t>
      </w:r>
      <w:r w:rsidRPr="002236EE">
        <w:t xml:space="preserve"> 2,500 people (including consumers, healthcare professionals, researchers, policy makers and peak bodies) responded to the survey – 1,800 of those within the first 48 hours of the survey going live. This included 1,136 responses from patients and 554 from carers or family members. </w:t>
      </w:r>
    </w:p>
    <w:p w14:paraId="4DC4BDC1" w14:textId="1616295F" w:rsidR="004E2E6F" w:rsidRPr="00A41391" w:rsidRDefault="004E2E6F" w:rsidP="00010716">
      <w:pPr>
        <w:pStyle w:val="KidneyHeading3"/>
        <w:rPr>
          <w:color w:val="C00000"/>
        </w:rPr>
      </w:pPr>
      <w:bookmarkStart w:id="7" w:name="_Toc421528252"/>
      <w:r w:rsidRPr="00A41391">
        <w:rPr>
          <w:color w:val="C00000"/>
        </w:rPr>
        <w:t>Respondent characteristics</w:t>
      </w:r>
      <w:bookmarkEnd w:id="7"/>
    </w:p>
    <w:p w14:paraId="0FB06D62" w14:textId="72284436" w:rsidR="004E2E6F" w:rsidRDefault="004E2E6F" w:rsidP="00772295">
      <w:pPr>
        <w:spacing w:after="0" w:line="276" w:lineRule="auto"/>
      </w:pPr>
      <w:r w:rsidRPr="00265748">
        <w:t>Responses to survey came from both organisations and individuals. Respondents</w:t>
      </w:r>
      <w:r>
        <w:t xml:space="preserve"> </w:t>
      </w:r>
      <w:r w:rsidRPr="00265748">
        <w:t xml:space="preserve">included people with kidney disease (44%), carers and families (21%) and healthcare professionals (24%) as well as researchers, policy makers, advocates and interested members of the public. </w:t>
      </w:r>
      <w:r>
        <w:t xml:space="preserve"> </w:t>
      </w:r>
      <w:r w:rsidRPr="00265748">
        <w:t>Within healthcare professionals, nephrologists, nurses and renal nurses, dieticians, social workers and</w:t>
      </w:r>
      <w:r w:rsidR="00AD6268">
        <w:t xml:space="preserve"> general practitioner</w:t>
      </w:r>
      <w:r w:rsidRPr="00265748">
        <w:t>s were the main respondents.</w:t>
      </w:r>
    </w:p>
    <w:p w14:paraId="7E60FB06" w14:textId="77777777" w:rsidR="004E2E6F" w:rsidRPr="00265748" w:rsidRDefault="004E2E6F" w:rsidP="00772295">
      <w:pPr>
        <w:spacing w:after="0" w:line="276" w:lineRule="auto"/>
      </w:pPr>
    </w:p>
    <w:p w14:paraId="698B1EBF" w14:textId="6FA059A4" w:rsidR="004E2E6F" w:rsidRDefault="004E2E6F" w:rsidP="00772295">
      <w:pPr>
        <w:spacing w:after="0" w:line="276" w:lineRule="auto"/>
      </w:pPr>
      <w:r w:rsidRPr="00265748">
        <w:t>Respondents included a wide range of ages - from under 18 to over 75. This included 35-44 (16%), 45-54 (23%), 55-64 (25%) and 65-74 (17%) and 75+ (6%). Responses came from all state and territories from a mix of urban, suburban, rural and remote areas. 74 respondents identified themselves as Aboriginal and Torres Islander.</w:t>
      </w:r>
    </w:p>
    <w:p w14:paraId="759BEBED" w14:textId="25BB79DC" w:rsidR="000C7FF2" w:rsidRDefault="000C7FF2" w:rsidP="00772295">
      <w:pPr>
        <w:spacing w:after="0" w:line="276" w:lineRule="auto"/>
      </w:pPr>
    </w:p>
    <w:p w14:paraId="1927721C" w14:textId="1BE436D9" w:rsidR="004E2E6F" w:rsidRDefault="000C7FF2" w:rsidP="00010716">
      <w:pPr>
        <w:spacing w:after="0" w:line="276" w:lineRule="auto"/>
        <w:jc w:val="center"/>
      </w:pPr>
      <w:r>
        <w:rPr>
          <w:noProof/>
          <w:lang w:eastAsia="en-AU"/>
        </w:rPr>
        <w:drawing>
          <wp:inline distT="0" distB="0" distL="0" distR="0" wp14:anchorId="79E21A53" wp14:editId="5DB2E438">
            <wp:extent cx="5029200" cy="4940300"/>
            <wp:effectExtent l="0" t="0" r="0" b="0"/>
            <wp:docPr id="10" name="Picture 10" descr="Bar graph showing respondent characteristics as detail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1.png"/>
                    <pic:cNvPicPr/>
                  </pic:nvPicPr>
                  <pic:blipFill>
                    <a:blip r:embed="rId11" cstate="email">
                      <a:extLst>
                        <a:ext uri="{28A0092B-C50C-407E-A947-70E740481C1C}">
                          <a14:useLocalDpi xmlns:a14="http://schemas.microsoft.com/office/drawing/2010/main"/>
                        </a:ext>
                      </a:extLst>
                    </a:blip>
                    <a:stretch>
                      <a:fillRect/>
                    </a:stretch>
                  </pic:blipFill>
                  <pic:spPr>
                    <a:xfrm>
                      <a:off x="0" y="0"/>
                      <a:ext cx="5029200" cy="4940300"/>
                    </a:xfrm>
                    <a:prstGeom prst="rect">
                      <a:avLst/>
                    </a:prstGeom>
                  </pic:spPr>
                </pic:pic>
              </a:graphicData>
            </a:graphic>
          </wp:inline>
        </w:drawing>
      </w:r>
    </w:p>
    <w:p w14:paraId="0326B086" w14:textId="0AAC8D00" w:rsidR="009F442A" w:rsidRDefault="00FF26FE" w:rsidP="00FF26FE">
      <w:pPr>
        <w:spacing w:after="0" w:line="276" w:lineRule="auto"/>
        <w:jc w:val="center"/>
      </w:pPr>
      <w:r>
        <w:rPr>
          <w:noProof/>
          <w:lang w:eastAsia="en-AU"/>
        </w:rPr>
        <w:lastRenderedPageBreak/>
        <w:drawing>
          <wp:inline distT="0" distB="0" distL="0" distR="0" wp14:anchorId="49EF57E7" wp14:editId="52F1DDA2">
            <wp:extent cx="5041900" cy="4940300"/>
            <wp:effectExtent l="0" t="0" r="0" b="0"/>
            <wp:docPr id="11" name="Picture 11" descr="Bar graph showing healthcare professional category as detail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2.png"/>
                    <pic:cNvPicPr/>
                  </pic:nvPicPr>
                  <pic:blipFill>
                    <a:blip r:embed="rId12" cstate="email">
                      <a:extLst>
                        <a:ext uri="{28A0092B-C50C-407E-A947-70E740481C1C}">
                          <a14:useLocalDpi xmlns:a14="http://schemas.microsoft.com/office/drawing/2010/main"/>
                        </a:ext>
                      </a:extLst>
                    </a:blip>
                    <a:stretch>
                      <a:fillRect/>
                    </a:stretch>
                  </pic:blipFill>
                  <pic:spPr>
                    <a:xfrm>
                      <a:off x="0" y="0"/>
                      <a:ext cx="5041900" cy="4940300"/>
                    </a:xfrm>
                    <a:prstGeom prst="rect">
                      <a:avLst/>
                    </a:prstGeom>
                  </pic:spPr>
                </pic:pic>
              </a:graphicData>
            </a:graphic>
          </wp:inline>
        </w:drawing>
      </w:r>
    </w:p>
    <w:p w14:paraId="2B9A181D" w14:textId="77777777" w:rsidR="009F442A" w:rsidRDefault="009F442A" w:rsidP="00010716">
      <w:pPr>
        <w:spacing w:after="0" w:line="276" w:lineRule="auto"/>
        <w:jc w:val="center"/>
      </w:pPr>
    </w:p>
    <w:p w14:paraId="62A25FDC" w14:textId="6A9D5D3E" w:rsidR="004E2E6F" w:rsidRPr="00326031" w:rsidRDefault="004E2E6F" w:rsidP="00010716">
      <w:pPr>
        <w:pStyle w:val="Kidneysubheading"/>
        <w:rPr>
          <w:color w:val="C00000"/>
          <w:sz w:val="24"/>
          <w:szCs w:val="24"/>
        </w:rPr>
      </w:pPr>
      <w:bookmarkStart w:id="8" w:name="_Toc421528253"/>
      <w:r w:rsidRPr="00326031">
        <w:rPr>
          <w:color w:val="C00000"/>
          <w:sz w:val="24"/>
          <w:szCs w:val="24"/>
        </w:rPr>
        <w:t>Priority areas</w:t>
      </w:r>
      <w:bookmarkEnd w:id="8"/>
    </w:p>
    <w:p w14:paraId="0A445AD5" w14:textId="2C7AC9E0" w:rsidR="004E2E6F" w:rsidRDefault="004E2E6F" w:rsidP="00772295">
      <w:pPr>
        <w:spacing w:after="0" w:line="276" w:lineRule="auto"/>
      </w:pPr>
      <w:r w:rsidRPr="00265748">
        <w:t>The survey included five key priority areas</w:t>
      </w:r>
      <w:r w:rsidR="00AD6268">
        <w:t>:</w:t>
      </w:r>
    </w:p>
    <w:p w14:paraId="7D9F6D97" w14:textId="77777777" w:rsidR="00165BC8" w:rsidRPr="00265748" w:rsidRDefault="00165BC8" w:rsidP="00772295">
      <w:pPr>
        <w:spacing w:after="0" w:line="276" w:lineRule="auto"/>
      </w:pPr>
    </w:p>
    <w:p w14:paraId="7B5D6408" w14:textId="77777777" w:rsidR="004E2E6F" w:rsidRPr="00265748" w:rsidRDefault="004E2E6F" w:rsidP="00782640">
      <w:pPr>
        <w:pStyle w:val="ListParagraph"/>
        <w:numPr>
          <w:ilvl w:val="0"/>
          <w:numId w:val="28"/>
        </w:numPr>
        <w:spacing w:after="0" w:line="276" w:lineRule="auto"/>
      </w:pPr>
      <w:r w:rsidRPr="00265748">
        <w:t>Prevention and early detection of kidney disease</w:t>
      </w:r>
    </w:p>
    <w:p w14:paraId="48D3921F" w14:textId="77777777" w:rsidR="004E2E6F" w:rsidRPr="00265748" w:rsidRDefault="004E2E6F" w:rsidP="00782640">
      <w:pPr>
        <w:pStyle w:val="ListParagraph"/>
        <w:numPr>
          <w:ilvl w:val="0"/>
          <w:numId w:val="28"/>
        </w:numPr>
        <w:spacing w:after="0" w:line="276" w:lineRule="auto"/>
      </w:pPr>
      <w:r w:rsidRPr="00265748">
        <w:t>Improving the lives of people affected by kidney disease</w:t>
      </w:r>
    </w:p>
    <w:p w14:paraId="77999BFB" w14:textId="77777777" w:rsidR="004E2E6F" w:rsidRPr="00265748" w:rsidRDefault="004E2E6F" w:rsidP="00782640">
      <w:pPr>
        <w:pStyle w:val="ListParagraph"/>
        <w:numPr>
          <w:ilvl w:val="0"/>
          <w:numId w:val="28"/>
        </w:numPr>
        <w:spacing w:after="0" w:line="276" w:lineRule="auto"/>
      </w:pPr>
      <w:r w:rsidRPr="00265748">
        <w:t>Increasing organ donation and transplantation</w:t>
      </w:r>
    </w:p>
    <w:p w14:paraId="5B01DB87" w14:textId="77777777" w:rsidR="004E2E6F" w:rsidRPr="00265748" w:rsidRDefault="004E2E6F" w:rsidP="00782640">
      <w:pPr>
        <w:pStyle w:val="ListParagraph"/>
        <w:numPr>
          <w:ilvl w:val="0"/>
          <w:numId w:val="28"/>
        </w:numPr>
        <w:spacing w:after="0" w:line="276" w:lineRule="auto"/>
      </w:pPr>
      <w:r w:rsidRPr="00265748">
        <w:t>Supporting high needs communities</w:t>
      </w:r>
    </w:p>
    <w:p w14:paraId="714FA0E2" w14:textId="5579246C" w:rsidR="004E2E6F" w:rsidRDefault="004E2E6F" w:rsidP="00782640">
      <w:pPr>
        <w:pStyle w:val="ListParagraph"/>
        <w:numPr>
          <w:ilvl w:val="0"/>
          <w:numId w:val="28"/>
        </w:numPr>
        <w:spacing w:after="0" w:line="276" w:lineRule="auto"/>
      </w:pPr>
      <w:r w:rsidRPr="00265748">
        <w:t>Increasing the focus on kidney research</w:t>
      </w:r>
    </w:p>
    <w:p w14:paraId="237722B2" w14:textId="77777777" w:rsidR="00165BC8" w:rsidRPr="00265748" w:rsidRDefault="00165BC8" w:rsidP="00010716">
      <w:pPr>
        <w:pStyle w:val="ListParagraph"/>
        <w:spacing w:after="0" w:line="276" w:lineRule="auto"/>
        <w:ind w:left="357"/>
      </w:pPr>
    </w:p>
    <w:p w14:paraId="16DBEBF3" w14:textId="2CB21FCA" w:rsidR="004E2E6F" w:rsidRDefault="004E2E6F" w:rsidP="00772295">
      <w:pPr>
        <w:spacing w:after="0" w:line="276" w:lineRule="auto"/>
      </w:pPr>
      <w:r w:rsidRPr="00265748">
        <w:t xml:space="preserve">Nearly all respondents agreed with these priorities. Respondents were asked to if they wished to identify other priorities. Most responses overlapped with action items discussed in following questions relating to each of the priority areas. </w:t>
      </w:r>
      <w:r w:rsidR="002F7456">
        <w:t xml:space="preserve">Main </w:t>
      </w:r>
      <w:r w:rsidRPr="00265748">
        <w:t>themes included</w:t>
      </w:r>
      <w:r w:rsidR="00AD6268">
        <w:t>:</w:t>
      </w:r>
    </w:p>
    <w:p w14:paraId="78D91D76" w14:textId="77777777" w:rsidR="00AD6268" w:rsidRPr="00265748" w:rsidRDefault="00AD6268" w:rsidP="00772295">
      <w:pPr>
        <w:spacing w:after="0" w:line="276" w:lineRule="auto"/>
      </w:pPr>
    </w:p>
    <w:p w14:paraId="0DF787D9" w14:textId="77777777" w:rsidR="004E2E6F" w:rsidRPr="00265748" w:rsidRDefault="004E2E6F" w:rsidP="00782640">
      <w:pPr>
        <w:pStyle w:val="ListParagraph"/>
        <w:numPr>
          <w:ilvl w:val="0"/>
          <w:numId w:val="19"/>
        </w:numPr>
        <w:spacing w:after="0" w:line="276" w:lineRule="auto"/>
      </w:pPr>
      <w:r w:rsidRPr="00265748">
        <w:t>Equity of access to care</w:t>
      </w:r>
    </w:p>
    <w:p w14:paraId="6C2336A4" w14:textId="77777777" w:rsidR="004E2E6F" w:rsidRPr="00265748" w:rsidRDefault="004E2E6F" w:rsidP="00782640">
      <w:pPr>
        <w:pStyle w:val="ListParagraph"/>
        <w:numPr>
          <w:ilvl w:val="0"/>
          <w:numId w:val="19"/>
        </w:numPr>
        <w:spacing w:after="0" w:line="276" w:lineRule="auto"/>
      </w:pPr>
      <w:r w:rsidRPr="00265748">
        <w:t>The need for financial and other support</w:t>
      </w:r>
    </w:p>
    <w:p w14:paraId="1DF4353B" w14:textId="77777777" w:rsidR="004E2E6F" w:rsidRPr="00265748" w:rsidRDefault="004E2E6F" w:rsidP="00782640">
      <w:pPr>
        <w:pStyle w:val="ListParagraph"/>
        <w:numPr>
          <w:ilvl w:val="0"/>
          <w:numId w:val="19"/>
        </w:numPr>
        <w:spacing w:after="0" w:line="276" w:lineRule="auto"/>
      </w:pPr>
      <w:r w:rsidRPr="00265748">
        <w:t>Social and emotional wellbeing</w:t>
      </w:r>
    </w:p>
    <w:p w14:paraId="3CAAD174" w14:textId="77777777" w:rsidR="004E2E6F" w:rsidRPr="00265748" w:rsidRDefault="004E2E6F" w:rsidP="00782640">
      <w:pPr>
        <w:pStyle w:val="ListParagraph"/>
        <w:numPr>
          <w:ilvl w:val="0"/>
          <w:numId w:val="19"/>
        </w:numPr>
        <w:spacing w:after="0" w:line="276" w:lineRule="auto"/>
      </w:pPr>
      <w:r w:rsidRPr="00265748">
        <w:t>Advocacy</w:t>
      </w:r>
    </w:p>
    <w:p w14:paraId="003231C0" w14:textId="77777777" w:rsidR="004E2E6F" w:rsidRPr="00265748" w:rsidRDefault="004E2E6F" w:rsidP="00782640">
      <w:pPr>
        <w:pStyle w:val="ListParagraph"/>
        <w:numPr>
          <w:ilvl w:val="0"/>
          <w:numId w:val="19"/>
        </w:numPr>
        <w:spacing w:after="0" w:line="276" w:lineRule="auto"/>
      </w:pPr>
      <w:r w:rsidRPr="00265748">
        <w:t>A focus on rural and remote services</w:t>
      </w:r>
    </w:p>
    <w:p w14:paraId="20AB47BA" w14:textId="77777777" w:rsidR="004E2E6F" w:rsidRPr="00265748" w:rsidRDefault="004E2E6F" w:rsidP="00782640">
      <w:pPr>
        <w:pStyle w:val="ListParagraph"/>
        <w:numPr>
          <w:ilvl w:val="0"/>
          <w:numId w:val="19"/>
        </w:numPr>
        <w:spacing w:after="0" w:line="276" w:lineRule="auto"/>
      </w:pPr>
      <w:r w:rsidRPr="00265748">
        <w:t>Living donation</w:t>
      </w:r>
    </w:p>
    <w:p w14:paraId="65EB6E28" w14:textId="77777777" w:rsidR="004E2E6F" w:rsidRPr="00265748" w:rsidRDefault="004E2E6F" w:rsidP="00782640">
      <w:pPr>
        <w:pStyle w:val="ListParagraph"/>
        <w:numPr>
          <w:ilvl w:val="0"/>
          <w:numId w:val="19"/>
        </w:numPr>
        <w:spacing w:after="0" w:line="276" w:lineRule="auto"/>
      </w:pPr>
      <w:r w:rsidRPr="00265748">
        <w:t>The importance of early education</w:t>
      </w:r>
    </w:p>
    <w:p w14:paraId="13EDD69E" w14:textId="77777777" w:rsidR="004E2E6F" w:rsidRPr="00265748" w:rsidRDefault="004E2E6F" w:rsidP="00782640">
      <w:pPr>
        <w:pStyle w:val="ListParagraph"/>
        <w:numPr>
          <w:ilvl w:val="0"/>
          <w:numId w:val="19"/>
        </w:numPr>
        <w:spacing w:after="0" w:line="276" w:lineRule="auto"/>
      </w:pPr>
      <w:r w:rsidRPr="00265748">
        <w:lastRenderedPageBreak/>
        <w:t>Finding a cure for kidney diseases</w:t>
      </w:r>
    </w:p>
    <w:p w14:paraId="264F15F6" w14:textId="77777777" w:rsidR="004E2E6F" w:rsidRPr="00265748" w:rsidRDefault="004E2E6F" w:rsidP="00782640">
      <w:pPr>
        <w:pStyle w:val="ListParagraph"/>
        <w:numPr>
          <w:ilvl w:val="0"/>
          <w:numId w:val="19"/>
        </w:numPr>
        <w:spacing w:after="0" w:line="276" w:lineRule="auto"/>
      </w:pPr>
      <w:r w:rsidRPr="00265748">
        <w:t>Support for young adults with kidney disease</w:t>
      </w:r>
    </w:p>
    <w:p w14:paraId="1C308181" w14:textId="77777777" w:rsidR="00AD6268" w:rsidRDefault="00AD6268" w:rsidP="00772295">
      <w:pPr>
        <w:spacing w:after="0" w:line="276" w:lineRule="auto"/>
      </w:pPr>
    </w:p>
    <w:p w14:paraId="18E02C3F" w14:textId="23098606" w:rsidR="00406160" w:rsidRDefault="004E2E6F" w:rsidP="00772295">
      <w:pPr>
        <w:spacing w:after="0" w:line="276" w:lineRule="auto"/>
      </w:pPr>
      <w:r w:rsidRPr="00265748">
        <w:t>Respondents were then asked to rank individual actions for each priority area in order of importance, recognising that each action may be important. Respondents were also asked to nominate additional actions that felt should be included.</w:t>
      </w:r>
    </w:p>
    <w:p w14:paraId="1B1F5BFF" w14:textId="06F8FDCF" w:rsidR="00455522" w:rsidRDefault="00455522" w:rsidP="00455522">
      <w:pPr>
        <w:pStyle w:val="KidneyHeading3"/>
      </w:pPr>
    </w:p>
    <w:p w14:paraId="15DA9A0F" w14:textId="72009349" w:rsidR="00455522" w:rsidRPr="00326031" w:rsidRDefault="00455522" w:rsidP="00010716">
      <w:pPr>
        <w:pStyle w:val="KidneyHeading3"/>
        <w:rPr>
          <w:color w:val="auto"/>
          <w:sz w:val="24"/>
          <w:szCs w:val="24"/>
        </w:rPr>
      </w:pPr>
      <w:r w:rsidRPr="00326031">
        <w:rPr>
          <w:color w:val="auto"/>
          <w:sz w:val="24"/>
          <w:szCs w:val="24"/>
        </w:rPr>
        <w:t>Priority one - Prevention and early detection of kidney disease</w:t>
      </w:r>
    </w:p>
    <w:p w14:paraId="7A23F1C2" w14:textId="77777777" w:rsidR="004E2E6F" w:rsidRPr="00265748" w:rsidRDefault="004E2E6F" w:rsidP="00772295">
      <w:pPr>
        <w:spacing w:after="0" w:line="276" w:lineRule="auto"/>
      </w:pPr>
    </w:p>
    <w:tbl>
      <w:tblPr>
        <w:tblStyle w:val="GridTable5Dark-Accent4"/>
        <w:tblW w:w="9014" w:type="dxa"/>
        <w:tblCellMar>
          <w:top w:w="85" w:type="dxa"/>
          <w:bottom w:w="85" w:type="dxa"/>
        </w:tblCellMar>
        <w:tblLook w:val="0420" w:firstRow="1" w:lastRow="0" w:firstColumn="0" w:lastColumn="0" w:noHBand="0" w:noVBand="1"/>
      </w:tblPr>
      <w:tblGrid>
        <w:gridCol w:w="9014"/>
      </w:tblGrid>
      <w:tr w:rsidR="00406160" w:rsidRPr="00422BDE" w14:paraId="68A75D5A" w14:textId="77777777" w:rsidTr="00010716">
        <w:trPr>
          <w:cnfStyle w:val="100000000000" w:firstRow="1" w:lastRow="0" w:firstColumn="0" w:lastColumn="0" w:oddVBand="0" w:evenVBand="0" w:oddHBand="0" w:evenHBand="0" w:firstRowFirstColumn="0" w:firstRowLastColumn="0" w:lastRowFirstColumn="0" w:lastRowLastColumn="0"/>
        </w:trPr>
        <w:tc>
          <w:tcPr>
            <w:tcW w:w="9014" w:type="dxa"/>
            <w:shd w:val="clear" w:color="auto" w:fill="FF0000"/>
          </w:tcPr>
          <w:p w14:paraId="32D67731" w14:textId="77777777" w:rsidR="00406160" w:rsidRPr="00AC5CB0" w:rsidRDefault="00406160" w:rsidP="00010716">
            <w:bookmarkStart w:id="9" w:name="_Toc421528254"/>
            <w:r w:rsidRPr="00A41391">
              <w:rPr>
                <w:color w:val="000000" w:themeColor="text1"/>
              </w:rPr>
              <w:t>Action items</w:t>
            </w:r>
          </w:p>
        </w:tc>
      </w:tr>
      <w:tr w:rsidR="00406160" w:rsidRPr="00422BDE" w14:paraId="7EBD8BF1" w14:textId="77777777" w:rsidTr="00010716">
        <w:trPr>
          <w:cnfStyle w:val="000000100000" w:firstRow="0" w:lastRow="0" w:firstColumn="0" w:lastColumn="0" w:oddVBand="0" w:evenVBand="0" w:oddHBand="1" w:evenHBand="0" w:firstRowFirstColumn="0" w:firstRowLastColumn="0" w:lastRowFirstColumn="0" w:lastRowLastColumn="0"/>
        </w:trPr>
        <w:tc>
          <w:tcPr>
            <w:tcW w:w="9014" w:type="dxa"/>
          </w:tcPr>
          <w:p w14:paraId="77B53BA1" w14:textId="77777777" w:rsidR="00406160" w:rsidRPr="00422BDE" w:rsidRDefault="00406160" w:rsidP="00782640">
            <w:pPr>
              <w:pStyle w:val="ListParagraph"/>
              <w:numPr>
                <w:ilvl w:val="0"/>
                <w:numId w:val="89"/>
              </w:numPr>
            </w:pPr>
            <w:r w:rsidRPr="00422BDE">
              <w:t>Reducing the amount of salt and sugar in processed foods to improve overall health and reduce the risk of kidney disease and other chronic diseases.</w:t>
            </w:r>
          </w:p>
        </w:tc>
      </w:tr>
      <w:tr w:rsidR="00406160" w:rsidRPr="00422BDE" w14:paraId="6C113D42" w14:textId="77777777" w:rsidTr="00010716">
        <w:tc>
          <w:tcPr>
            <w:tcW w:w="9014" w:type="dxa"/>
          </w:tcPr>
          <w:p w14:paraId="48AE9183" w14:textId="29AF78DF" w:rsidR="00406160" w:rsidRPr="00422BDE" w:rsidRDefault="00406160" w:rsidP="00782640">
            <w:pPr>
              <w:pStyle w:val="ListParagraph"/>
              <w:numPr>
                <w:ilvl w:val="0"/>
                <w:numId w:val="89"/>
              </w:numPr>
            </w:pPr>
            <w:r w:rsidRPr="00422BDE">
              <w:t>Increasing the early detection of kidney disease and other chroni</w:t>
            </w:r>
            <w:r w:rsidR="00F15CDC">
              <w:t xml:space="preserve">c diseases by having a program </w:t>
            </w:r>
            <w:r w:rsidRPr="00422BDE">
              <w:t>where people risk of developing kidney disease are assessed in community settings, such as pharmacies and shopping centres.</w:t>
            </w:r>
          </w:p>
        </w:tc>
      </w:tr>
      <w:tr w:rsidR="00406160" w:rsidRPr="00422BDE" w14:paraId="6AAF7ED8" w14:textId="77777777" w:rsidTr="00010716">
        <w:trPr>
          <w:cnfStyle w:val="000000100000" w:firstRow="0" w:lastRow="0" w:firstColumn="0" w:lastColumn="0" w:oddVBand="0" w:evenVBand="0" w:oddHBand="1" w:evenHBand="0" w:firstRowFirstColumn="0" w:firstRowLastColumn="0" w:lastRowFirstColumn="0" w:lastRowLastColumn="0"/>
        </w:trPr>
        <w:tc>
          <w:tcPr>
            <w:tcW w:w="9014" w:type="dxa"/>
          </w:tcPr>
          <w:p w14:paraId="6C67F1AE" w14:textId="77777777" w:rsidR="00406160" w:rsidRPr="00422BDE" w:rsidRDefault="00406160" w:rsidP="00782640">
            <w:pPr>
              <w:pStyle w:val="ListParagraph"/>
              <w:numPr>
                <w:ilvl w:val="0"/>
                <w:numId w:val="89"/>
              </w:numPr>
            </w:pPr>
            <w:r w:rsidRPr="00422BDE">
              <w:t>Increasing the early detection of kidney disease and other chronic diseases by having a chronic disease health check by GPs.</w:t>
            </w:r>
          </w:p>
        </w:tc>
      </w:tr>
      <w:tr w:rsidR="00406160" w:rsidRPr="00422BDE" w14:paraId="090752F5" w14:textId="77777777" w:rsidTr="00010716">
        <w:tc>
          <w:tcPr>
            <w:tcW w:w="9014" w:type="dxa"/>
          </w:tcPr>
          <w:p w14:paraId="69A20E31" w14:textId="77777777" w:rsidR="00406160" w:rsidRPr="00422BDE" w:rsidRDefault="00406160" w:rsidP="00782640">
            <w:pPr>
              <w:pStyle w:val="ListParagraph"/>
              <w:numPr>
                <w:ilvl w:val="0"/>
                <w:numId w:val="89"/>
              </w:numPr>
            </w:pPr>
            <w:r w:rsidRPr="00422BDE">
              <w:t>Having a national awareness and education campaign to improve the early detection of kidney disease for both the general public and General Practice.</w:t>
            </w:r>
          </w:p>
        </w:tc>
      </w:tr>
      <w:tr w:rsidR="00406160" w:rsidRPr="00422BDE" w14:paraId="7F545620" w14:textId="77777777" w:rsidTr="00010716">
        <w:trPr>
          <w:cnfStyle w:val="000000100000" w:firstRow="0" w:lastRow="0" w:firstColumn="0" w:lastColumn="0" w:oddVBand="0" w:evenVBand="0" w:oddHBand="1" w:evenHBand="0" w:firstRowFirstColumn="0" w:firstRowLastColumn="0" w:lastRowFirstColumn="0" w:lastRowLastColumn="0"/>
        </w:trPr>
        <w:tc>
          <w:tcPr>
            <w:tcW w:w="9014" w:type="dxa"/>
          </w:tcPr>
          <w:p w14:paraId="79063CB8" w14:textId="77777777" w:rsidR="00406160" w:rsidRPr="00422BDE" w:rsidRDefault="00406160" w:rsidP="00782640">
            <w:pPr>
              <w:pStyle w:val="ListParagraph"/>
              <w:numPr>
                <w:ilvl w:val="0"/>
                <w:numId w:val="89"/>
              </w:numPr>
            </w:pPr>
            <w:r w:rsidRPr="00422BDE">
              <w:t>Having a national agency to lead chronic disease prevention in Australia.</w:t>
            </w:r>
          </w:p>
        </w:tc>
      </w:tr>
      <w:tr w:rsidR="00406160" w:rsidRPr="00422BDE" w14:paraId="7C77D061" w14:textId="77777777" w:rsidTr="00010716">
        <w:tc>
          <w:tcPr>
            <w:tcW w:w="9014" w:type="dxa"/>
          </w:tcPr>
          <w:p w14:paraId="6179106B" w14:textId="77777777" w:rsidR="00406160" w:rsidRPr="00422BDE" w:rsidRDefault="00406160" w:rsidP="00782640">
            <w:pPr>
              <w:pStyle w:val="ListParagraph"/>
              <w:numPr>
                <w:ilvl w:val="0"/>
                <w:numId w:val="89"/>
              </w:numPr>
            </w:pPr>
            <w:r w:rsidRPr="00422BDE">
              <w:t>Providing genetic testing for inherited kidney disease.</w:t>
            </w:r>
          </w:p>
        </w:tc>
      </w:tr>
      <w:bookmarkEnd w:id="9"/>
    </w:tbl>
    <w:p w14:paraId="3A53A02A" w14:textId="77777777" w:rsidR="00AD6268" w:rsidRDefault="00AD6268" w:rsidP="00772295">
      <w:pPr>
        <w:spacing w:after="0" w:line="276" w:lineRule="auto"/>
      </w:pPr>
    </w:p>
    <w:p w14:paraId="54B0AA4C" w14:textId="4BBCBE34" w:rsidR="004E2E6F" w:rsidRPr="00265748" w:rsidRDefault="004E2E6F" w:rsidP="00772295">
      <w:pPr>
        <w:spacing w:after="0" w:line="276" w:lineRule="auto"/>
      </w:pPr>
      <w:r w:rsidRPr="00265748">
        <w:t xml:space="preserve">Overall, prioritisation of these actions was fairly even across the six actions items. Increasing early detection through a chronic disease check was ranked number one by 28 </w:t>
      </w:r>
      <w:r w:rsidR="00772295">
        <w:t>%</w:t>
      </w:r>
      <w:r w:rsidRPr="00265748">
        <w:t xml:space="preserve"> of respondents and received the highest aggregate score, followed by the national awareness campaign and risk assessment items. The national chronic disease prevention agency and genetic testing </w:t>
      </w:r>
      <w:r w:rsidR="002F7456">
        <w:t xml:space="preserve">ranked </w:t>
      </w:r>
      <w:r w:rsidRPr="00265748">
        <w:t>slightly lower.</w:t>
      </w:r>
    </w:p>
    <w:p w14:paraId="18821807" w14:textId="77777777" w:rsidR="004E2E6F" w:rsidRDefault="004E2E6F" w:rsidP="00772295">
      <w:pPr>
        <w:spacing w:after="0" w:line="276" w:lineRule="auto"/>
      </w:pPr>
    </w:p>
    <w:p w14:paraId="51E08608" w14:textId="6E8C2C68" w:rsidR="004E2E6F" w:rsidRDefault="00566673" w:rsidP="00010716">
      <w:pPr>
        <w:spacing w:after="0" w:line="276" w:lineRule="auto"/>
        <w:jc w:val="center"/>
      </w:pPr>
      <w:r>
        <w:rPr>
          <w:noProof/>
          <w:lang w:eastAsia="en-AU"/>
        </w:rPr>
        <w:lastRenderedPageBreak/>
        <w:drawing>
          <wp:inline distT="0" distB="0" distL="0" distR="0" wp14:anchorId="5D602DB6" wp14:editId="415631A8">
            <wp:extent cx="5613400" cy="4483100"/>
            <wp:effectExtent l="0" t="0" r="0" b="0"/>
            <wp:docPr id="23" name="Picture 23" descr="Bar graph showing most important objectives for prevention and early detection of kidney disease as detail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Q10.png"/>
                    <pic:cNvPicPr/>
                  </pic:nvPicPr>
                  <pic:blipFill>
                    <a:blip r:embed="rId13" cstate="email">
                      <a:extLst>
                        <a:ext uri="{28A0092B-C50C-407E-A947-70E740481C1C}">
                          <a14:useLocalDpi xmlns:a14="http://schemas.microsoft.com/office/drawing/2010/main"/>
                        </a:ext>
                      </a:extLst>
                    </a:blip>
                    <a:stretch>
                      <a:fillRect/>
                    </a:stretch>
                  </pic:blipFill>
                  <pic:spPr>
                    <a:xfrm>
                      <a:off x="0" y="0"/>
                      <a:ext cx="5613400" cy="4483100"/>
                    </a:xfrm>
                    <a:prstGeom prst="rect">
                      <a:avLst/>
                    </a:prstGeom>
                  </pic:spPr>
                </pic:pic>
              </a:graphicData>
            </a:graphic>
          </wp:inline>
        </w:drawing>
      </w:r>
    </w:p>
    <w:p w14:paraId="1139D470" w14:textId="77777777" w:rsidR="00C90EEA" w:rsidRDefault="00C90EEA" w:rsidP="00772295">
      <w:pPr>
        <w:spacing w:after="0" w:line="276" w:lineRule="auto"/>
      </w:pPr>
    </w:p>
    <w:p w14:paraId="77A8BAE4" w14:textId="55D0BA5C" w:rsidR="00AD6268" w:rsidRDefault="004E2E6F" w:rsidP="00010716">
      <w:pPr>
        <w:pStyle w:val="KidneyBodybold0"/>
        <w:rPr>
          <w:bCs w:val="0"/>
        </w:rPr>
      </w:pPr>
      <w:bookmarkStart w:id="10" w:name="_Hlk11051659"/>
      <w:r w:rsidRPr="00F15CDC">
        <w:rPr>
          <w:bCs w:val="0"/>
        </w:rPr>
        <w:t>Proposed additional items</w:t>
      </w:r>
      <w:bookmarkEnd w:id="10"/>
    </w:p>
    <w:p w14:paraId="2D2BECAE" w14:textId="78848B57" w:rsidR="00F15CDC" w:rsidRDefault="00F15CDC" w:rsidP="00010716">
      <w:pPr>
        <w:pStyle w:val="KidneyBodybold0"/>
        <w:rPr>
          <w:b w:val="0"/>
        </w:rPr>
      </w:pPr>
      <w:r w:rsidRPr="00F15CDC">
        <w:rPr>
          <w:b w:val="0"/>
        </w:rPr>
        <w:t>Respondents also proposed additional actions</w:t>
      </w:r>
      <w:r>
        <w:rPr>
          <w:b w:val="0"/>
        </w:rPr>
        <w:t xml:space="preserve">. </w:t>
      </w:r>
      <w:r w:rsidRPr="00F15CDC">
        <w:rPr>
          <w:b w:val="0"/>
        </w:rPr>
        <w:t>Main themes include:</w:t>
      </w:r>
    </w:p>
    <w:p w14:paraId="75F17195" w14:textId="77777777" w:rsidR="00F15CDC" w:rsidRPr="00F15CDC" w:rsidRDefault="00F15CDC" w:rsidP="00010716">
      <w:pPr>
        <w:pStyle w:val="KidneyBodybold0"/>
        <w:rPr>
          <w:b w:val="0"/>
        </w:rPr>
      </w:pPr>
    </w:p>
    <w:p w14:paraId="09D8D35B" w14:textId="782F9E16" w:rsidR="004E2E6F" w:rsidRPr="00265748" w:rsidRDefault="004E2E6F" w:rsidP="00782640">
      <w:pPr>
        <w:pStyle w:val="ListParagraph"/>
        <w:numPr>
          <w:ilvl w:val="0"/>
          <w:numId w:val="17"/>
        </w:numPr>
        <w:spacing w:after="0" w:line="276" w:lineRule="auto"/>
      </w:pPr>
      <w:r w:rsidRPr="00265748">
        <w:t xml:space="preserve">Increasing awareness of </w:t>
      </w:r>
      <w:r w:rsidR="00F15CDC">
        <w:t>CKD</w:t>
      </w:r>
      <w:r w:rsidR="00AD6268">
        <w:t xml:space="preserve"> </w:t>
      </w:r>
      <w:r w:rsidRPr="00265748">
        <w:t>– including the role of kidneys, risk factors, the potential impact of medications on kidney function, comorbidities (in particular diabetes).</w:t>
      </w:r>
    </w:p>
    <w:p w14:paraId="5E31119D" w14:textId="77777777" w:rsidR="004E2E6F" w:rsidRPr="00265748" w:rsidRDefault="004E2E6F" w:rsidP="00782640">
      <w:pPr>
        <w:pStyle w:val="ListParagraph"/>
        <w:numPr>
          <w:ilvl w:val="0"/>
          <w:numId w:val="17"/>
        </w:numPr>
        <w:spacing w:after="0" w:line="276" w:lineRule="auto"/>
      </w:pPr>
      <w:r w:rsidRPr="00265748">
        <w:t>Education – within primary care to increase detection, built into the school curriculum and for people with early stage disease.</w:t>
      </w:r>
    </w:p>
    <w:p w14:paraId="1B7D9FC9" w14:textId="77777777" w:rsidR="004E2E6F" w:rsidRPr="00265748" w:rsidRDefault="004E2E6F" w:rsidP="00782640">
      <w:pPr>
        <w:pStyle w:val="ListParagraph"/>
        <w:numPr>
          <w:ilvl w:val="0"/>
          <w:numId w:val="17"/>
        </w:numPr>
        <w:spacing w:after="0" w:line="276" w:lineRule="auto"/>
      </w:pPr>
      <w:r w:rsidRPr="00265748">
        <w:t>Increased focus on lifestyle modification – addressing obesity, alcohol consumption and smoking, including access to diet and exercise advice and support.</w:t>
      </w:r>
    </w:p>
    <w:p w14:paraId="3D679D23" w14:textId="77777777" w:rsidR="004E2E6F" w:rsidRPr="00265748" w:rsidRDefault="004E2E6F" w:rsidP="00782640">
      <w:pPr>
        <w:pStyle w:val="ListParagraph"/>
        <w:numPr>
          <w:ilvl w:val="0"/>
          <w:numId w:val="17"/>
        </w:numPr>
        <w:spacing w:after="0" w:line="276" w:lineRule="auto"/>
      </w:pPr>
      <w:r w:rsidRPr="00265748">
        <w:t>Screening – ranging from high risk populations, at birth and school aged children to general population screening.</w:t>
      </w:r>
    </w:p>
    <w:p w14:paraId="4B042D9E" w14:textId="4C09B211" w:rsidR="004E2E6F" w:rsidRDefault="004E2E6F" w:rsidP="00782640">
      <w:pPr>
        <w:pStyle w:val="ListParagraph"/>
        <w:numPr>
          <w:ilvl w:val="0"/>
          <w:numId w:val="17"/>
        </w:numPr>
        <w:spacing w:after="0" w:line="276" w:lineRule="auto"/>
      </w:pPr>
      <w:r w:rsidRPr="00265748">
        <w:t>Focusing on social determinants and kidney disease in Aboriginal and Torres Strait Islander communities</w:t>
      </w:r>
      <w:r w:rsidR="00C54AF4">
        <w:t>.</w:t>
      </w:r>
    </w:p>
    <w:p w14:paraId="2B01072D" w14:textId="77777777" w:rsidR="00455522" w:rsidRPr="00265748" w:rsidRDefault="00455522" w:rsidP="00010716">
      <w:pPr>
        <w:pStyle w:val="ListParagraph"/>
        <w:spacing w:after="0" w:line="276" w:lineRule="auto"/>
        <w:ind w:left="360"/>
      </w:pPr>
    </w:p>
    <w:p w14:paraId="7CAFE1BF" w14:textId="77777777" w:rsidR="00455522" w:rsidRDefault="00455522" w:rsidP="00455522">
      <w:pPr>
        <w:pStyle w:val="KidneyHeading3"/>
      </w:pPr>
      <w:bookmarkStart w:id="11" w:name="_Toc421528255"/>
    </w:p>
    <w:p w14:paraId="7E3670FB" w14:textId="77777777" w:rsidR="00036FFC" w:rsidRDefault="00036FFC">
      <w:pPr>
        <w:rPr>
          <w:rFonts w:asciiTheme="majorHAnsi" w:eastAsia="MS Mincho" w:hAnsiTheme="majorHAnsi" w:cs="Arial"/>
          <w:b/>
          <w:color w:val="FF0000"/>
          <w:sz w:val="22"/>
          <w:szCs w:val="28"/>
          <w:lang w:val="en-US"/>
        </w:rPr>
      </w:pPr>
      <w:r>
        <w:br w:type="page"/>
      </w:r>
    </w:p>
    <w:p w14:paraId="5FD4B3C0" w14:textId="1BB18D3B" w:rsidR="00455522" w:rsidRPr="00326031" w:rsidRDefault="00455522" w:rsidP="00010716">
      <w:pPr>
        <w:pStyle w:val="KidneyHeading3"/>
        <w:rPr>
          <w:color w:val="auto"/>
          <w:sz w:val="24"/>
          <w:szCs w:val="24"/>
        </w:rPr>
      </w:pPr>
      <w:r w:rsidRPr="00326031">
        <w:rPr>
          <w:color w:val="auto"/>
          <w:sz w:val="24"/>
          <w:szCs w:val="24"/>
        </w:rPr>
        <w:lastRenderedPageBreak/>
        <w:t>Priority two - Improving the lives of people affected by kidney disease</w:t>
      </w:r>
    </w:p>
    <w:p w14:paraId="3248FD1C" w14:textId="77777777" w:rsidR="0029474A" w:rsidRDefault="0029474A" w:rsidP="00010716">
      <w:pPr>
        <w:pStyle w:val="KidneyHeading3"/>
      </w:pPr>
    </w:p>
    <w:tbl>
      <w:tblPr>
        <w:tblStyle w:val="GridTable5Dark-Accent4"/>
        <w:tblW w:w="9071" w:type="dxa"/>
        <w:tblCellMar>
          <w:top w:w="85" w:type="dxa"/>
          <w:bottom w:w="85" w:type="dxa"/>
        </w:tblCellMar>
        <w:tblLook w:val="0420" w:firstRow="1" w:lastRow="0" w:firstColumn="0" w:lastColumn="0" w:noHBand="0" w:noVBand="1"/>
      </w:tblPr>
      <w:tblGrid>
        <w:gridCol w:w="9071"/>
      </w:tblGrid>
      <w:tr w:rsidR="0029474A" w:rsidRPr="004504F6" w14:paraId="47DF3828" w14:textId="77777777" w:rsidTr="00010716">
        <w:trPr>
          <w:cnfStyle w:val="100000000000" w:firstRow="1" w:lastRow="0" w:firstColumn="0" w:lastColumn="0" w:oddVBand="0" w:evenVBand="0" w:oddHBand="0" w:evenHBand="0" w:firstRowFirstColumn="0" w:firstRowLastColumn="0" w:lastRowFirstColumn="0" w:lastRowLastColumn="0"/>
        </w:trPr>
        <w:tc>
          <w:tcPr>
            <w:tcW w:w="9071" w:type="dxa"/>
            <w:shd w:val="clear" w:color="auto" w:fill="FF0000"/>
          </w:tcPr>
          <w:p w14:paraId="5A1DE4CB" w14:textId="77777777" w:rsidR="0029474A" w:rsidRPr="00010716" w:rsidRDefault="0029474A" w:rsidP="0053704D">
            <w:pPr>
              <w:spacing w:line="276" w:lineRule="auto"/>
            </w:pPr>
            <w:r w:rsidRPr="00A41391">
              <w:rPr>
                <w:color w:val="000000" w:themeColor="text1"/>
              </w:rPr>
              <w:t>Action items</w:t>
            </w:r>
          </w:p>
        </w:tc>
      </w:tr>
      <w:tr w:rsidR="0029474A" w:rsidRPr="004504F6" w14:paraId="2EDACAB6" w14:textId="77777777" w:rsidTr="00010716">
        <w:trPr>
          <w:cnfStyle w:val="000000100000" w:firstRow="0" w:lastRow="0" w:firstColumn="0" w:lastColumn="0" w:oddVBand="0" w:evenVBand="0" w:oddHBand="1" w:evenHBand="0" w:firstRowFirstColumn="0" w:firstRowLastColumn="0" w:lastRowFirstColumn="0" w:lastRowLastColumn="0"/>
        </w:trPr>
        <w:tc>
          <w:tcPr>
            <w:tcW w:w="9071" w:type="dxa"/>
          </w:tcPr>
          <w:p w14:paraId="69C7BE42" w14:textId="77777777" w:rsidR="0029474A" w:rsidRPr="004504F6" w:rsidRDefault="0029474A" w:rsidP="00782640">
            <w:pPr>
              <w:pStyle w:val="ListParagraph"/>
              <w:numPr>
                <w:ilvl w:val="0"/>
                <w:numId w:val="1"/>
              </w:numPr>
              <w:spacing w:line="276" w:lineRule="auto"/>
            </w:pPr>
            <w:r w:rsidRPr="004504F6">
              <w:t>Helping with transport costs for people traveling to dialysis.</w:t>
            </w:r>
          </w:p>
        </w:tc>
      </w:tr>
      <w:tr w:rsidR="0029474A" w:rsidRPr="004504F6" w14:paraId="7166A6E9" w14:textId="77777777" w:rsidTr="00010716">
        <w:tc>
          <w:tcPr>
            <w:tcW w:w="9071" w:type="dxa"/>
          </w:tcPr>
          <w:p w14:paraId="1A9F6EB4" w14:textId="77777777" w:rsidR="0029474A" w:rsidRPr="004504F6" w:rsidRDefault="0029474A" w:rsidP="00782640">
            <w:pPr>
              <w:pStyle w:val="ListParagraph"/>
              <w:numPr>
                <w:ilvl w:val="0"/>
                <w:numId w:val="1"/>
              </w:numPr>
              <w:spacing w:line="276" w:lineRule="auto"/>
            </w:pPr>
            <w:r w:rsidRPr="004504F6">
              <w:t>Providing programs to support carers including education, counselling and respite care.</w:t>
            </w:r>
          </w:p>
        </w:tc>
      </w:tr>
      <w:tr w:rsidR="0029474A" w:rsidRPr="004504F6" w14:paraId="4224A946" w14:textId="77777777" w:rsidTr="00010716">
        <w:trPr>
          <w:cnfStyle w:val="000000100000" w:firstRow="0" w:lastRow="0" w:firstColumn="0" w:lastColumn="0" w:oddVBand="0" w:evenVBand="0" w:oddHBand="1" w:evenHBand="0" w:firstRowFirstColumn="0" w:firstRowLastColumn="0" w:lastRowFirstColumn="0" w:lastRowLastColumn="0"/>
        </w:trPr>
        <w:tc>
          <w:tcPr>
            <w:tcW w:w="9071" w:type="dxa"/>
          </w:tcPr>
          <w:p w14:paraId="0A1E2957" w14:textId="77777777" w:rsidR="0029474A" w:rsidRPr="004504F6" w:rsidRDefault="0029474A" w:rsidP="00782640">
            <w:pPr>
              <w:pStyle w:val="ListParagraph"/>
              <w:numPr>
                <w:ilvl w:val="0"/>
                <w:numId w:val="1"/>
              </w:numPr>
              <w:spacing w:line="276" w:lineRule="auto"/>
            </w:pPr>
            <w:r w:rsidRPr="004504F6">
              <w:t>Reducing the cost of home dialysis, including help with utility costs and providing carers leave for home dialysis training.</w:t>
            </w:r>
          </w:p>
        </w:tc>
      </w:tr>
      <w:tr w:rsidR="0029474A" w:rsidRPr="004504F6" w14:paraId="015405DF" w14:textId="77777777" w:rsidTr="00010716">
        <w:tc>
          <w:tcPr>
            <w:tcW w:w="9071" w:type="dxa"/>
          </w:tcPr>
          <w:p w14:paraId="137EC4E3" w14:textId="77777777" w:rsidR="0029474A" w:rsidRPr="004504F6" w:rsidRDefault="0029474A" w:rsidP="00782640">
            <w:pPr>
              <w:pStyle w:val="ListParagraph"/>
              <w:numPr>
                <w:ilvl w:val="0"/>
                <w:numId w:val="1"/>
              </w:numPr>
              <w:spacing w:line="276" w:lineRule="auto"/>
            </w:pPr>
            <w:r w:rsidRPr="004504F6">
              <w:t xml:space="preserve">Having national agreements with dialysis units in hospitals so that people traveling interstate for work or holidays have easy access to dialysis. </w:t>
            </w:r>
          </w:p>
        </w:tc>
      </w:tr>
      <w:tr w:rsidR="0029474A" w:rsidRPr="004504F6" w14:paraId="1EE3D845" w14:textId="77777777" w:rsidTr="00010716">
        <w:trPr>
          <w:cnfStyle w:val="000000100000" w:firstRow="0" w:lastRow="0" w:firstColumn="0" w:lastColumn="0" w:oddVBand="0" w:evenVBand="0" w:oddHBand="1" w:evenHBand="0" w:firstRowFirstColumn="0" w:firstRowLastColumn="0" w:lastRowFirstColumn="0" w:lastRowLastColumn="0"/>
        </w:trPr>
        <w:tc>
          <w:tcPr>
            <w:tcW w:w="9071" w:type="dxa"/>
          </w:tcPr>
          <w:p w14:paraId="0F71E17B" w14:textId="77777777" w:rsidR="0029474A" w:rsidRPr="004504F6" w:rsidRDefault="0029474A" w:rsidP="00782640">
            <w:pPr>
              <w:pStyle w:val="ListParagraph"/>
              <w:numPr>
                <w:ilvl w:val="0"/>
                <w:numId w:val="1"/>
              </w:numPr>
              <w:spacing w:line="276" w:lineRule="auto"/>
            </w:pPr>
            <w:r w:rsidRPr="004504F6">
              <w:t>Creating and supporting peer support networks (virtual and face to face) across Australia for people affected by kidney disease.</w:t>
            </w:r>
          </w:p>
        </w:tc>
      </w:tr>
      <w:tr w:rsidR="0029474A" w:rsidRPr="004504F6" w14:paraId="7F823745" w14:textId="77777777" w:rsidTr="00010716">
        <w:tc>
          <w:tcPr>
            <w:tcW w:w="9071" w:type="dxa"/>
          </w:tcPr>
          <w:p w14:paraId="25EC90F8" w14:textId="77777777" w:rsidR="0029474A" w:rsidRPr="004504F6" w:rsidRDefault="0029474A" w:rsidP="00782640">
            <w:pPr>
              <w:pStyle w:val="ListParagraph"/>
              <w:numPr>
                <w:ilvl w:val="0"/>
                <w:numId w:val="1"/>
              </w:numPr>
              <w:spacing w:line="276" w:lineRule="auto"/>
            </w:pPr>
            <w:r w:rsidRPr="004504F6">
              <w:t>Providing resources such as telephone support, online information and other materials to help patients make decisions about their treatment options.</w:t>
            </w:r>
          </w:p>
        </w:tc>
      </w:tr>
      <w:tr w:rsidR="0029474A" w:rsidRPr="004504F6" w14:paraId="313BAF63" w14:textId="77777777" w:rsidTr="00010716">
        <w:trPr>
          <w:cnfStyle w:val="000000100000" w:firstRow="0" w:lastRow="0" w:firstColumn="0" w:lastColumn="0" w:oddVBand="0" w:evenVBand="0" w:oddHBand="1" w:evenHBand="0" w:firstRowFirstColumn="0" w:firstRowLastColumn="0" w:lastRowFirstColumn="0" w:lastRowLastColumn="0"/>
        </w:trPr>
        <w:tc>
          <w:tcPr>
            <w:tcW w:w="9071" w:type="dxa"/>
          </w:tcPr>
          <w:p w14:paraId="418F4AF7" w14:textId="77777777" w:rsidR="0029474A" w:rsidRPr="004504F6" w:rsidRDefault="0029474A" w:rsidP="00782640">
            <w:pPr>
              <w:pStyle w:val="ListParagraph"/>
              <w:numPr>
                <w:ilvl w:val="0"/>
                <w:numId w:val="1"/>
              </w:numPr>
              <w:spacing w:line="276" w:lineRule="auto"/>
            </w:pPr>
            <w:r w:rsidRPr="004504F6">
              <w:t>Making mental health a key part of kidney disease treatment.</w:t>
            </w:r>
          </w:p>
        </w:tc>
      </w:tr>
      <w:bookmarkEnd w:id="11"/>
    </w:tbl>
    <w:p w14:paraId="1F2944F4" w14:textId="77777777" w:rsidR="00BB195A" w:rsidRDefault="00BB195A" w:rsidP="00772295">
      <w:pPr>
        <w:spacing w:after="0" w:line="276" w:lineRule="auto"/>
      </w:pPr>
    </w:p>
    <w:p w14:paraId="413F9ACE" w14:textId="0A349AF4" w:rsidR="004E2E6F" w:rsidRPr="00265748" w:rsidRDefault="004E2E6F" w:rsidP="00772295">
      <w:pPr>
        <w:spacing w:after="0" w:line="276" w:lineRule="auto"/>
      </w:pPr>
      <w:r w:rsidRPr="00265748">
        <w:t xml:space="preserve">Help with costs of dialysis, such as transport and utilities </w:t>
      </w:r>
      <w:proofErr w:type="gramStart"/>
      <w:r w:rsidRPr="00265748">
        <w:t>was</w:t>
      </w:r>
      <w:proofErr w:type="gramEnd"/>
      <w:r w:rsidRPr="00265748">
        <w:t xml:space="preserve"> the most prioriti</w:t>
      </w:r>
      <w:r w:rsidR="00AD6268">
        <w:t>s</w:t>
      </w:r>
      <w:r w:rsidRPr="00265748">
        <w:t xml:space="preserve">ed action, with over 35 </w:t>
      </w:r>
      <w:r w:rsidR="00772295">
        <w:t>%</w:t>
      </w:r>
      <w:r w:rsidRPr="00265748">
        <w:t xml:space="preserve"> of people ranking this action most highly. This was followed by making it easier for people to travel while on dialysis, mental health and carer support programs. Again, overall prioritisation was fairly evenly spread across the proposed actions.</w:t>
      </w:r>
    </w:p>
    <w:p w14:paraId="4022B949" w14:textId="1AB1539D" w:rsidR="004E2E6F" w:rsidRDefault="006548C8" w:rsidP="00010716">
      <w:pPr>
        <w:spacing w:after="0" w:line="276" w:lineRule="auto"/>
        <w:jc w:val="center"/>
      </w:pPr>
      <w:r>
        <w:br/>
      </w:r>
      <w:r w:rsidR="00566673">
        <w:rPr>
          <w:noProof/>
          <w:lang w:eastAsia="en-AU"/>
        </w:rPr>
        <w:drawing>
          <wp:inline distT="0" distB="0" distL="0" distR="0" wp14:anchorId="49AC873E" wp14:editId="43665ABD">
            <wp:extent cx="4997669" cy="4261297"/>
            <wp:effectExtent l="0" t="0" r="0" b="6350"/>
            <wp:docPr id="22" name="Picture 22" descr="Bar graph of most important objectives for improving the lives of people affected by kidney disease as detail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Q12.png"/>
                    <pic:cNvPicPr/>
                  </pic:nvPicPr>
                  <pic:blipFill>
                    <a:blip r:embed="rId14" cstate="email">
                      <a:extLst>
                        <a:ext uri="{28A0092B-C50C-407E-A947-70E740481C1C}">
                          <a14:useLocalDpi xmlns:a14="http://schemas.microsoft.com/office/drawing/2010/main"/>
                        </a:ext>
                      </a:extLst>
                    </a:blip>
                    <a:stretch>
                      <a:fillRect/>
                    </a:stretch>
                  </pic:blipFill>
                  <pic:spPr>
                    <a:xfrm>
                      <a:off x="0" y="0"/>
                      <a:ext cx="5001526" cy="4264585"/>
                    </a:xfrm>
                    <a:prstGeom prst="rect">
                      <a:avLst/>
                    </a:prstGeom>
                  </pic:spPr>
                </pic:pic>
              </a:graphicData>
            </a:graphic>
          </wp:inline>
        </w:drawing>
      </w:r>
    </w:p>
    <w:p w14:paraId="05327BF1" w14:textId="77777777" w:rsidR="006548C8" w:rsidRPr="00344911" w:rsidRDefault="006548C8" w:rsidP="00772295">
      <w:pPr>
        <w:spacing w:after="0" w:line="276" w:lineRule="auto"/>
      </w:pPr>
    </w:p>
    <w:p w14:paraId="56B4AA57" w14:textId="77777777" w:rsidR="00BB195A" w:rsidRPr="00A84E69" w:rsidRDefault="00BB195A" w:rsidP="00BB195A">
      <w:pPr>
        <w:spacing w:after="0" w:line="276" w:lineRule="auto"/>
        <w:rPr>
          <w:b/>
          <w:bCs/>
        </w:rPr>
      </w:pPr>
      <w:r w:rsidRPr="00A84E69">
        <w:rPr>
          <w:b/>
          <w:bCs/>
        </w:rPr>
        <w:t>Proposed additional items</w:t>
      </w:r>
    </w:p>
    <w:p w14:paraId="0F2B074E" w14:textId="71F0840E" w:rsidR="004E2E6F" w:rsidRDefault="004E2E6F" w:rsidP="00772295">
      <w:pPr>
        <w:spacing w:after="0" w:line="276" w:lineRule="auto"/>
      </w:pPr>
      <w:r w:rsidRPr="00265748">
        <w:t>Respondents also proposed additional actions, some of which overlapped with the actions outlined in the survey. Main themes include</w:t>
      </w:r>
      <w:r w:rsidR="00AD6268">
        <w:t>:</w:t>
      </w:r>
    </w:p>
    <w:p w14:paraId="3306F8E9" w14:textId="77777777" w:rsidR="00AD6268" w:rsidRPr="00265748" w:rsidRDefault="00AD6268" w:rsidP="00772295">
      <w:pPr>
        <w:spacing w:after="0" w:line="276" w:lineRule="auto"/>
      </w:pPr>
    </w:p>
    <w:p w14:paraId="00C3F064" w14:textId="561669F2" w:rsidR="004E2E6F" w:rsidRPr="00265748" w:rsidRDefault="004E2E6F" w:rsidP="00782640">
      <w:pPr>
        <w:pStyle w:val="ListParagraph"/>
        <w:numPr>
          <w:ilvl w:val="0"/>
          <w:numId w:val="18"/>
        </w:numPr>
        <w:spacing w:after="0" w:line="276" w:lineRule="auto"/>
      </w:pPr>
      <w:r w:rsidRPr="00265748">
        <w:t xml:space="preserve">Increased financial support for patients and carers, such as access to the Commonwealth </w:t>
      </w:r>
      <w:r w:rsidR="00AD6268">
        <w:t>C</w:t>
      </w:r>
      <w:r w:rsidRPr="00265748">
        <w:t xml:space="preserve">arers </w:t>
      </w:r>
      <w:r w:rsidR="00AD6268">
        <w:t>A</w:t>
      </w:r>
      <w:r w:rsidRPr="00265748">
        <w:t>llowance and the National Disability Support Scheme.</w:t>
      </w:r>
    </w:p>
    <w:p w14:paraId="77E9D084" w14:textId="43623711" w:rsidR="004E2E6F" w:rsidRPr="00265748" w:rsidRDefault="004E2E6F" w:rsidP="00782640">
      <w:pPr>
        <w:pStyle w:val="ListParagraph"/>
        <w:numPr>
          <w:ilvl w:val="0"/>
          <w:numId w:val="18"/>
        </w:numPr>
        <w:spacing w:after="0" w:line="276" w:lineRule="auto"/>
      </w:pPr>
      <w:r w:rsidRPr="00265748">
        <w:t>Easier access to psychosocial support for patients and carers, such as access to social workers and mental health during key points in patient pathways</w:t>
      </w:r>
      <w:r w:rsidR="00C54AF4">
        <w:t>.</w:t>
      </w:r>
    </w:p>
    <w:p w14:paraId="5FF14DE4" w14:textId="29E76FA1" w:rsidR="004E2E6F" w:rsidRPr="00265748" w:rsidRDefault="004E2E6F" w:rsidP="00782640">
      <w:pPr>
        <w:pStyle w:val="ListParagraph"/>
        <w:numPr>
          <w:ilvl w:val="0"/>
          <w:numId w:val="18"/>
        </w:numPr>
        <w:spacing w:after="0" w:line="276" w:lineRule="auto"/>
      </w:pPr>
      <w:r w:rsidRPr="00265748">
        <w:t>Providing more resources to health services to deliver better, more flexible care, including increasing the number of dialysis chairs, better access to home dialysis, better advanced care planning</w:t>
      </w:r>
      <w:r w:rsidR="00C54AF4">
        <w:t>.</w:t>
      </w:r>
    </w:p>
    <w:p w14:paraId="47460576" w14:textId="77777777" w:rsidR="004E2E6F" w:rsidRPr="00265748" w:rsidRDefault="004E2E6F" w:rsidP="00782640">
      <w:pPr>
        <w:pStyle w:val="ListParagraph"/>
        <w:numPr>
          <w:ilvl w:val="0"/>
          <w:numId w:val="18"/>
        </w:numPr>
        <w:spacing w:after="0" w:line="276" w:lineRule="auto"/>
      </w:pPr>
      <w:r w:rsidRPr="00265748">
        <w:t>A focus on Aboriginal and Torres Strait Islander care, including on country care, housing and travel support.</w:t>
      </w:r>
    </w:p>
    <w:p w14:paraId="644C4D57" w14:textId="04BE55B3" w:rsidR="004E2E6F" w:rsidRPr="00265748" w:rsidRDefault="004E2E6F" w:rsidP="00782640">
      <w:pPr>
        <w:pStyle w:val="ListParagraph"/>
        <w:numPr>
          <w:ilvl w:val="0"/>
          <w:numId w:val="18"/>
        </w:numPr>
        <w:spacing w:after="0" w:line="276" w:lineRule="auto"/>
      </w:pPr>
      <w:r w:rsidRPr="00265748">
        <w:t>Improving transport assistance programs for people traveling for care</w:t>
      </w:r>
      <w:r w:rsidR="00C54AF4">
        <w:t>.</w:t>
      </w:r>
    </w:p>
    <w:p w14:paraId="5E3FFBC3" w14:textId="2EB22EE8" w:rsidR="004E2E6F" w:rsidRPr="00265748" w:rsidRDefault="004E2E6F" w:rsidP="00782640">
      <w:pPr>
        <w:pStyle w:val="ListParagraph"/>
        <w:numPr>
          <w:ilvl w:val="0"/>
          <w:numId w:val="18"/>
        </w:numPr>
        <w:spacing w:after="0" w:line="276" w:lineRule="auto"/>
      </w:pPr>
      <w:r w:rsidRPr="00265748">
        <w:t>Better ongoing education at all stages of kidney disease to allow people to make informed decisions about their care</w:t>
      </w:r>
      <w:r w:rsidR="00C54AF4">
        <w:t>.</w:t>
      </w:r>
    </w:p>
    <w:p w14:paraId="57AA5D07" w14:textId="4A9F4C20" w:rsidR="004E2E6F" w:rsidRPr="00265748" w:rsidRDefault="004E2E6F" w:rsidP="00782640">
      <w:pPr>
        <w:pStyle w:val="ListParagraph"/>
        <w:numPr>
          <w:ilvl w:val="0"/>
          <w:numId w:val="18"/>
        </w:numPr>
        <w:spacing w:after="0" w:line="276" w:lineRule="auto"/>
      </w:pPr>
      <w:r w:rsidRPr="00265748">
        <w:t>Making it possible for people on dialysis to travel</w:t>
      </w:r>
      <w:r w:rsidR="00F15CDC">
        <w:t>.</w:t>
      </w:r>
    </w:p>
    <w:p w14:paraId="3DBFB2AE" w14:textId="4D47C76C" w:rsidR="004E2E6F" w:rsidRDefault="004E2E6F" w:rsidP="00772295">
      <w:pPr>
        <w:pStyle w:val="Heading4"/>
        <w:spacing w:before="0" w:line="276" w:lineRule="auto"/>
        <w:rPr>
          <w:b/>
        </w:rPr>
      </w:pPr>
    </w:p>
    <w:p w14:paraId="55BA6A40" w14:textId="4FCA066D" w:rsidR="00455522" w:rsidRPr="00326031" w:rsidRDefault="00455522" w:rsidP="00455522">
      <w:pPr>
        <w:pStyle w:val="KidneyHeading3"/>
        <w:rPr>
          <w:color w:val="auto"/>
          <w:sz w:val="24"/>
          <w:szCs w:val="24"/>
        </w:rPr>
      </w:pPr>
      <w:r w:rsidRPr="00326031">
        <w:rPr>
          <w:color w:val="auto"/>
          <w:sz w:val="24"/>
          <w:szCs w:val="24"/>
        </w:rPr>
        <w:t>Priority three - Increasing organ donation and transplantation</w:t>
      </w:r>
    </w:p>
    <w:p w14:paraId="14657411" w14:textId="77777777" w:rsidR="00455522" w:rsidRPr="00010716" w:rsidRDefault="00455522" w:rsidP="00010716">
      <w:pPr>
        <w:pStyle w:val="KidneyHeading3"/>
        <w:rPr>
          <w:rFonts w:ascii="Calibri" w:hAnsi="Calibri"/>
          <w:b w:val="0"/>
        </w:rPr>
      </w:pPr>
    </w:p>
    <w:tbl>
      <w:tblPr>
        <w:tblStyle w:val="GridTable5Dark-Accent4"/>
        <w:tblW w:w="9071" w:type="dxa"/>
        <w:tblCellMar>
          <w:top w:w="85" w:type="dxa"/>
          <w:bottom w:w="85" w:type="dxa"/>
        </w:tblCellMar>
        <w:tblLook w:val="0420" w:firstRow="1" w:lastRow="0" w:firstColumn="0" w:lastColumn="0" w:noHBand="0" w:noVBand="1"/>
      </w:tblPr>
      <w:tblGrid>
        <w:gridCol w:w="9071"/>
      </w:tblGrid>
      <w:tr w:rsidR="00FB2BA2" w:rsidRPr="001A43C6" w14:paraId="432D21E0" w14:textId="77777777" w:rsidTr="00010716">
        <w:trPr>
          <w:cnfStyle w:val="100000000000" w:firstRow="1" w:lastRow="0" w:firstColumn="0" w:lastColumn="0" w:oddVBand="0" w:evenVBand="0" w:oddHBand="0" w:evenHBand="0" w:firstRowFirstColumn="0" w:firstRowLastColumn="0" w:lastRowFirstColumn="0" w:lastRowLastColumn="0"/>
        </w:trPr>
        <w:tc>
          <w:tcPr>
            <w:tcW w:w="9071" w:type="dxa"/>
            <w:shd w:val="clear" w:color="auto" w:fill="FF0000"/>
          </w:tcPr>
          <w:p w14:paraId="7B77EF88" w14:textId="77777777" w:rsidR="00FB2BA2" w:rsidRPr="00010716" w:rsidRDefault="00FB2BA2" w:rsidP="0053704D">
            <w:pPr>
              <w:spacing w:line="276" w:lineRule="auto"/>
            </w:pPr>
            <w:bookmarkStart w:id="12" w:name="_Toc421528256"/>
            <w:r w:rsidRPr="00A41391">
              <w:rPr>
                <w:color w:val="auto"/>
              </w:rPr>
              <w:t>Action items</w:t>
            </w:r>
          </w:p>
        </w:tc>
      </w:tr>
      <w:tr w:rsidR="00FB2BA2" w:rsidRPr="001A43C6" w14:paraId="0FCD7E91" w14:textId="77777777" w:rsidTr="00010716">
        <w:trPr>
          <w:cnfStyle w:val="000000100000" w:firstRow="0" w:lastRow="0" w:firstColumn="0" w:lastColumn="0" w:oddVBand="0" w:evenVBand="0" w:oddHBand="1" w:evenHBand="0" w:firstRowFirstColumn="0" w:firstRowLastColumn="0" w:lastRowFirstColumn="0" w:lastRowLastColumn="0"/>
        </w:trPr>
        <w:tc>
          <w:tcPr>
            <w:tcW w:w="9071" w:type="dxa"/>
          </w:tcPr>
          <w:p w14:paraId="357976C0" w14:textId="3220660C" w:rsidR="00FB2BA2" w:rsidRPr="001A43C6" w:rsidRDefault="00F15CDC" w:rsidP="00782640">
            <w:pPr>
              <w:pStyle w:val="ListParagraph"/>
              <w:numPr>
                <w:ilvl w:val="0"/>
                <w:numId w:val="2"/>
              </w:numPr>
              <w:spacing w:line="276" w:lineRule="auto"/>
            </w:pPr>
            <w:r>
              <w:t>Increasing deceased</w:t>
            </w:r>
            <w:r w:rsidR="00FB2BA2" w:rsidRPr="001A43C6">
              <w:t xml:space="preserve"> donation by </w:t>
            </w:r>
            <w:r>
              <w:t>c</w:t>
            </w:r>
            <w:r w:rsidR="00FB2BA2" w:rsidRPr="001A43C6">
              <w:t xml:space="preserve">hanging the current “opt in” organ donation consent policy for deceased organ donation to a different model such as presumed consent </w:t>
            </w:r>
            <w:proofErr w:type="gramStart"/>
            <w:r w:rsidR="00FB2BA2" w:rsidRPr="001A43C6">
              <w:t>/“</w:t>
            </w:r>
            <w:proofErr w:type="gramEnd"/>
            <w:r w:rsidR="00FB2BA2" w:rsidRPr="001A43C6">
              <w:t xml:space="preserve">opt out.” </w:t>
            </w:r>
          </w:p>
        </w:tc>
      </w:tr>
      <w:tr w:rsidR="00FB2BA2" w:rsidRPr="001A43C6" w14:paraId="34210403" w14:textId="77777777" w:rsidTr="00010716">
        <w:tc>
          <w:tcPr>
            <w:tcW w:w="9071" w:type="dxa"/>
          </w:tcPr>
          <w:p w14:paraId="597D39D8" w14:textId="77777777" w:rsidR="00FB2BA2" w:rsidRPr="001A43C6" w:rsidRDefault="00FB2BA2" w:rsidP="00782640">
            <w:pPr>
              <w:pStyle w:val="ListParagraph"/>
              <w:numPr>
                <w:ilvl w:val="0"/>
                <w:numId w:val="2"/>
              </w:numPr>
              <w:spacing w:line="276" w:lineRule="auto"/>
            </w:pPr>
            <w:r w:rsidRPr="001A43C6">
              <w:t>Having programs to increase the number of live donor transplants such as an education and awareness campaign and a living kidney donor advocates program (for both living donation and paired donor exchange programs).</w:t>
            </w:r>
          </w:p>
        </w:tc>
      </w:tr>
      <w:tr w:rsidR="00FB2BA2" w:rsidRPr="001A43C6" w14:paraId="312A87C6" w14:textId="77777777" w:rsidTr="00010716">
        <w:trPr>
          <w:cnfStyle w:val="000000100000" w:firstRow="0" w:lastRow="0" w:firstColumn="0" w:lastColumn="0" w:oddVBand="0" w:evenVBand="0" w:oddHBand="1" w:evenHBand="0" w:firstRowFirstColumn="0" w:firstRowLastColumn="0" w:lastRowFirstColumn="0" w:lastRowLastColumn="0"/>
        </w:trPr>
        <w:tc>
          <w:tcPr>
            <w:tcW w:w="9071" w:type="dxa"/>
          </w:tcPr>
          <w:p w14:paraId="71A3BA2F" w14:textId="77777777" w:rsidR="00FB2BA2" w:rsidRPr="001A43C6" w:rsidRDefault="00FB2BA2" w:rsidP="00782640">
            <w:pPr>
              <w:pStyle w:val="ListParagraph"/>
              <w:numPr>
                <w:ilvl w:val="0"/>
                <w:numId w:val="2"/>
              </w:numPr>
              <w:spacing w:line="276" w:lineRule="auto"/>
            </w:pPr>
            <w:r w:rsidRPr="001A43C6">
              <w:t>Improving access to transplants by removing barriers to identifying, working-up, referring, assessing and listing patients for kidney transplantation.</w:t>
            </w:r>
          </w:p>
        </w:tc>
      </w:tr>
      <w:tr w:rsidR="00FB2BA2" w:rsidRPr="001A43C6" w14:paraId="006FBE01" w14:textId="77777777" w:rsidTr="00010716">
        <w:tc>
          <w:tcPr>
            <w:tcW w:w="9071" w:type="dxa"/>
          </w:tcPr>
          <w:p w14:paraId="47A78395" w14:textId="77777777" w:rsidR="00FB2BA2" w:rsidRPr="001A43C6" w:rsidRDefault="00FB2BA2" w:rsidP="00782640">
            <w:pPr>
              <w:pStyle w:val="ListParagraph"/>
              <w:numPr>
                <w:ilvl w:val="0"/>
                <w:numId w:val="2"/>
              </w:numPr>
              <w:spacing w:line="276" w:lineRule="auto"/>
            </w:pPr>
            <w:r w:rsidRPr="001A43C6">
              <w:t>Making transplants more equitable by developing transparent, nationally consistent guidelines for recipient eligibility to reduce the variability in transplantation rates across different parts or Australia.</w:t>
            </w:r>
          </w:p>
        </w:tc>
      </w:tr>
      <w:tr w:rsidR="00FB2BA2" w:rsidRPr="001A43C6" w14:paraId="6F74D3C2" w14:textId="77777777" w:rsidTr="00010716">
        <w:trPr>
          <w:cnfStyle w:val="000000100000" w:firstRow="0" w:lastRow="0" w:firstColumn="0" w:lastColumn="0" w:oddVBand="0" w:evenVBand="0" w:oddHBand="1" w:evenHBand="0" w:firstRowFirstColumn="0" w:firstRowLastColumn="0" w:lastRowFirstColumn="0" w:lastRowLastColumn="0"/>
        </w:trPr>
        <w:tc>
          <w:tcPr>
            <w:tcW w:w="9071" w:type="dxa"/>
          </w:tcPr>
          <w:p w14:paraId="59D8DBCB" w14:textId="77777777" w:rsidR="00FB2BA2" w:rsidRPr="001A43C6" w:rsidRDefault="00FB2BA2" w:rsidP="00782640">
            <w:pPr>
              <w:pStyle w:val="ListParagraph"/>
              <w:numPr>
                <w:ilvl w:val="0"/>
                <w:numId w:val="2"/>
              </w:numPr>
              <w:spacing w:line="276" w:lineRule="auto"/>
            </w:pPr>
            <w:r w:rsidRPr="001A43C6">
              <w:t>Improving transplant outcomes by having transplant specialist outreach (e.g. outreach clinics, telehealth), to help support people post-kidney transplant.</w:t>
            </w:r>
          </w:p>
        </w:tc>
      </w:tr>
      <w:tr w:rsidR="00FB2BA2" w:rsidRPr="001A43C6" w14:paraId="681D7410" w14:textId="77777777" w:rsidTr="00010716">
        <w:tc>
          <w:tcPr>
            <w:tcW w:w="9071" w:type="dxa"/>
          </w:tcPr>
          <w:p w14:paraId="6FECBD0C" w14:textId="77777777" w:rsidR="00FB2BA2" w:rsidRPr="001A43C6" w:rsidRDefault="00FB2BA2" w:rsidP="00782640">
            <w:pPr>
              <w:pStyle w:val="ListParagraph"/>
              <w:numPr>
                <w:ilvl w:val="0"/>
                <w:numId w:val="2"/>
              </w:numPr>
              <w:spacing w:line="276" w:lineRule="auto"/>
            </w:pPr>
            <w:r w:rsidRPr="001A43C6">
              <w:t>Improving patient outcomes by developing nationally consistent care pathways for transplantation, including before and after surgery to improve transplant outcomes.</w:t>
            </w:r>
          </w:p>
        </w:tc>
      </w:tr>
      <w:bookmarkEnd w:id="12"/>
    </w:tbl>
    <w:p w14:paraId="22EF3ADA" w14:textId="7D58B694" w:rsidR="004E2E6F" w:rsidRDefault="004E2E6F" w:rsidP="00772295">
      <w:pPr>
        <w:spacing w:after="0" w:line="276" w:lineRule="auto"/>
      </w:pPr>
    </w:p>
    <w:p w14:paraId="4A8ECC9A" w14:textId="6AF883E0" w:rsidR="0037488F" w:rsidRDefault="00566673" w:rsidP="00010716">
      <w:pPr>
        <w:spacing w:after="0" w:line="276" w:lineRule="auto"/>
        <w:jc w:val="center"/>
      </w:pPr>
      <w:r>
        <w:rPr>
          <w:noProof/>
          <w:lang w:eastAsia="en-AU"/>
        </w:rPr>
        <w:lastRenderedPageBreak/>
        <w:drawing>
          <wp:inline distT="0" distB="0" distL="0" distR="0" wp14:anchorId="5AE82B46" wp14:editId="26029531">
            <wp:extent cx="5155324" cy="4107967"/>
            <wp:effectExtent l="0" t="0" r="1270" b="0"/>
            <wp:docPr id="21" name="Picture 21" descr="Bar graph of most important objectives for increasing organ donation and transplantation as detail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14.png"/>
                    <pic:cNvPicPr/>
                  </pic:nvPicPr>
                  <pic:blipFill>
                    <a:blip r:embed="rId15" cstate="email">
                      <a:extLst>
                        <a:ext uri="{28A0092B-C50C-407E-A947-70E740481C1C}">
                          <a14:useLocalDpi xmlns:a14="http://schemas.microsoft.com/office/drawing/2010/main"/>
                        </a:ext>
                      </a:extLst>
                    </a:blip>
                    <a:stretch>
                      <a:fillRect/>
                    </a:stretch>
                  </pic:blipFill>
                  <pic:spPr>
                    <a:xfrm>
                      <a:off x="0" y="0"/>
                      <a:ext cx="5163826" cy="4114741"/>
                    </a:xfrm>
                    <a:prstGeom prst="rect">
                      <a:avLst/>
                    </a:prstGeom>
                  </pic:spPr>
                </pic:pic>
              </a:graphicData>
            </a:graphic>
          </wp:inline>
        </w:drawing>
      </w:r>
    </w:p>
    <w:p w14:paraId="282223A5" w14:textId="77777777" w:rsidR="0037488F" w:rsidRPr="004F77DB" w:rsidRDefault="0037488F" w:rsidP="00772295">
      <w:pPr>
        <w:spacing w:after="0" w:line="276" w:lineRule="auto"/>
      </w:pPr>
    </w:p>
    <w:p w14:paraId="4EB17F82" w14:textId="5F462BD0" w:rsidR="004E2E6F" w:rsidRPr="00265748" w:rsidRDefault="004E2E6F" w:rsidP="00772295">
      <w:pPr>
        <w:spacing w:after="0" w:line="276" w:lineRule="auto"/>
      </w:pPr>
      <w:r w:rsidRPr="00265748">
        <w:t xml:space="preserve">Of the six proposed actions, respondents prioritised increasing deceased donation rates through changing to an “opt out” system most highly, with 40 </w:t>
      </w:r>
      <w:r w:rsidR="00772295">
        <w:t>%</w:t>
      </w:r>
      <w:r w:rsidRPr="00265748">
        <w:t xml:space="preserve"> of respondents ranking this action highest priority. Programs to increase live donations and identifying barriers to getting listed for donation were the next highest priorities.</w:t>
      </w:r>
    </w:p>
    <w:p w14:paraId="06A38412" w14:textId="77777777" w:rsidR="00C54AF4" w:rsidRDefault="00C54AF4" w:rsidP="00772295">
      <w:pPr>
        <w:spacing w:after="0" w:line="276" w:lineRule="auto"/>
      </w:pPr>
    </w:p>
    <w:p w14:paraId="13660056" w14:textId="77777777" w:rsidR="00BB195A" w:rsidRPr="00A84E69" w:rsidRDefault="00BB195A" w:rsidP="00BB195A">
      <w:pPr>
        <w:spacing w:after="0" w:line="276" w:lineRule="auto"/>
        <w:rPr>
          <w:b/>
          <w:bCs/>
        </w:rPr>
      </w:pPr>
      <w:r w:rsidRPr="00A84E69">
        <w:rPr>
          <w:b/>
          <w:bCs/>
        </w:rPr>
        <w:t>Proposed additional items</w:t>
      </w:r>
    </w:p>
    <w:p w14:paraId="0A756E8E" w14:textId="22CF1037" w:rsidR="004E2E6F" w:rsidRDefault="004E2E6F" w:rsidP="00772295">
      <w:pPr>
        <w:spacing w:after="0" w:line="276" w:lineRule="auto"/>
      </w:pPr>
      <w:r w:rsidRPr="00265748">
        <w:t>Proposed additional actions focused on six areas</w:t>
      </w:r>
      <w:r w:rsidR="00C54AF4">
        <w:t>:</w:t>
      </w:r>
    </w:p>
    <w:p w14:paraId="7CADDAA1" w14:textId="77777777" w:rsidR="00BB195A" w:rsidRPr="00265748" w:rsidRDefault="00BB195A" w:rsidP="00772295">
      <w:pPr>
        <w:spacing w:after="0" w:line="276" w:lineRule="auto"/>
      </w:pPr>
    </w:p>
    <w:p w14:paraId="561EE645" w14:textId="4A0E6315" w:rsidR="004E2E6F" w:rsidRPr="00265748" w:rsidRDefault="004E2E6F" w:rsidP="00782640">
      <w:pPr>
        <w:pStyle w:val="ListParagraph"/>
        <w:numPr>
          <w:ilvl w:val="0"/>
          <w:numId w:val="4"/>
        </w:numPr>
        <w:spacing w:after="0" w:line="276" w:lineRule="auto"/>
      </w:pPr>
      <w:r w:rsidRPr="00265748">
        <w:t>Public education about both deceased and living donation</w:t>
      </w:r>
      <w:r w:rsidR="00C54AF4">
        <w:t>.</w:t>
      </w:r>
    </w:p>
    <w:p w14:paraId="7A74D71B" w14:textId="24FBED7A" w:rsidR="004E2E6F" w:rsidRPr="00265748" w:rsidRDefault="004E2E6F" w:rsidP="00782640">
      <w:pPr>
        <w:pStyle w:val="ListParagraph"/>
        <w:numPr>
          <w:ilvl w:val="0"/>
          <w:numId w:val="4"/>
        </w:numPr>
        <w:spacing w:after="0" w:line="276" w:lineRule="auto"/>
      </w:pPr>
      <w:r w:rsidRPr="00265748">
        <w:t>Increased support for live donors (financial, medical, ongoing follow up) and deceased donor families</w:t>
      </w:r>
      <w:r w:rsidR="00C54AF4">
        <w:t>.</w:t>
      </w:r>
    </w:p>
    <w:p w14:paraId="6F6D122E" w14:textId="6FD23AC8" w:rsidR="004E2E6F" w:rsidRPr="00265748" w:rsidRDefault="004E2E6F" w:rsidP="00782640">
      <w:pPr>
        <w:pStyle w:val="ListParagraph"/>
        <w:numPr>
          <w:ilvl w:val="0"/>
          <w:numId w:val="4"/>
        </w:numPr>
        <w:spacing w:after="0" w:line="276" w:lineRule="auto"/>
      </w:pPr>
      <w:r w:rsidRPr="00265748">
        <w:t>More resources to be directed to transplants</w:t>
      </w:r>
      <w:r w:rsidR="00C54AF4">
        <w:t>.</w:t>
      </w:r>
    </w:p>
    <w:p w14:paraId="465F53CA" w14:textId="6F260636" w:rsidR="004E2E6F" w:rsidRPr="00265748" w:rsidRDefault="004E2E6F" w:rsidP="00782640">
      <w:pPr>
        <w:pStyle w:val="ListParagraph"/>
        <w:numPr>
          <w:ilvl w:val="0"/>
          <w:numId w:val="4"/>
        </w:numPr>
        <w:spacing w:after="0" w:line="276" w:lineRule="auto"/>
      </w:pPr>
      <w:r w:rsidRPr="00265748">
        <w:t>Increasing research into stem cells, artificial kidney and research to improve transplant outcomes</w:t>
      </w:r>
      <w:r w:rsidR="00C54AF4">
        <w:t>.</w:t>
      </w:r>
    </w:p>
    <w:p w14:paraId="521E4792" w14:textId="20C933B0" w:rsidR="004E2E6F" w:rsidRPr="00265748" w:rsidRDefault="004E2E6F" w:rsidP="00782640">
      <w:pPr>
        <w:pStyle w:val="ListParagraph"/>
        <w:numPr>
          <w:ilvl w:val="0"/>
          <w:numId w:val="4"/>
        </w:numPr>
        <w:spacing w:after="0" w:line="276" w:lineRule="auto"/>
      </w:pPr>
      <w:r w:rsidRPr="00265748">
        <w:t>Pre and post-transplant education and support, including accommodation and travel support for transplant recipients</w:t>
      </w:r>
      <w:r w:rsidR="00C54AF4">
        <w:t>.</w:t>
      </w:r>
    </w:p>
    <w:p w14:paraId="6EAC880C" w14:textId="61D0BA55" w:rsidR="004E2E6F" w:rsidRPr="00265748" w:rsidRDefault="004E2E6F" w:rsidP="00782640">
      <w:pPr>
        <w:pStyle w:val="ListParagraph"/>
        <w:numPr>
          <w:ilvl w:val="0"/>
          <w:numId w:val="4"/>
        </w:numPr>
        <w:spacing w:after="0" w:line="276" w:lineRule="auto"/>
      </w:pPr>
      <w:r w:rsidRPr="00265748">
        <w:t>Improving transplant access outcomes for Aboriginal and Torres Strait Islander kidney patients</w:t>
      </w:r>
      <w:r w:rsidR="00C54AF4">
        <w:t>.</w:t>
      </w:r>
    </w:p>
    <w:p w14:paraId="6BEC36A8" w14:textId="48460634" w:rsidR="004E2E6F" w:rsidRDefault="004E2E6F" w:rsidP="00772295">
      <w:pPr>
        <w:spacing w:after="0" w:line="276" w:lineRule="auto"/>
      </w:pPr>
    </w:p>
    <w:p w14:paraId="1EDFE2DA" w14:textId="77777777" w:rsidR="00036FFC" w:rsidRDefault="00036FFC">
      <w:pPr>
        <w:rPr>
          <w:rFonts w:asciiTheme="majorHAnsi" w:eastAsia="MS Mincho" w:hAnsiTheme="majorHAnsi" w:cs="Arial"/>
          <w:b/>
          <w:color w:val="FF0000"/>
          <w:sz w:val="22"/>
          <w:szCs w:val="28"/>
          <w:lang w:val="en-US"/>
        </w:rPr>
      </w:pPr>
      <w:r>
        <w:br w:type="page"/>
      </w:r>
    </w:p>
    <w:p w14:paraId="4168E3D0" w14:textId="1DA6B0F8" w:rsidR="00455522" w:rsidRPr="00326031" w:rsidRDefault="00455522" w:rsidP="00455522">
      <w:pPr>
        <w:pStyle w:val="KidneyHeading3"/>
        <w:rPr>
          <w:color w:val="auto"/>
          <w:sz w:val="24"/>
          <w:szCs w:val="24"/>
        </w:rPr>
      </w:pPr>
      <w:r w:rsidRPr="00326031">
        <w:rPr>
          <w:color w:val="auto"/>
          <w:sz w:val="24"/>
          <w:szCs w:val="24"/>
        </w:rPr>
        <w:lastRenderedPageBreak/>
        <w:t>Priority four – Supporting high needs communities</w:t>
      </w:r>
    </w:p>
    <w:p w14:paraId="02946660" w14:textId="56402C7D" w:rsidR="00455522" w:rsidRDefault="00455522" w:rsidP="00010716">
      <w:r w:rsidRPr="00FB67EE">
        <w:t>This priority area focused on high needs communities such as Aboriginal and Torres Strait Islander populations, cultural and linguistically diverse communities, regional and remote communities and young people.</w:t>
      </w:r>
    </w:p>
    <w:tbl>
      <w:tblPr>
        <w:tblStyle w:val="GridTable5Dark-Accent4"/>
        <w:tblW w:w="9071" w:type="dxa"/>
        <w:tblCellMar>
          <w:top w:w="85" w:type="dxa"/>
          <w:bottom w:w="85" w:type="dxa"/>
        </w:tblCellMar>
        <w:tblLook w:val="0420" w:firstRow="1" w:lastRow="0" w:firstColumn="0" w:lastColumn="0" w:noHBand="0" w:noVBand="1"/>
      </w:tblPr>
      <w:tblGrid>
        <w:gridCol w:w="9071"/>
      </w:tblGrid>
      <w:tr w:rsidR="00697E5B" w:rsidRPr="001A6C40" w14:paraId="2FDA4546" w14:textId="77777777" w:rsidTr="00010716">
        <w:trPr>
          <w:cnfStyle w:val="100000000000" w:firstRow="1" w:lastRow="0" w:firstColumn="0" w:lastColumn="0" w:oddVBand="0" w:evenVBand="0" w:oddHBand="0" w:evenHBand="0" w:firstRowFirstColumn="0" w:firstRowLastColumn="0" w:lastRowFirstColumn="0" w:lastRowLastColumn="0"/>
        </w:trPr>
        <w:tc>
          <w:tcPr>
            <w:tcW w:w="9071" w:type="dxa"/>
            <w:shd w:val="clear" w:color="auto" w:fill="FF0000"/>
          </w:tcPr>
          <w:p w14:paraId="1841D021" w14:textId="0A212366" w:rsidR="00697E5B" w:rsidRPr="00010716" w:rsidRDefault="00697E5B" w:rsidP="0053704D">
            <w:pPr>
              <w:spacing w:line="276" w:lineRule="auto"/>
            </w:pPr>
            <w:bookmarkStart w:id="13" w:name="_Toc421528257"/>
            <w:r w:rsidRPr="00E1017A">
              <w:rPr>
                <w:color w:val="auto"/>
              </w:rPr>
              <w:t>Action items</w:t>
            </w:r>
          </w:p>
        </w:tc>
      </w:tr>
      <w:tr w:rsidR="00697E5B" w:rsidRPr="001A6C40" w14:paraId="1C73A93D" w14:textId="77777777" w:rsidTr="00010716">
        <w:trPr>
          <w:cnfStyle w:val="000000100000" w:firstRow="0" w:lastRow="0" w:firstColumn="0" w:lastColumn="0" w:oddVBand="0" w:evenVBand="0" w:oddHBand="1" w:evenHBand="0" w:firstRowFirstColumn="0" w:firstRowLastColumn="0" w:lastRowFirstColumn="0" w:lastRowLastColumn="0"/>
        </w:trPr>
        <w:tc>
          <w:tcPr>
            <w:tcW w:w="9071" w:type="dxa"/>
          </w:tcPr>
          <w:p w14:paraId="63A06C9D" w14:textId="7F8D8B9E" w:rsidR="00697E5B" w:rsidRPr="001A6C40" w:rsidRDefault="00697E5B" w:rsidP="00782640">
            <w:pPr>
              <w:pStyle w:val="ListParagraph"/>
              <w:numPr>
                <w:ilvl w:val="0"/>
                <w:numId w:val="3"/>
              </w:numPr>
              <w:spacing w:line="276" w:lineRule="auto"/>
            </w:pPr>
            <w:r w:rsidRPr="001A6C40">
              <w:t>Increasing t</w:t>
            </w:r>
            <w:r w:rsidR="00F15CDC">
              <w:t>he number of health workers in I</w:t>
            </w:r>
            <w:r w:rsidRPr="001A6C40">
              <w:t>ndigenous and regional and remote communities.</w:t>
            </w:r>
          </w:p>
        </w:tc>
      </w:tr>
      <w:tr w:rsidR="00697E5B" w:rsidRPr="001A6C40" w14:paraId="05EE58B6" w14:textId="77777777" w:rsidTr="00010716">
        <w:tc>
          <w:tcPr>
            <w:tcW w:w="9071" w:type="dxa"/>
          </w:tcPr>
          <w:p w14:paraId="1C3059B6" w14:textId="422855AA" w:rsidR="00697E5B" w:rsidRPr="001A6C40" w:rsidRDefault="00697E5B" w:rsidP="00782640">
            <w:pPr>
              <w:pStyle w:val="ListParagraph"/>
              <w:numPr>
                <w:ilvl w:val="0"/>
                <w:numId w:val="3"/>
              </w:numPr>
              <w:spacing w:line="276" w:lineRule="auto"/>
            </w:pPr>
            <w:r w:rsidRPr="001A6C40">
              <w:t>Investigating other ways to provide health care in high needs communities, such</w:t>
            </w:r>
            <w:r w:rsidR="00F15CDC">
              <w:t xml:space="preserve"> as “on country care” to allow I</w:t>
            </w:r>
            <w:r w:rsidRPr="001A6C40">
              <w:t>ndigenous patients to access care close to home.</w:t>
            </w:r>
          </w:p>
        </w:tc>
      </w:tr>
      <w:tr w:rsidR="00697E5B" w:rsidRPr="001A6C40" w14:paraId="30805175" w14:textId="77777777" w:rsidTr="00010716">
        <w:trPr>
          <w:cnfStyle w:val="000000100000" w:firstRow="0" w:lastRow="0" w:firstColumn="0" w:lastColumn="0" w:oddVBand="0" w:evenVBand="0" w:oddHBand="1" w:evenHBand="0" w:firstRowFirstColumn="0" w:firstRowLastColumn="0" w:lastRowFirstColumn="0" w:lastRowLastColumn="0"/>
        </w:trPr>
        <w:tc>
          <w:tcPr>
            <w:tcW w:w="9071" w:type="dxa"/>
          </w:tcPr>
          <w:p w14:paraId="23CDFD6F" w14:textId="77777777" w:rsidR="00697E5B" w:rsidRPr="001A6C40" w:rsidRDefault="00697E5B" w:rsidP="00782640">
            <w:pPr>
              <w:pStyle w:val="ListParagraph"/>
              <w:numPr>
                <w:ilvl w:val="0"/>
                <w:numId w:val="3"/>
              </w:numPr>
              <w:spacing w:line="276" w:lineRule="auto"/>
            </w:pPr>
            <w:r w:rsidRPr="001A6C40">
              <w:t>Expanding successful prevention and detection programs</w:t>
            </w:r>
            <w:r w:rsidRPr="001A6C40" w:rsidDel="00095E87">
              <w:t xml:space="preserve"> </w:t>
            </w:r>
            <w:r w:rsidRPr="001A6C40">
              <w:t xml:space="preserve">in high needs communities to increase awareness and early detection of kidney disease and other chronic diseases. </w:t>
            </w:r>
          </w:p>
        </w:tc>
      </w:tr>
      <w:tr w:rsidR="00697E5B" w:rsidRPr="001A6C40" w14:paraId="3753339B" w14:textId="77777777" w:rsidTr="00010716">
        <w:tc>
          <w:tcPr>
            <w:tcW w:w="9071" w:type="dxa"/>
          </w:tcPr>
          <w:p w14:paraId="45C1CFF1" w14:textId="77777777" w:rsidR="00697E5B" w:rsidRPr="001A6C40" w:rsidRDefault="00697E5B" w:rsidP="00782640">
            <w:pPr>
              <w:pStyle w:val="ListParagraph"/>
              <w:numPr>
                <w:ilvl w:val="0"/>
                <w:numId w:val="3"/>
              </w:numPr>
              <w:spacing w:line="276" w:lineRule="auto"/>
            </w:pPr>
            <w:r w:rsidRPr="001A6C40">
              <w:t xml:space="preserve">Introducing a nationally consistent model to improve the transition from paediatric to adult care for adolescents with kidney disease. </w:t>
            </w:r>
          </w:p>
        </w:tc>
      </w:tr>
      <w:tr w:rsidR="00697E5B" w:rsidRPr="001A6C40" w14:paraId="3CDD89F1" w14:textId="77777777" w:rsidTr="00010716">
        <w:trPr>
          <w:cnfStyle w:val="000000100000" w:firstRow="0" w:lastRow="0" w:firstColumn="0" w:lastColumn="0" w:oddVBand="0" w:evenVBand="0" w:oddHBand="1" w:evenHBand="0" w:firstRowFirstColumn="0" w:firstRowLastColumn="0" w:lastRowFirstColumn="0" w:lastRowLastColumn="0"/>
        </w:trPr>
        <w:tc>
          <w:tcPr>
            <w:tcW w:w="9071" w:type="dxa"/>
          </w:tcPr>
          <w:p w14:paraId="0DEFA019" w14:textId="77777777" w:rsidR="00697E5B" w:rsidRPr="001A6C40" w:rsidRDefault="00697E5B" w:rsidP="00782640">
            <w:pPr>
              <w:pStyle w:val="ListParagraph"/>
              <w:numPr>
                <w:ilvl w:val="0"/>
                <w:numId w:val="3"/>
              </w:numPr>
              <w:spacing w:line="276" w:lineRule="auto"/>
            </w:pPr>
            <w:r w:rsidRPr="001A6C40">
              <w:t>Funding the necessary infrastructure (buildings and equipment) and training to expand the use of telemedicine to provide better care in regional and rural areas.</w:t>
            </w:r>
          </w:p>
        </w:tc>
      </w:tr>
      <w:tr w:rsidR="00697E5B" w:rsidRPr="001A6C40" w14:paraId="4F0FA0B9" w14:textId="77777777" w:rsidTr="00010716">
        <w:tc>
          <w:tcPr>
            <w:tcW w:w="9071" w:type="dxa"/>
          </w:tcPr>
          <w:p w14:paraId="1A01B87F" w14:textId="77777777" w:rsidR="00697E5B" w:rsidRPr="001A6C40" w:rsidRDefault="00697E5B" w:rsidP="00782640">
            <w:pPr>
              <w:pStyle w:val="ListParagraph"/>
              <w:numPr>
                <w:ilvl w:val="0"/>
                <w:numId w:val="3"/>
              </w:numPr>
              <w:spacing w:line="276" w:lineRule="auto"/>
            </w:pPr>
            <w:r w:rsidRPr="001A6C40">
              <w:t>Having programs to provide transplantation of Indigenous and other high risk groups individuals with end-stage kidney disease in a culturally safe environment.</w:t>
            </w:r>
          </w:p>
        </w:tc>
      </w:tr>
      <w:bookmarkEnd w:id="13"/>
    </w:tbl>
    <w:p w14:paraId="1B99B8C9" w14:textId="77777777" w:rsidR="004E2E6F" w:rsidRDefault="004E2E6F" w:rsidP="00772295">
      <w:pPr>
        <w:pStyle w:val="ListParagraph"/>
        <w:spacing w:after="0" w:line="276" w:lineRule="auto"/>
      </w:pPr>
    </w:p>
    <w:p w14:paraId="7352B26F" w14:textId="1FB331F6" w:rsidR="004E2E6F" w:rsidRDefault="004E2E6F" w:rsidP="00772295">
      <w:pPr>
        <w:spacing w:after="0" w:line="276" w:lineRule="auto"/>
      </w:pPr>
      <w:r w:rsidRPr="00265748">
        <w:t xml:space="preserve">Over 32 </w:t>
      </w:r>
      <w:r w:rsidR="00772295">
        <w:t>%</w:t>
      </w:r>
      <w:r w:rsidRPr="00265748">
        <w:t xml:space="preserve"> respondents ranked expanding successful prevention and detection programs as highest priority, followed by the actions relating to increasing the workforce and investigating alternative care models in indigenous and rural and remote communities.</w:t>
      </w:r>
    </w:p>
    <w:p w14:paraId="633F551E" w14:textId="621EB114" w:rsidR="0084789D" w:rsidRDefault="0084789D" w:rsidP="00772295">
      <w:pPr>
        <w:spacing w:after="0" w:line="276" w:lineRule="auto"/>
      </w:pPr>
    </w:p>
    <w:p w14:paraId="4E7C4859" w14:textId="6CB15AC6" w:rsidR="0084789D" w:rsidRDefault="00566673">
      <w:pPr>
        <w:spacing w:after="0" w:line="276" w:lineRule="auto"/>
      </w:pPr>
      <w:r>
        <w:rPr>
          <w:noProof/>
          <w:lang w:eastAsia="en-AU"/>
        </w:rPr>
        <w:drawing>
          <wp:inline distT="0" distB="0" distL="0" distR="0" wp14:anchorId="6AF43C56" wp14:editId="59FF196B">
            <wp:extent cx="5312979" cy="4247963"/>
            <wp:effectExtent l="0" t="0" r="0" b="0"/>
            <wp:docPr id="20" name="Picture 20" descr="Bar graph of most important objectives for supporting high needs communities as detail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Q16.png"/>
                    <pic:cNvPicPr/>
                  </pic:nvPicPr>
                  <pic:blipFill>
                    <a:blip r:embed="rId16" cstate="email">
                      <a:extLst>
                        <a:ext uri="{28A0092B-C50C-407E-A947-70E740481C1C}">
                          <a14:useLocalDpi xmlns:a14="http://schemas.microsoft.com/office/drawing/2010/main"/>
                        </a:ext>
                      </a:extLst>
                    </a:blip>
                    <a:stretch>
                      <a:fillRect/>
                    </a:stretch>
                  </pic:blipFill>
                  <pic:spPr>
                    <a:xfrm>
                      <a:off x="0" y="0"/>
                      <a:ext cx="5316947" cy="4251136"/>
                    </a:xfrm>
                    <a:prstGeom prst="rect">
                      <a:avLst/>
                    </a:prstGeom>
                  </pic:spPr>
                </pic:pic>
              </a:graphicData>
            </a:graphic>
          </wp:inline>
        </w:drawing>
      </w:r>
    </w:p>
    <w:p w14:paraId="6E486F1B" w14:textId="77777777" w:rsidR="0084789D" w:rsidRPr="0080594D" w:rsidRDefault="0084789D" w:rsidP="00772295">
      <w:pPr>
        <w:spacing w:after="0" w:line="276" w:lineRule="auto"/>
      </w:pPr>
    </w:p>
    <w:p w14:paraId="53A3B446" w14:textId="77777777" w:rsidR="00BB195A" w:rsidRPr="00A84E69" w:rsidRDefault="00BB195A" w:rsidP="00BB195A">
      <w:pPr>
        <w:spacing w:after="0" w:line="276" w:lineRule="auto"/>
        <w:rPr>
          <w:b/>
          <w:bCs/>
        </w:rPr>
      </w:pPr>
      <w:r w:rsidRPr="00A84E69">
        <w:rPr>
          <w:b/>
          <w:bCs/>
        </w:rPr>
        <w:t>Proposed additional items</w:t>
      </w:r>
    </w:p>
    <w:p w14:paraId="46944E1A" w14:textId="78731DEB" w:rsidR="004E2E6F" w:rsidRPr="00265748" w:rsidRDefault="004E2E6F" w:rsidP="00772295">
      <w:pPr>
        <w:spacing w:after="0" w:line="276" w:lineRule="auto"/>
      </w:pPr>
      <w:r w:rsidRPr="00265748">
        <w:t>Other actions nominated focused on several interrelated themes including</w:t>
      </w:r>
      <w:r w:rsidR="00C54AF4">
        <w:t>:</w:t>
      </w:r>
    </w:p>
    <w:p w14:paraId="42850600" w14:textId="734FBE8C" w:rsidR="004E2E6F" w:rsidRPr="00265748" w:rsidRDefault="004E2E6F" w:rsidP="00782640">
      <w:pPr>
        <w:pStyle w:val="ListParagraph"/>
        <w:numPr>
          <w:ilvl w:val="0"/>
          <w:numId w:val="5"/>
        </w:numPr>
        <w:spacing w:after="0" w:line="276" w:lineRule="auto"/>
      </w:pPr>
      <w:r w:rsidRPr="00265748">
        <w:t>Self-determination as a fundamental principle of Aboriginal and Torres Strait Islander kidney health – the importance of programs being developed with/by Indigenous communities</w:t>
      </w:r>
      <w:r w:rsidR="00C54AF4">
        <w:t>.</w:t>
      </w:r>
    </w:p>
    <w:p w14:paraId="0443FD94" w14:textId="0EB39723" w:rsidR="004E2E6F" w:rsidRPr="00265748" w:rsidRDefault="004E2E6F" w:rsidP="00782640">
      <w:pPr>
        <w:pStyle w:val="ListParagraph"/>
        <w:numPr>
          <w:ilvl w:val="0"/>
          <w:numId w:val="5"/>
        </w:numPr>
        <w:spacing w:after="0" w:line="276" w:lineRule="auto"/>
      </w:pPr>
      <w:r w:rsidRPr="00265748">
        <w:t>Social determinants – addressing the root causes of chronic disease including food</w:t>
      </w:r>
      <w:r w:rsidR="00286D3D">
        <w:t xml:space="preserve"> security, housing, education, c</w:t>
      </w:r>
      <w:r w:rsidRPr="00265748">
        <w:t>hild and maternal health, racism and dispossession</w:t>
      </w:r>
      <w:r w:rsidR="00C54AF4">
        <w:t>.</w:t>
      </w:r>
    </w:p>
    <w:p w14:paraId="3F63C67F" w14:textId="77777777" w:rsidR="004E2E6F" w:rsidRPr="00265748" w:rsidRDefault="004E2E6F" w:rsidP="00782640">
      <w:pPr>
        <w:pStyle w:val="ListParagraph"/>
        <w:numPr>
          <w:ilvl w:val="0"/>
          <w:numId w:val="5"/>
        </w:numPr>
        <w:spacing w:after="0" w:line="276" w:lineRule="auto"/>
      </w:pPr>
      <w:r w:rsidRPr="00265748">
        <w:t>Developing models of care and workforce tailored to individual high needs communities – including upskilling local healthcare workers in rural and remote communities.</w:t>
      </w:r>
    </w:p>
    <w:p w14:paraId="71C2C4A9" w14:textId="77777777" w:rsidR="004E2E6F" w:rsidRPr="00265748" w:rsidRDefault="004E2E6F" w:rsidP="00782640">
      <w:pPr>
        <w:pStyle w:val="ListParagraph"/>
        <w:numPr>
          <w:ilvl w:val="0"/>
          <w:numId w:val="5"/>
        </w:numPr>
        <w:spacing w:after="0" w:line="276" w:lineRule="auto"/>
      </w:pPr>
      <w:r w:rsidRPr="00265748">
        <w:t>Prevention and education tailored to individual high needs communities – including Aboriginal and Torres Strait Islander communities, young adults, culturally and linguistically diverse groups and varying education levels.</w:t>
      </w:r>
    </w:p>
    <w:p w14:paraId="57FF6F05" w14:textId="77777777" w:rsidR="004E2E6F" w:rsidRPr="00265748" w:rsidRDefault="004E2E6F" w:rsidP="00782640">
      <w:pPr>
        <w:pStyle w:val="ListParagraph"/>
        <w:numPr>
          <w:ilvl w:val="0"/>
          <w:numId w:val="5"/>
        </w:numPr>
        <w:spacing w:after="0" w:line="276" w:lineRule="auto"/>
      </w:pPr>
      <w:r w:rsidRPr="00265748">
        <w:t>Increasing funding for rural and remote services – to increase access to dialysis and specialist care and provide on-country care for Aboriginal and Torres Strait Islander people.</w:t>
      </w:r>
    </w:p>
    <w:p w14:paraId="76E3D9CC" w14:textId="687A8BC1" w:rsidR="00C54AF4" w:rsidRDefault="00C54AF4" w:rsidP="00772295">
      <w:pPr>
        <w:pStyle w:val="Heading3"/>
        <w:spacing w:before="0" w:line="276" w:lineRule="auto"/>
      </w:pPr>
      <w:bookmarkStart w:id="14" w:name="_Toc421528258"/>
    </w:p>
    <w:p w14:paraId="02854F32" w14:textId="625C0158" w:rsidR="002E06B7" w:rsidRPr="00326031" w:rsidRDefault="005401DB" w:rsidP="005401DB">
      <w:pPr>
        <w:pStyle w:val="KidneyHeading3"/>
        <w:rPr>
          <w:color w:val="auto"/>
          <w:sz w:val="24"/>
          <w:szCs w:val="24"/>
        </w:rPr>
      </w:pPr>
      <w:r w:rsidRPr="00326031">
        <w:rPr>
          <w:color w:val="auto"/>
          <w:sz w:val="24"/>
          <w:szCs w:val="24"/>
        </w:rPr>
        <w:t>Priority five – Increased focus on kidney research</w:t>
      </w:r>
    </w:p>
    <w:p w14:paraId="7EAC7437" w14:textId="77777777" w:rsidR="005401DB" w:rsidRPr="00FF7BAC" w:rsidRDefault="005401DB" w:rsidP="00010716">
      <w:pPr>
        <w:pStyle w:val="KidneyHeading3"/>
        <w:rPr>
          <w:color w:val="000000" w:themeColor="text1"/>
          <w:sz w:val="24"/>
          <w:szCs w:val="24"/>
        </w:rPr>
      </w:pPr>
    </w:p>
    <w:tbl>
      <w:tblPr>
        <w:tblStyle w:val="GridTable5Dark-Accent4"/>
        <w:tblW w:w="9071" w:type="dxa"/>
        <w:tblCellMar>
          <w:top w:w="85" w:type="dxa"/>
          <w:bottom w:w="85" w:type="dxa"/>
        </w:tblCellMar>
        <w:tblLook w:val="0420" w:firstRow="1" w:lastRow="0" w:firstColumn="0" w:lastColumn="0" w:noHBand="0" w:noVBand="1"/>
      </w:tblPr>
      <w:tblGrid>
        <w:gridCol w:w="9071"/>
      </w:tblGrid>
      <w:tr w:rsidR="002E06B7" w:rsidRPr="007B143C" w14:paraId="69A26979" w14:textId="77777777" w:rsidTr="00010716">
        <w:trPr>
          <w:cnfStyle w:val="100000000000" w:firstRow="1" w:lastRow="0" w:firstColumn="0" w:lastColumn="0" w:oddVBand="0" w:evenVBand="0" w:oddHBand="0" w:evenHBand="0" w:firstRowFirstColumn="0" w:firstRowLastColumn="0" w:lastRowFirstColumn="0" w:lastRowLastColumn="0"/>
        </w:trPr>
        <w:tc>
          <w:tcPr>
            <w:tcW w:w="9071" w:type="dxa"/>
            <w:shd w:val="clear" w:color="auto" w:fill="FF0000"/>
          </w:tcPr>
          <w:p w14:paraId="12412E85" w14:textId="3457AF8F" w:rsidR="002E06B7" w:rsidRPr="00010716" w:rsidRDefault="002E06B7" w:rsidP="0053704D">
            <w:pPr>
              <w:spacing w:line="276" w:lineRule="auto"/>
            </w:pPr>
            <w:r w:rsidRPr="00E1017A">
              <w:rPr>
                <w:color w:val="auto"/>
              </w:rPr>
              <w:t>Action items</w:t>
            </w:r>
          </w:p>
        </w:tc>
      </w:tr>
      <w:tr w:rsidR="002E06B7" w:rsidRPr="007B143C" w14:paraId="417AF875" w14:textId="77777777" w:rsidTr="00010716">
        <w:trPr>
          <w:cnfStyle w:val="000000100000" w:firstRow="0" w:lastRow="0" w:firstColumn="0" w:lastColumn="0" w:oddVBand="0" w:evenVBand="0" w:oddHBand="1" w:evenHBand="0" w:firstRowFirstColumn="0" w:firstRowLastColumn="0" w:lastRowFirstColumn="0" w:lastRowLastColumn="0"/>
        </w:trPr>
        <w:tc>
          <w:tcPr>
            <w:tcW w:w="9071" w:type="dxa"/>
          </w:tcPr>
          <w:p w14:paraId="16B539E6" w14:textId="77777777" w:rsidR="002E06B7" w:rsidRPr="007B143C" w:rsidRDefault="002E06B7" w:rsidP="00782640">
            <w:pPr>
              <w:pStyle w:val="ListParagraph"/>
              <w:numPr>
                <w:ilvl w:val="0"/>
                <w:numId w:val="6"/>
              </w:numPr>
              <w:spacing w:line="276" w:lineRule="auto"/>
            </w:pPr>
            <w:r w:rsidRPr="007B143C">
              <w:t>Developing a national unified Australian kidney disease research strategy to set the priorities for kidney research over the next decade.</w:t>
            </w:r>
          </w:p>
        </w:tc>
      </w:tr>
      <w:tr w:rsidR="002E06B7" w:rsidRPr="007B143C" w14:paraId="32573383" w14:textId="77777777" w:rsidTr="00010716">
        <w:tc>
          <w:tcPr>
            <w:tcW w:w="9071" w:type="dxa"/>
          </w:tcPr>
          <w:p w14:paraId="259A7A6B" w14:textId="77777777" w:rsidR="002E06B7" w:rsidRPr="007B143C" w:rsidRDefault="002E06B7" w:rsidP="00782640">
            <w:pPr>
              <w:pStyle w:val="ListParagraph"/>
              <w:numPr>
                <w:ilvl w:val="0"/>
                <w:numId w:val="6"/>
              </w:numPr>
              <w:spacing w:line="276" w:lineRule="auto"/>
            </w:pPr>
            <w:r w:rsidRPr="007B143C">
              <w:t>Increasing the amount of kidney research done in Australia by providing more research funding and career support for researchers.</w:t>
            </w:r>
          </w:p>
        </w:tc>
      </w:tr>
      <w:tr w:rsidR="002E06B7" w:rsidRPr="007B143C" w14:paraId="3B9AAF86" w14:textId="77777777" w:rsidTr="00010716">
        <w:trPr>
          <w:cnfStyle w:val="000000100000" w:firstRow="0" w:lastRow="0" w:firstColumn="0" w:lastColumn="0" w:oddVBand="0" w:evenVBand="0" w:oddHBand="1" w:evenHBand="0" w:firstRowFirstColumn="0" w:firstRowLastColumn="0" w:lastRowFirstColumn="0" w:lastRowLastColumn="0"/>
        </w:trPr>
        <w:tc>
          <w:tcPr>
            <w:tcW w:w="9071" w:type="dxa"/>
          </w:tcPr>
          <w:p w14:paraId="565FFDDB" w14:textId="77777777" w:rsidR="002E06B7" w:rsidRPr="007B143C" w:rsidRDefault="002E06B7" w:rsidP="00782640">
            <w:pPr>
              <w:pStyle w:val="ListParagraph"/>
              <w:numPr>
                <w:ilvl w:val="0"/>
                <w:numId w:val="6"/>
              </w:numPr>
              <w:spacing w:line="276" w:lineRule="auto"/>
            </w:pPr>
            <w:r w:rsidRPr="007B143C">
              <w:t>Increasing the role of consumers in kidney research and clinical trials through a virtual online ‘hub’ where consumers and researchers can interact.</w:t>
            </w:r>
          </w:p>
        </w:tc>
      </w:tr>
      <w:tr w:rsidR="002E06B7" w:rsidRPr="007B143C" w14:paraId="676E1B61" w14:textId="77777777" w:rsidTr="00010716">
        <w:tc>
          <w:tcPr>
            <w:tcW w:w="9071" w:type="dxa"/>
          </w:tcPr>
          <w:p w14:paraId="384C6FE9" w14:textId="77777777" w:rsidR="002E06B7" w:rsidRPr="007B143C" w:rsidRDefault="002E06B7" w:rsidP="00782640">
            <w:pPr>
              <w:pStyle w:val="ListParagraph"/>
              <w:numPr>
                <w:ilvl w:val="0"/>
                <w:numId w:val="6"/>
              </w:numPr>
              <w:spacing w:line="276" w:lineRule="auto"/>
            </w:pPr>
            <w:r w:rsidRPr="007B143C">
              <w:t>Funding research that consumers identify as priorities, such as research into treating symptoms and side effects of treatment.</w:t>
            </w:r>
          </w:p>
        </w:tc>
      </w:tr>
      <w:tr w:rsidR="002E06B7" w:rsidRPr="007B143C" w14:paraId="2A6D0B8D" w14:textId="77777777" w:rsidTr="00010716">
        <w:trPr>
          <w:cnfStyle w:val="000000100000" w:firstRow="0" w:lastRow="0" w:firstColumn="0" w:lastColumn="0" w:oddVBand="0" w:evenVBand="0" w:oddHBand="1" w:evenHBand="0" w:firstRowFirstColumn="0" w:firstRowLastColumn="0" w:lastRowFirstColumn="0" w:lastRowLastColumn="0"/>
        </w:trPr>
        <w:tc>
          <w:tcPr>
            <w:tcW w:w="9071" w:type="dxa"/>
          </w:tcPr>
          <w:p w14:paraId="061D3AFF" w14:textId="77777777" w:rsidR="002E06B7" w:rsidRPr="007B143C" w:rsidRDefault="002E06B7" w:rsidP="00782640">
            <w:pPr>
              <w:pStyle w:val="ListParagraph"/>
              <w:numPr>
                <w:ilvl w:val="0"/>
                <w:numId w:val="6"/>
              </w:numPr>
              <w:spacing w:line="276" w:lineRule="auto"/>
            </w:pPr>
            <w:r w:rsidRPr="007B143C">
              <w:t>Funding and having nationally consistent data collection at all points of care to support ongoing improvements in kidney disease prevention, detection and management.</w:t>
            </w:r>
          </w:p>
        </w:tc>
      </w:tr>
      <w:tr w:rsidR="002E06B7" w:rsidRPr="007B143C" w14:paraId="02D41E20" w14:textId="77777777" w:rsidTr="00010716">
        <w:tc>
          <w:tcPr>
            <w:tcW w:w="9071" w:type="dxa"/>
          </w:tcPr>
          <w:p w14:paraId="3460DB91" w14:textId="77777777" w:rsidR="002E06B7" w:rsidRPr="007B143C" w:rsidRDefault="002E06B7" w:rsidP="00782640">
            <w:pPr>
              <w:pStyle w:val="ListParagraph"/>
              <w:numPr>
                <w:ilvl w:val="0"/>
                <w:numId w:val="6"/>
              </w:numPr>
              <w:spacing w:line="276" w:lineRule="auto"/>
            </w:pPr>
            <w:r w:rsidRPr="007B143C">
              <w:t>Developing systems for reporting patient outcomes and experiences to improve health services and care.</w:t>
            </w:r>
          </w:p>
        </w:tc>
      </w:tr>
      <w:bookmarkEnd w:id="14"/>
    </w:tbl>
    <w:p w14:paraId="6838CE8C" w14:textId="77777777" w:rsidR="00C54AF4" w:rsidRDefault="00C54AF4" w:rsidP="00772295">
      <w:pPr>
        <w:spacing w:after="0" w:line="276" w:lineRule="auto"/>
      </w:pPr>
    </w:p>
    <w:p w14:paraId="5B080F76" w14:textId="2BB968F1" w:rsidR="004E2E6F" w:rsidRPr="00265748" w:rsidRDefault="004E2E6F" w:rsidP="00772295">
      <w:pPr>
        <w:spacing w:after="0" w:line="276" w:lineRule="auto"/>
      </w:pPr>
      <w:r w:rsidRPr="00265748">
        <w:t>The actions proposing developing a national kidney disease strategy and increasing funding and support for kidney research and researchers were the highest ranked priorities overall, r</w:t>
      </w:r>
      <w:r w:rsidR="00286D3D">
        <w:t>anked number one priority by 24</w:t>
      </w:r>
      <w:r w:rsidR="00772295">
        <w:t>%</w:t>
      </w:r>
      <w:r w:rsidR="00286D3D">
        <w:t xml:space="preserve"> and 27</w:t>
      </w:r>
      <w:r w:rsidR="00772295">
        <w:t>%</w:t>
      </w:r>
      <w:r w:rsidRPr="00265748">
        <w:t xml:space="preserve"> of respondents respectively. Funding research prioritised by consumers and nationally consistent data were also ranked highly with the proposed consumer hub and patient reported outcomes (PROMs) ranked lower. </w:t>
      </w:r>
    </w:p>
    <w:p w14:paraId="5F46000D" w14:textId="5C3A2A8A" w:rsidR="004E2E6F" w:rsidRDefault="004E2E6F" w:rsidP="00772295">
      <w:pPr>
        <w:pStyle w:val="ListParagraph"/>
        <w:spacing w:after="0" w:line="276" w:lineRule="auto"/>
        <w:ind w:left="360"/>
      </w:pPr>
    </w:p>
    <w:p w14:paraId="5B03E2E4" w14:textId="7AF686BE" w:rsidR="00D14E1A" w:rsidRDefault="00D14E1A">
      <w:pPr>
        <w:pStyle w:val="ListParagraph"/>
        <w:spacing w:after="0" w:line="276" w:lineRule="auto"/>
        <w:ind w:left="360"/>
      </w:pPr>
      <w:r>
        <w:rPr>
          <w:noProof/>
          <w:lang w:eastAsia="en-AU"/>
        </w:rPr>
        <w:lastRenderedPageBreak/>
        <w:drawing>
          <wp:inline distT="0" distB="0" distL="0" distR="0" wp14:anchorId="5E9C2B0C" wp14:editId="4673B2CE">
            <wp:extent cx="5186855" cy="4224098"/>
            <wp:effectExtent l="0" t="0" r="0" b="5080"/>
            <wp:docPr id="19" name="Picture 19" descr="Bar graph of most important objectives for increased focus on kidney research as detail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18.png"/>
                    <pic:cNvPicPr/>
                  </pic:nvPicPr>
                  <pic:blipFill>
                    <a:blip r:embed="rId17" cstate="email">
                      <a:extLst>
                        <a:ext uri="{28A0092B-C50C-407E-A947-70E740481C1C}">
                          <a14:useLocalDpi xmlns:a14="http://schemas.microsoft.com/office/drawing/2010/main"/>
                        </a:ext>
                      </a:extLst>
                    </a:blip>
                    <a:stretch>
                      <a:fillRect/>
                    </a:stretch>
                  </pic:blipFill>
                  <pic:spPr>
                    <a:xfrm>
                      <a:off x="0" y="0"/>
                      <a:ext cx="5193198" cy="4229264"/>
                    </a:xfrm>
                    <a:prstGeom prst="rect">
                      <a:avLst/>
                    </a:prstGeom>
                  </pic:spPr>
                </pic:pic>
              </a:graphicData>
            </a:graphic>
          </wp:inline>
        </w:drawing>
      </w:r>
    </w:p>
    <w:p w14:paraId="72D6A1AD" w14:textId="77777777" w:rsidR="00D14E1A" w:rsidRDefault="00D14E1A" w:rsidP="00772295">
      <w:pPr>
        <w:pStyle w:val="ListParagraph"/>
        <w:spacing w:after="0" w:line="276" w:lineRule="auto"/>
        <w:ind w:left="360"/>
      </w:pPr>
    </w:p>
    <w:p w14:paraId="406D13ED" w14:textId="73441C78" w:rsidR="00BB195A" w:rsidRPr="00B03236" w:rsidRDefault="00BB195A" w:rsidP="00010716">
      <w:pPr>
        <w:pStyle w:val="KidneyBodybold0"/>
      </w:pPr>
      <w:r w:rsidRPr="00A84E69">
        <w:t>Proposed additional items</w:t>
      </w:r>
    </w:p>
    <w:p w14:paraId="1B7CD8ED" w14:textId="68EBFD9B" w:rsidR="004E2E6F" w:rsidRPr="00772295" w:rsidRDefault="004E2E6F" w:rsidP="00772295">
      <w:pPr>
        <w:spacing w:after="0" w:line="276" w:lineRule="auto"/>
      </w:pPr>
      <w:r w:rsidRPr="00772295">
        <w:t>Respondents proposed a large number of additional actions for the research priority covering several main themes. These include</w:t>
      </w:r>
      <w:r w:rsidR="00C54AF4">
        <w:t>:</w:t>
      </w:r>
    </w:p>
    <w:p w14:paraId="1F9ACCA6" w14:textId="7695D8C9" w:rsidR="004E2E6F" w:rsidRPr="00772295" w:rsidRDefault="004E2E6F" w:rsidP="00782640">
      <w:pPr>
        <w:pStyle w:val="ListParagraph"/>
        <w:numPr>
          <w:ilvl w:val="0"/>
          <w:numId w:val="7"/>
        </w:numPr>
        <w:spacing w:after="0" w:line="276" w:lineRule="auto"/>
      </w:pPr>
      <w:r w:rsidRPr="00772295">
        <w:t>Increased focus on various specific areas of research – stem cell, paediatrics, psychosocial, artificial kidneys, comorbidities, basic research, translational research, improving dialysis, quality of life, genetic kidney diseases, transplant</w:t>
      </w:r>
      <w:r w:rsidR="00C54AF4">
        <w:t>.</w:t>
      </w:r>
    </w:p>
    <w:p w14:paraId="10A9B9E6" w14:textId="6DAA919A" w:rsidR="004E2E6F" w:rsidRPr="00772295" w:rsidRDefault="004E2E6F" w:rsidP="00782640">
      <w:pPr>
        <w:pStyle w:val="ListParagraph"/>
        <w:numPr>
          <w:ilvl w:val="0"/>
          <w:numId w:val="7"/>
        </w:numPr>
        <w:spacing w:after="0" w:line="276" w:lineRule="auto"/>
      </w:pPr>
      <w:r w:rsidRPr="00772295">
        <w:t>Linking Australian research with research programs in other countries</w:t>
      </w:r>
      <w:r w:rsidR="00C54AF4">
        <w:t>.</w:t>
      </w:r>
    </w:p>
    <w:p w14:paraId="5A4D6BDE" w14:textId="43A0A114" w:rsidR="004E2E6F" w:rsidRPr="00772295" w:rsidRDefault="004E2E6F" w:rsidP="00782640">
      <w:pPr>
        <w:pStyle w:val="ListParagraph"/>
        <w:numPr>
          <w:ilvl w:val="0"/>
          <w:numId w:val="7"/>
        </w:numPr>
        <w:spacing w:after="0" w:line="276" w:lineRule="auto"/>
      </w:pPr>
      <w:r w:rsidRPr="00772295">
        <w:t>Targeting research at the most at risk populations, including Aboriginal and Torres Strait Islander people, with research being conducted with and by Aboriginal and Torres Strait Islander researchers</w:t>
      </w:r>
      <w:r w:rsidR="00C54AF4">
        <w:t>.</w:t>
      </w:r>
    </w:p>
    <w:p w14:paraId="67301024" w14:textId="045057E8" w:rsidR="004E2E6F" w:rsidRPr="00772295" w:rsidRDefault="004E2E6F" w:rsidP="00782640">
      <w:pPr>
        <w:pStyle w:val="ListParagraph"/>
        <w:numPr>
          <w:ilvl w:val="0"/>
          <w:numId w:val="7"/>
        </w:numPr>
        <w:spacing w:after="0" w:line="276" w:lineRule="auto"/>
      </w:pPr>
      <w:r w:rsidRPr="00772295">
        <w:t>Improving research quality and a focus on evidence</w:t>
      </w:r>
      <w:r w:rsidR="00C54AF4">
        <w:t>.</w:t>
      </w:r>
    </w:p>
    <w:p w14:paraId="39E835E1" w14:textId="19491861" w:rsidR="004E2E6F" w:rsidRPr="00772295" w:rsidRDefault="004E2E6F" w:rsidP="00782640">
      <w:pPr>
        <w:pStyle w:val="ListParagraph"/>
        <w:numPr>
          <w:ilvl w:val="0"/>
          <w:numId w:val="7"/>
        </w:numPr>
        <w:spacing w:after="0" w:line="276" w:lineRule="auto"/>
      </w:pPr>
      <w:r w:rsidRPr="00772295">
        <w:t>Increased/stable research funding</w:t>
      </w:r>
      <w:r w:rsidR="00C54AF4">
        <w:t>.</w:t>
      </w:r>
    </w:p>
    <w:p w14:paraId="1C67DBCC" w14:textId="77777777" w:rsidR="004E2E6F" w:rsidRPr="00265748" w:rsidRDefault="004E2E6F" w:rsidP="00772295">
      <w:pPr>
        <w:spacing w:after="0" w:line="276" w:lineRule="auto"/>
        <w:rPr>
          <w:rFonts w:asciiTheme="majorHAnsi" w:hAnsiTheme="majorHAnsi"/>
        </w:rPr>
      </w:pPr>
    </w:p>
    <w:p w14:paraId="5767D987" w14:textId="55D3BCA8" w:rsidR="004E2E6F" w:rsidRPr="00FF7BAC" w:rsidRDefault="004E2E6F" w:rsidP="00010716">
      <w:pPr>
        <w:pStyle w:val="KidneyHeading3"/>
        <w:rPr>
          <w:color w:val="000000" w:themeColor="text1"/>
          <w:sz w:val="24"/>
          <w:szCs w:val="24"/>
        </w:rPr>
      </w:pPr>
      <w:bookmarkStart w:id="15" w:name="_Toc421528259"/>
      <w:r w:rsidRPr="00FF7BAC">
        <w:rPr>
          <w:color w:val="000000" w:themeColor="text1"/>
          <w:sz w:val="24"/>
          <w:szCs w:val="24"/>
        </w:rPr>
        <w:t>Areas of progress in kidney health</w:t>
      </w:r>
      <w:bookmarkEnd w:id="15"/>
    </w:p>
    <w:p w14:paraId="32D4A7D6" w14:textId="77777777" w:rsidR="00F34FC3" w:rsidRDefault="004E2E6F" w:rsidP="00772295">
      <w:pPr>
        <w:spacing w:after="0" w:line="276" w:lineRule="auto"/>
      </w:pPr>
      <w:r w:rsidRPr="00772295">
        <w:t xml:space="preserve">Respondents were asked to nominate up to five areas where they have seen or experienced significant progress or success in the area of kidney health. Responses overwhelmingly focused on a number of key areas. </w:t>
      </w:r>
    </w:p>
    <w:p w14:paraId="461107A1" w14:textId="233781AE" w:rsidR="004E2E6F" w:rsidRPr="00772295" w:rsidRDefault="004E2E6F" w:rsidP="00772295">
      <w:pPr>
        <w:spacing w:after="0" w:line="276" w:lineRule="auto"/>
      </w:pPr>
      <w:r w:rsidRPr="00772295">
        <w:t>These included</w:t>
      </w:r>
      <w:r w:rsidR="00C54AF4">
        <w:t>:</w:t>
      </w:r>
    </w:p>
    <w:p w14:paraId="40430876" w14:textId="77777777" w:rsidR="00380A28" w:rsidRDefault="00380A28">
      <w:pPr>
        <w:pStyle w:val="KidneyBodybold0"/>
      </w:pPr>
    </w:p>
    <w:p w14:paraId="165E816F" w14:textId="39C11B59" w:rsidR="004E2E6F" w:rsidRPr="00010716" w:rsidRDefault="004E2E6F" w:rsidP="00010716">
      <w:pPr>
        <w:pStyle w:val="KidneyBodybold0"/>
      </w:pPr>
      <w:r w:rsidRPr="00010716">
        <w:t>Donation and Transplantation</w:t>
      </w:r>
    </w:p>
    <w:p w14:paraId="2FB32DAB" w14:textId="77777777" w:rsidR="00772295" w:rsidRDefault="00772295" w:rsidP="00772295">
      <w:pPr>
        <w:spacing w:after="0" w:line="276" w:lineRule="auto"/>
        <w:sectPr w:rsidR="00772295" w:rsidSect="00812D33">
          <w:pgSz w:w="11906" w:h="16838"/>
          <w:pgMar w:top="1440" w:right="1440" w:bottom="1440" w:left="1440" w:header="708" w:footer="708" w:gutter="0"/>
          <w:cols w:space="708"/>
          <w:docGrid w:linePitch="360"/>
        </w:sectPr>
      </w:pPr>
    </w:p>
    <w:p w14:paraId="42983FEA" w14:textId="1866662F" w:rsidR="004E2E6F" w:rsidRPr="00772295" w:rsidRDefault="00BB195A" w:rsidP="00772295">
      <w:pPr>
        <w:spacing w:after="0" w:line="276" w:lineRule="auto"/>
        <w:sectPr w:rsidR="004E2E6F" w:rsidRPr="00772295" w:rsidSect="00772295">
          <w:type w:val="continuous"/>
          <w:pgSz w:w="11906" w:h="16838"/>
          <w:pgMar w:top="1440" w:right="1440" w:bottom="1440" w:left="1440" w:header="708" w:footer="708" w:gutter="0"/>
          <w:cols w:space="708"/>
          <w:docGrid w:linePitch="360"/>
        </w:sectPr>
      </w:pPr>
      <w:r w:rsidRPr="00BB195A">
        <w:t xml:space="preserve">Respondents identified improvements in </w:t>
      </w:r>
      <w:r w:rsidR="004E2E6F" w:rsidRPr="00772295">
        <w:t>the following areas:</w:t>
      </w:r>
    </w:p>
    <w:p w14:paraId="65D8BD83" w14:textId="279A64BE" w:rsidR="004E2E6F" w:rsidRPr="00772295" w:rsidRDefault="00C54AF4" w:rsidP="00782640">
      <w:pPr>
        <w:pStyle w:val="ListParagraph"/>
        <w:numPr>
          <w:ilvl w:val="0"/>
          <w:numId w:val="8"/>
        </w:numPr>
        <w:spacing w:after="0" w:line="276" w:lineRule="auto"/>
      </w:pPr>
      <w:r>
        <w:t>i</w:t>
      </w:r>
      <w:r w:rsidR="004E2E6F" w:rsidRPr="00772295">
        <w:t>ncreased deceased donation awareness and consent</w:t>
      </w:r>
    </w:p>
    <w:p w14:paraId="46EB2BB2" w14:textId="46DD1255" w:rsidR="004E2E6F" w:rsidRPr="00772295" w:rsidRDefault="00C54AF4" w:rsidP="00782640">
      <w:pPr>
        <w:pStyle w:val="ListParagraph"/>
        <w:numPr>
          <w:ilvl w:val="0"/>
          <w:numId w:val="8"/>
        </w:numPr>
        <w:spacing w:after="0" w:line="276" w:lineRule="auto"/>
      </w:pPr>
      <w:r>
        <w:t>i</w:t>
      </w:r>
      <w:r w:rsidR="004E2E6F" w:rsidRPr="00772295">
        <w:t>ncreased living donation and support for living donors</w:t>
      </w:r>
    </w:p>
    <w:p w14:paraId="46F83517" w14:textId="0A6C43CD" w:rsidR="004E2E6F" w:rsidRPr="00772295" w:rsidRDefault="00C54AF4" w:rsidP="00782640">
      <w:pPr>
        <w:pStyle w:val="ListParagraph"/>
        <w:numPr>
          <w:ilvl w:val="0"/>
          <w:numId w:val="8"/>
        </w:numPr>
        <w:spacing w:after="0" w:line="276" w:lineRule="auto"/>
      </w:pPr>
      <w:r>
        <w:t>i</w:t>
      </w:r>
      <w:r w:rsidR="004E2E6F" w:rsidRPr="00772295">
        <w:t>ncreased number transplants performed</w:t>
      </w:r>
    </w:p>
    <w:p w14:paraId="3B197CA3" w14:textId="0439E27F" w:rsidR="004E2E6F" w:rsidRPr="00772295" w:rsidRDefault="00C54AF4" w:rsidP="00782640">
      <w:pPr>
        <w:pStyle w:val="ListParagraph"/>
        <w:numPr>
          <w:ilvl w:val="0"/>
          <w:numId w:val="8"/>
        </w:numPr>
        <w:spacing w:after="0" w:line="276" w:lineRule="auto"/>
      </w:pPr>
      <w:r>
        <w:t>i</w:t>
      </w:r>
      <w:r w:rsidR="004E2E6F" w:rsidRPr="00772295">
        <w:t>ncreased paired exchange</w:t>
      </w:r>
    </w:p>
    <w:p w14:paraId="5BCF456A" w14:textId="59155E8C" w:rsidR="004E2E6F" w:rsidRPr="00772295" w:rsidRDefault="00C54AF4" w:rsidP="00782640">
      <w:pPr>
        <w:pStyle w:val="ListParagraph"/>
        <w:numPr>
          <w:ilvl w:val="0"/>
          <w:numId w:val="8"/>
        </w:numPr>
        <w:spacing w:after="0" w:line="276" w:lineRule="auto"/>
      </w:pPr>
      <w:r>
        <w:t>b</w:t>
      </w:r>
      <w:r w:rsidR="004E2E6F" w:rsidRPr="00772295">
        <w:t>etter and earlier access to transplant as a treatment option</w:t>
      </w:r>
    </w:p>
    <w:p w14:paraId="39A6E94C" w14:textId="0D80014C" w:rsidR="004E2E6F" w:rsidRPr="00772295" w:rsidRDefault="00C54AF4" w:rsidP="00782640">
      <w:pPr>
        <w:pStyle w:val="ListParagraph"/>
        <w:numPr>
          <w:ilvl w:val="0"/>
          <w:numId w:val="8"/>
        </w:numPr>
        <w:spacing w:after="0" w:line="276" w:lineRule="auto"/>
      </w:pPr>
      <w:r>
        <w:lastRenderedPageBreak/>
        <w:t>i</w:t>
      </w:r>
      <w:r w:rsidR="004E2E6F" w:rsidRPr="00772295">
        <w:t xml:space="preserve">mprovements in pre and </w:t>
      </w:r>
      <w:r w:rsidR="00286D3D" w:rsidRPr="00772295">
        <w:t>post-transplant</w:t>
      </w:r>
      <w:r w:rsidR="004E2E6F" w:rsidRPr="00772295">
        <w:t xml:space="preserve"> education</w:t>
      </w:r>
    </w:p>
    <w:p w14:paraId="5350D0C4" w14:textId="6863E5B4" w:rsidR="004E2E6F" w:rsidRPr="00772295" w:rsidRDefault="00C54AF4" w:rsidP="00782640">
      <w:pPr>
        <w:pStyle w:val="ListParagraph"/>
        <w:numPr>
          <w:ilvl w:val="0"/>
          <w:numId w:val="8"/>
        </w:numPr>
        <w:spacing w:after="0" w:line="276" w:lineRule="auto"/>
      </w:pPr>
      <w:r>
        <w:t>i</w:t>
      </w:r>
      <w:r w:rsidR="004E2E6F" w:rsidRPr="00772295">
        <w:t>mprovements in transplant outcomes including improvements in medication regimes.</w:t>
      </w:r>
    </w:p>
    <w:p w14:paraId="5E65C5F8" w14:textId="77777777" w:rsidR="004E2E6F" w:rsidRPr="00772295" w:rsidRDefault="004E2E6F" w:rsidP="00772295">
      <w:pPr>
        <w:spacing w:after="0" w:line="276" w:lineRule="auto"/>
        <w:sectPr w:rsidR="004E2E6F" w:rsidRPr="00772295" w:rsidSect="00772295">
          <w:type w:val="continuous"/>
          <w:pgSz w:w="11906" w:h="16838"/>
          <w:pgMar w:top="1440" w:right="1440" w:bottom="1440" w:left="1440" w:header="708" w:footer="708" w:gutter="0"/>
          <w:cols w:space="567"/>
          <w:docGrid w:linePitch="360"/>
        </w:sectPr>
      </w:pPr>
    </w:p>
    <w:p w14:paraId="7BDE067C" w14:textId="77777777" w:rsidR="00772295" w:rsidRDefault="00772295" w:rsidP="00772295">
      <w:pPr>
        <w:spacing w:after="0" w:line="276" w:lineRule="auto"/>
        <w:sectPr w:rsidR="00772295" w:rsidSect="00772295">
          <w:type w:val="continuous"/>
          <w:pgSz w:w="11906" w:h="16838"/>
          <w:pgMar w:top="1440" w:right="1440" w:bottom="1440" w:left="1440" w:header="708" w:footer="708" w:gutter="0"/>
          <w:cols w:space="708"/>
          <w:docGrid w:linePitch="360"/>
        </w:sectPr>
      </w:pPr>
    </w:p>
    <w:p w14:paraId="0168A1F9" w14:textId="07EBCB2C" w:rsidR="004E2E6F" w:rsidRPr="00772295" w:rsidRDefault="004E2E6F" w:rsidP="00772295">
      <w:pPr>
        <w:spacing w:after="0" w:line="276" w:lineRule="auto"/>
      </w:pPr>
      <w:r w:rsidRPr="00772295">
        <w:t>Several respondents described marked differences in their experiences having multiple transplants over several decades, noting improvements in preparation for transplants, in-hospital stays, support and outcomes.</w:t>
      </w:r>
    </w:p>
    <w:p w14:paraId="75E30022" w14:textId="77777777" w:rsidR="00C54AF4" w:rsidRDefault="00C54AF4" w:rsidP="00772295">
      <w:pPr>
        <w:spacing w:after="0" w:line="276" w:lineRule="auto"/>
        <w:rPr>
          <w:rFonts w:asciiTheme="majorHAnsi" w:hAnsiTheme="majorHAnsi"/>
          <w:i/>
        </w:rPr>
      </w:pPr>
    </w:p>
    <w:p w14:paraId="261A8FFF" w14:textId="5B701503" w:rsidR="004E2E6F" w:rsidRPr="00265748" w:rsidRDefault="004E2E6F" w:rsidP="00010716">
      <w:pPr>
        <w:pStyle w:val="KidneyBodybold0"/>
      </w:pPr>
      <w:r w:rsidRPr="00265748">
        <w:t>Dialysis</w:t>
      </w:r>
    </w:p>
    <w:p w14:paraId="6412E880" w14:textId="2B6AE846" w:rsidR="004E2E6F" w:rsidRPr="00772295" w:rsidRDefault="00BB195A" w:rsidP="00772295">
      <w:pPr>
        <w:spacing w:after="0" w:line="276" w:lineRule="auto"/>
        <w:sectPr w:rsidR="004E2E6F" w:rsidRPr="00772295" w:rsidSect="00772295">
          <w:type w:val="continuous"/>
          <w:pgSz w:w="11906" w:h="16838"/>
          <w:pgMar w:top="1440" w:right="1440" w:bottom="1440" w:left="1440" w:header="708" w:footer="708" w:gutter="0"/>
          <w:cols w:space="708"/>
          <w:docGrid w:linePitch="360"/>
        </w:sectPr>
      </w:pPr>
      <w:r w:rsidRPr="00BB195A">
        <w:t xml:space="preserve">Respondents identified improvements in the following areas: </w:t>
      </w:r>
    </w:p>
    <w:p w14:paraId="446E6B0D" w14:textId="4612963F" w:rsidR="004E2E6F" w:rsidRPr="00772295" w:rsidRDefault="00C54AF4" w:rsidP="00782640">
      <w:pPr>
        <w:pStyle w:val="ListParagraph"/>
        <w:numPr>
          <w:ilvl w:val="0"/>
          <w:numId w:val="9"/>
        </w:numPr>
        <w:spacing w:after="0" w:line="276" w:lineRule="auto"/>
      </w:pPr>
      <w:r>
        <w:t>h</w:t>
      </w:r>
      <w:r w:rsidR="004E2E6F" w:rsidRPr="00772295">
        <w:t>ome dialysis, including increasing availability, better support and education and improvements in dialysis machines</w:t>
      </w:r>
    </w:p>
    <w:p w14:paraId="5B0DAD22" w14:textId="6A06288F" w:rsidR="004E2E6F" w:rsidRPr="00772295" w:rsidRDefault="00C54AF4" w:rsidP="00782640">
      <w:pPr>
        <w:pStyle w:val="ListParagraph"/>
        <w:numPr>
          <w:ilvl w:val="0"/>
          <w:numId w:val="9"/>
        </w:numPr>
        <w:spacing w:after="0" w:line="276" w:lineRule="auto"/>
      </w:pPr>
      <w:r>
        <w:t>i</w:t>
      </w:r>
      <w:r w:rsidR="004E2E6F" w:rsidRPr="00772295">
        <w:t>ncreased number of dialysis chairs, improving access particularly in regional and rural areas</w:t>
      </w:r>
    </w:p>
    <w:p w14:paraId="36B7E245" w14:textId="3046E164" w:rsidR="004E2E6F" w:rsidRPr="00772295" w:rsidRDefault="00C54AF4" w:rsidP="00782640">
      <w:pPr>
        <w:pStyle w:val="ListParagraph"/>
        <w:numPr>
          <w:ilvl w:val="0"/>
          <w:numId w:val="9"/>
        </w:numPr>
        <w:spacing w:after="0" w:line="276" w:lineRule="auto"/>
      </w:pPr>
      <w:r>
        <w:t>a</w:t>
      </w:r>
      <w:r w:rsidR="004E2E6F" w:rsidRPr="00772295">
        <w:t>dvances in technology resulting in improved machines</w:t>
      </w:r>
    </w:p>
    <w:p w14:paraId="477040A4" w14:textId="2F841822" w:rsidR="004E2E6F" w:rsidRPr="00772295" w:rsidRDefault="00C54AF4" w:rsidP="00782640">
      <w:pPr>
        <w:pStyle w:val="ListParagraph"/>
        <w:numPr>
          <w:ilvl w:val="0"/>
          <w:numId w:val="9"/>
        </w:numPr>
        <w:spacing w:after="0" w:line="276" w:lineRule="auto"/>
      </w:pPr>
      <w:r>
        <w:t>i</w:t>
      </w:r>
      <w:r w:rsidR="004E2E6F" w:rsidRPr="00772295">
        <w:t>ncreased choice and flexibility in dialysis treatments</w:t>
      </w:r>
    </w:p>
    <w:p w14:paraId="3BB5FA03" w14:textId="72915F1A" w:rsidR="004E2E6F" w:rsidRPr="00C54AF4" w:rsidRDefault="00C54AF4" w:rsidP="00782640">
      <w:pPr>
        <w:pStyle w:val="ListParagraph"/>
        <w:numPr>
          <w:ilvl w:val="0"/>
          <w:numId w:val="9"/>
        </w:numPr>
        <w:spacing w:after="0" w:line="276" w:lineRule="auto"/>
        <w:sectPr w:rsidR="004E2E6F" w:rsidRPr="00C54AF4" w:rsidSect="00772295">
          <w:type w:val="continuous"/>
          <w:pgSz w:w="11906" w:h="16838"/>
          <w:pgMar w:top="1440" w:right="1440" w:bottom="1440" w:left="1440" w:header="708" w:footer="708" w:gutter="0"/>
          <w:cols w:space="567"/>
          <w:docGrid w:linePitch="360"/>
        </w:sectPr>
      </w:pPr>
      <w:r>
        <w:t>i</w:t>
      </w:r>
      <w:r w:rsidR="004E2E6F" w:rsidRPr="00772295">
        <w:t>mprovements in dialysis experience at clinics, including better education and suppor</w:t>
      </w:r>
      <w:r>
        <w:t>t.</w:t>
      </w:r>
    </w:p>
    <w:p w14:paraId="4C59F564" w14:textId="77777777" w:rsidR="00772295" w:rsidRDefault="00772295" w:rsidP="00772295">
      <w:pPr>
        <w:spacing w:after="0" w:line="276" w:lineRule="auto"/>
        <w:rPr>
          <w:rFonts w:asciiTheme="majorHAnsi" w:hAnsiTheme="majorHAnsi"/>
          <w:i/>
        </w:rPr>
        <w:sectPr w:rsidR="00772295" w:rsidSect="00772295">
          <w:type w:val="continuous"/>
          <w:pgSz w:w="11906" w:h="16838"/>
          <w:pgMar w:top="1440" w:right="1440" w:bottom="1440" w:left="1440" w:header="708" w:footer="708" w:gutter="0"/>
          <w:cols w:space="708"/>
          <w:docGrid w:linePitch="360"/>
        </w:sectPr>
      </w:pPr>
    </w:p>
    <w:p w14:paraId="4F45065A" w14:textId="0FABC966" w:rsidR="004E2E6F" w:rsidRPr="00265748" w:rsidRDefault="004E2E6F" w:rsidP="00010716">
      <w:pPr>
        <w:pStyle w:val="KidneyBodybold0"/>
      </w:pPr>
      <w:r w:rsidRPr="00265748">
        <w:t>Quality of care</w:t>
      </w:r>
    </w:p>
    <w:p w14:paraId="3F8A265E" w14:textId="77777777" w:rsidR="00772295" w:rsidRDefault="00772295" w:rsidP="00772295">
      <w:pPr>
        <w:spacing w:after="0" w:line="276" w:lineRule="auto"/>
        <w:sectPr w:rsidR="00772295" w:rsidSect="00772295">
          <w:type w:val="continuous"/>
          <w:pgSz w:w="11906" w:h="16838"/>
          <w:pgMar w:top="1440" w:right="1440" w:bottom="1440" w:left="1440" w:header="708" w:footer="708" w:gutter="0"/>
          <w:cols w:space="708"/>
          <w:docGrid w:linePitch="360"/>
        </w:sectPr>
      </w:pPr>
    </w:p>
    <w:p w14:paraId="26118C8E" w14:textId="3F5D9F0B" w:rsidR="004E2E6F" w:rsidRPr="00772295" w:rsidRDefault="00BB195A" w:rsidP="00772295">
      <w:pPr>
        <w:spacing w:after="0" w:line="276" w:lineRule="auto"/>
        <w:sectPr w:rsidR="004E2E6F" w:rsidRPr="00772295" w:rsidSect="00772295">
          <w:type w:val="continuous"/>
          <w:pgSz w:w="11906" w:h="16838"/>
          <w:pgMar w:top="1440" w:right="1440" w:bottom="1440" w:left="1440" w:header="708" w:footer="708" w:gutter="0"/>
          <w:cols w:space="708"/>
          <w:docGrid w:linePitch="360"/>
        </w:sectPr>
      </w:pPr>
      <w:r w:rsidRPr="00BB195A">
        <w:t xml:space="preserve">Respondents identified improvements in the following areas: </w:t>
      </w:r>
    </w:p>
    <w:p w14:paraId="0A49DF9B" w14:textId="1914EAEC" w:rsidR="004E2E6F" w:rsidRPr="00772295" w:rsidRDefault="00C54AF4" w:rsidP="00782640">
      <w:pPr>
        <w:pStyle w:val="ListParagraph"/>
        <w:numPr>
          <w:ilvl w:val="0"/>
          <w:numId w:val="10"/>
        </w:numPr>
        <w:spacing w:after="0" w:line="276" w:lineRule="auto"/>
      </w:pPr>
      <w:r>
        <w:t>i</w:t>
      </w:r>
      <w:r w:rsidR="004E2E6F" w:rsidRPr="00772295">
        <w:t>mprovements in continuity of care and multidisciplinary care</w:t>
      </w:r>
    </w:p>
    <w:p w14:paraId="4F1403BE" w14:textId="5697EC47" w:rsidR="004E2E6F" w:rsidRPr="00772295" w:rsidRDefault="00C54AF4" w:rsidP="00782640">
      <w:pPr>
        <w:pStyle w:val="ListParagraph"/>
        <w:numPr>
          <w:ilvl w:val="0"/>
          <w:numId w:val="10"/>
        </w:numPr>
        <w:spacing w:after="0" w:line="276" w:lineRule="auto"/>
      </w:pPr>
      <w:r>
        <w:t>i</w:t>
      </w:r>
      <w:r w:rsidR="004E2E6F" w:rsidRPr="00772295">
        <w:t>mprovements in primary care treatment</w:t>
      </w:r>
    </w:p>
    <w:p w14:paraId="4DE05FF9" w14:textId="2D8881F1" w:rsidR="004E2E6F" w:rsidRPr="00772295" w:rsidRDefault="00C54AF4" w:rsidP="00782640">
      <w:pPr>
        <w:pStyle w:val="ListParagraph"/>
        <w:numPr>
          <w:ilvl w:val="0"/>
          <w:numId w:val="10"/>
        </w:numPr>
        <w:spacing w:after="0" w:line="276" w:lineRule="auto"/>
      </w:pPr>
      <w:r>
        <w:t>b</w:t>
      </w:r>
      <w:r w:rsidR="004E2E6F" w:rsidRPr="00772295">
        <w:t>etter access to specialist care</w:t>
      </w:r>
    </w:p>
    <w:p w14:paraId="33CEA607" w14:textId="02BE882C" w:rsidR="004E2E6F" w:rsidRPr="00772295" w:rsidRDefault="00C54AF4" w:rsidP="00782640">
      <w:pPr>
        <w:pStyle w:val="ListParagraph"/>
        <w:numPr>
          <w:ilvl w:val="0"/>
          <w:numId w:val="10"/>
        </w:numPr>
        <w:spacing w:after="0" w:line="276" w:lineRule="auto"/>
      </w:pPr>
      <w:r>
        <w:t>i</w:t>
      </w:r>
      <w:r w:rsidR="004E2E6F" w:rsidRPr="00772295">
        <w:t>mprovements in health</w:t>
      </w:r>
      <w:r w:rsidR="00286D3D">
        <w:t>care</w:t>
      </w:r>
      <w:r w:rsidR="004E2E6F" w:rsidRPr="00772295">
        <w:t xml:space="preserve"> professional communication</w:t>
      </w:r>
    </w:p>
    <w:p w14:paraId="19C43AD4" w14:textId="07AE5B75" w:rsidR="004E2E6F" w:rsidRPr="00772295" w:rsidRDefault="00C54AF4" w:rsidP="00782640">
      <w:pPr>
        <w:pStyle w:val="ListParagraph"/>
        <w:numPr>
          <w:ilvl w:val="0"/>
          <w:numId w:val="10"/>
        </w:numPr>
        <w:spacing w:after="0" w:line="276" w:lineRule="auto"/>
      </w:pPr>
      <w:r>
        <w:t>i</w:t>
      </w:r>
      <w:r w:rsidR="004E2E6F" w:rsidRPr="00772295">
        <w:t xml:space="preserve">ncreased focus on treating co-morbidities </w:t>
      </w:r>
    </w:p>
    <w:p w14:paraId="18119A27" w14:textId="15F088C9" w:rsidR="004E2E6F" w:rsidRPr="00772295" w:rsidRDefault="00C54AF4" w:rsidP="00782640">
      <w:pPr>
        <w:pStyle w:val="ListParagraph"/>
        <w:numPr>
          <w:ilvl w:val="0"/>
          <w:numId w:val="10"/>
        </w:numPr>
        <w:spacing w:after="0" w:line="276" w:lineRule="auto"/>
      </w:pPr>
      <w:r>
        <w:t>h</w:t>
      </w:r>
      <w:r w:rsidR="004E2E6F" w:rsidRPr="00772295">
        <w:t>ighly skilled specialists and nurses</w:t>
      </w:r>
    </w:p>
    <w:p w14:paraId="76539A6A" w14:textId="0B1059B0" w:rsidR="004E2E6F" w:rsidRPr="00772295" w:rsidRDefault="00C54AF4" w:rsidP="00782640">
      <w:pPr>
        <w:pStyle w:val="ListParagraph"/>
        <w:numPr>
          <w:ilvl w:val="0"/>
          <w:numId w:val="10"/>
        </w:numPr>
        <w:spacing w:after="0" w:line="276" w:lineRule="auto"/>
      </w:pPr>
      <w:r>
        <w:t>p</w:t>
      </w:r>
      <w:r w:rsidR="004E2E6F" w:rsidRPr="00772295">
        <w:t>aediatric to adult transition</w:t>
      </w:r>
    </w:p>
    <w:p w14:paraId="0057C2F5" w14:textId="6E88D238" w:rsidR="004E2E6F" w:rsidRPr="00772295" w:rsidRDefault="00C54AF4" w:rsidP="00782640">
      <w:pPr>
        <w:pStyle w:val="ListParagraph"/>
        <w:numPr>
          <w:ilvl w:val="0"/>
          <w:numId w:val="10"/>
        </w:numPr>
        <w:spacing w:after="0" w:line="276" w:lineRule="auto"/>
      </w:pPr>
      <w:r>
        <w:t>i</w:t>
      </w:r>
      <w:r w:rsidR="004E2E6F" w:rsidRPr="00772295">
        <w:t>ncreasing focus on conservative care</w:t>
      </w:r>
    </w:p>
    <w:p w14:paraId="41DEDA97" w14:textId="17953570" w:rsidR="004E2E6F" w:rsidRPr="00772295" w:rsidRDefault="00C54AF4" w:rsidP="00782640">
      <w:pPr>
        <w:pStyle w:val="ListParagraph"/>
        <w:numPr>
          <w:ilvl w:val="0"/>
          <w:numId w:val="10"/>
        </w:numPr>
        <w:spacing w:after="0" w:line="276" w:lineRule="auto"/>
      </w:pPr>
      <w:r>
        <w:t>b</w:t>
      </w:r>
      <w:r w:rsidR="004E2E6F" w:rsidRPr="00772295">
        <w:t>etter symptom managements</w:t>
      </w:r>
    </w:p>
    <w:p w14:paraId="1D74A56E" w14:textId="0C0E6AB8" w:rsidR="004E2E6F" w:rsidRPr="00772295" w:rsidRDefault="00C54AF4" w:rsidP="00782640">
      <w:pPr>
        <w:pStyle w:val="ListParagraph"/>
        <w:numPr>
          <w:ilvl w:val="0"/>
          <w:numId w:val="10"/>
        </w:numPr>
        <w:spacing w:after="0" w:line="276" w:lineRule="auto"/>
      </w:pPr>
      <w:r>
        <w:t>i</w:t>
      </w:r>
      <w:r w:rsidR="004E2E6F" w:rsidRPr="00772295">
        <w:t>mprovements in medication</w:t>
      </w:r>
    </w:p>
    <w:p w14:paraId="1EFB3545" w14:textId="247B25EC" w:rsidR="004E2E6F" w:rsidRPr="00772295" w:rsidRDefault="00C54AF4" w:rsidP="00782640">
      <w:pPr>
        <w:pStyle w:val="ListParagraph"/>
        <w:numPr>
          <w:ilvl w:val="0"/>
          <w:numId w:val="10"/>
        </w:numPr>
        <w:spacing w:after="0" w:line="276" w:lineRule="auto"/>
      </w:pPr>
      <w:r>
        <w:t>i</w:t>
      </w:r>
      <w:r w:rsidR="004E2E6F" w:rsidRPr="00772295">
        <w:t>ncreased access to telehealth</w:t>
      </w:r>
    </w:p>
    <w:p w14:paraId="33FAB26B" w14:textId="2E7E596B" w:rsidR="004E2E6F" w:rsidRPr="00772295" w:rsidRDefault="00C54AF4" w:rsidP="00782640">
      <w:pPr>
        <w:pStyle w:val="ListParagraph"/>
        <w:numPr>
          <w:ilvl w:val="0"/>
          <w:numId w:val="10"/>
        </w:numPr>
        <w:spacing w:after="0" w:line="276" w:lineRule="auto"/>
        <w:sectPr w:rsidR="004E2E6F" w:rsidRPr="00772295" w:rsidSect="00772295">
          <w:type w:val="continuous"/>
          <w:pgSz w:w="11906" w:h="16838"/>
          <w:pgMar w:top="1440" w:right="1440" w:bottom="1440" w:left="1440" w:header="708" w:footer="708" w:gutter="0"/>
          <w:cols w:space="567"/>
          <w:docGrid w:linePitch="360"/>
        </w:sectPr>
      </w:pPr>
      <w:r>
        <w:t>p</w:t>
      </w:r>
      <w:r w:rsidR="004E2E6F" w:rsidRPr="00772295">
        <w:t>sychosocial support</w:t>
      </w:r>
      <w:r>
        <w:t>.</w:t>
      </w:r>
    </w:p>
    <w:p w14:paraId="339B7628" w14:textId="77777777" w:rsidR="004E2E6F" w:rsidRPr="00772295" w:rsidRDefault="004E2E6F" w:rsidP="00772295">
      <w:pPr>
        <w:pStyle w:val="ListParagraph"/>
        <w:spacing w:after="0" w:line="276" w:lineRule="auto"/>
        <w:ind w:left="360"/>
      </w:pPr>
    </w:p>
    <w:p w14:paraId="6E10BAB7" w14:textId="40393A8F" w:rsidR="004E2E6F" w:rsidRPr="00772295" w:rsidRDefault="004E2E6F" w:rsidP="00010716">
      <w:pPr>
        <w:pStyle w:val="KidneyBodybold0"/>
      </w:pPr>
      <w:r w:rsidRPr="00772295">
        <w:t xml:space="preserve">Respondents also identified </w:t>
      </w:r>
      <w:r w:rsidRPr="00A02B36">
        <w:t>improvements</w:t>
      </w:r>
      <w:r w:rsidRPr="00772295">
        <w:t xml:space="preserve"> in</w:t>
      </w:r>
      <w:r w:rsidR="00C54AF4">
        <w:t>:</w:t>
      </w:r>
    </w:p>
    <w:p w14:paraId="12D7E4B0" w14:textId="77777777" w:rsidR="004E2E6F" w:rsidRPr="00772295" w:rsidRDefault="004E2E6F" w:rsidP="00782640">
      <w:pPr>
        <w:pStyle w:val="ListParagraph"/>
        <w:numPr>
          <w:ilvl w:val="0"/>
          <w:numId w:val="11"/>
        </w:numPr>
        <w:spacing w:after="0" w:line="276" w:lineRule="auto"/>
        <w:sectPr w:rsidR="004E2E6F" w:rsidRPr="00772295" w:rsidSect="00772295">
          <w:type w:val="continuous"/>
          <w:pgSz w:w="11906" w:h="16838"/>
          <w:pgMar w:top="1440" w:right="1440" w:bottom="1440" w:left="1440" w:header="708" w:footer="708" w:gutter="0"/>
          <w:cols w:space="708"/>
          <w:docGrid w:linePitch="360"/>
        </w:sectPr>
      </w:pPr>
    </w:p>
    <w:p w14:paraId="7F6CDE1E" w14:textId="627AB602" w:rsidR="004E2E6F" w:rsidRPr="00772295" w:rsidRDefault="00C54AF4" w:rsidP="00782640">
      <w:pPr>
        <w:pStyle w:val="ListParagraph"/>
        <w:numPr>
          <w:ilvl w:val="0"/>
          <w:numId w:val="11"/>
        </w:numPr>
        <w:spacing w:after="0" w:line="276" w:lineRule="auto"/>
      </w:pPr>
      <w:r>
        <w:t>p</w:t>
      </w:r>
      <w:r w:rsidR="004E2E6F" w:rsidRPr="00772295">
        <w:t>ublic awareness of CKD and focus on prevention</w:t>
      </w:r>
    </w:p>
    <w:p w14:paraId="0E922F38" w14:textId="18A54326" w:rsidR="004E2E6F" w:rsidRPr="00772295" w:rsidRDefault="00C54AF4" w:rsidP="00782640">
      <w:pPr>
        <w:pStyle w:val="ListParagraph"/>
        <w:numPr>
          <w:ilvl w:val="0"/>
          <w:numId w:val="11"/>
        </w:numPr>
        <w:spacing w:after="0" w:line="276" w:lineRule="auto"/>
      </w:pPr>
      <w:r>
        <w:t>e</w:t>
      </w:r>
      <w:r w:rsidR="004E2E6F" w:rsidRPr="00772295">
        <w:t>ducation about CKD management and treatment options including increased availability of online resources</w:t>
      </w:r>
    </w:p>
    <w:p w14:paraId="0A621582" w14:textId="2C1C3BD8" w:rsidR="00772295" w:rsidRDefault="00C54AF4" w:rsidP="00782640">
      <w:pPr>
        <w:pStyle w:val="ListParagraph"/>
        <w:numPr>
          <w:ilvl w:val="0"/>
          <w:numId w:val="11"/>
        </w:numPr>
        <w:spacing w:after="0" w:line="276" w:lineRule="auto"/>
        <w:sectPr w:rsidR="00772295" w:rsidSect="00772295">
          <w:type w:val="continuous"/>
          <w:pgSz w:w="11906" w:h="16838"/>
          <w:pgMar w:top="1440" w:right="1440" w:bottom="1440" w:left="1440" w:header="708" w:footer="708" w:gutter="0"/>
          <w:cols w:space="567"/>
          <w:docGrid w:linePitch="360"/>
        </w:sectPr>
      </w:pPr>
      <w:r>
        <w:t>i</w:t>
      </w:r>
      <w:r w:rsidR="004E2E6F" w:rsidRPr="00772295">
        <w:t>ncreasing focus on the role of diet in preventing and managing CKD, including access to dieticians, support and advice</w:t>
      </w:r>
    </w:p>
    <w:p w14:paraId="03857746" w14:textId="2F6FB4CC" w:rsidR="004E2E6F" w:rsidRPr="00772295" w:rsidRDefault="00C54AF4" w:rsidP="00782640">
      <w:pPr>
        <w:pStyle w:val="ListParagraph"/>
        <w:numPr>
          <w:ilvl w:val="0"/>
          <w:numId w:val="11"/>
        </w:numPr>
        <w:spacing w:after="0" w:line="276" w:lineRule="auto"/>
      </w:pPr>
      <w:r>
        <w:t>a</w:t>
      </w:r>
      <w:r w:rsidR="004E2E6F" w:rsidRPr="00772295">
        <w:t>dvances in the detection, diagnosis and treatment of inherited kidney diseases</w:t>
      </w:r>
    </w:p>
    <w:p w14:paraId="2FA4FCF4" w14:textId="77777777" w:rsidR="00772295" w:rsidRDefault="00772295" w:rsidP="00782640">
      <w:pPr>
        <w:pStyle w:val="ListParagraph"/>
        <w:numPr>
          <w:ilvl w:val="0"/>
          <w:numId w:val="11"/>
        </w:numPr>
        <w:spacing w:after="0" w:line="276" w:lineRule="auto"/>
        <w:sectPr w:rsidR="00772295" w:rsidSect="00772295">
          <w:type w:val="continuous"/>
          <w:pgSz w:w="11906" w:h="16838"/>
          <w:pgMar w:top="1440" w:right="1440" w:bottom="1440" w:left="1440" w:header="708" w:footer="708" w:gutter="0"/>
          <w:cols w:space="567"/>
          <w:docGrid w:linePitch="360"/>
        </w:sectPr>
      </w:pPr>
    </w:p>
    <w:p w14:paraId="323D6444" w14:textId="69ABC5E9" w:rsidR="004E2E6F" w:rsidRPr="00772295" w:rsidRDefault="00C54AF4" w:rsidP="00782640">
      <w:pPr>
        <w:pStyle w:val="ListParagraph"/>
        <w:numPr>
          <w:ilvl w:val="0"/>
          <w:numId w:val="11"/>
        </w:numPr>
        <w:spacing w:after="0" w:line="276" w:lineRule="auto"/>
      </w:pPr>
      <w:r>
        <w:t>a</w:t>
      </w:r>
      <w:r w:rsidR="004E2E6F" w:rsidRPr="00772295">
        <w:t>dvances in research, particularly stem cell research, artificial kidneys and increased patient participation in clinical trials</w:t>
      </w:r>
    </w:p>
    <w:p w14:paraId="3AC25D2F" w14:textId="73AFCAB8" w:rsidR="004E2E6F" w:rsidRPr="00C54AF4" w:rsidRDefault="00C54AF4" w:rsidP="00782640">
      <w:pPr>
        <w:pStyle w:val="ListParagraph"/>
        <w:numPr>
          <w:ilvl w:val="0"/>
          <w:numId w:val="11"/>
        </w:numPr>
        <w:spacing w:after="0" w:line="276" w:lineRule="auto"/>
        <w:sectPr w:rsidR="004E2E6F" w:rsidRPr="00C54AF4" w:rsidSect="00772295">
          <w:type w:val="continuous"/>
          <w:pgSz w:w="11906" w:h="16838"/>
          <w:pgMar w:top="1440" w:right="1440" w:bottom="1440" w:left="1440" w:header="708" w:footer="708" w:gutter="0"/>
          <w:cols w:space="567"/>
          <w:docGrid w:linePitch="360"/>
        </w:sectPr>
      </w:pPr>
      <w:r>
        <w:t>i</w:t>
      </w:r>
      <w:r w:rsidR="004E2E6F" w:rsidRPr="00772295">
        <w:t>mprovements in access to and quality of care in Aboriginal and Torres Strait Islander communitie</w:t>
      </w:r>
      <w:r>
        <w:t>s.</w:t>
      </w:r>
    </w:p>
    <w:p w14:paraId="4D7DA286" w14:textId="77777777" w:rsidR="004E2E6F" w:rsidRPr="00265748" w:rsidRDefault="004E2E6F" w:rsidP="00772295">
      <w:pPr>
        <w:pStyle w:val="Heading4"/>
        <w:spacing w:before="0" w:line="276" w:lineRule="auto"/>
      </w:pPr>
    </w:p>
    <w:p w14:paraId="4A895070" w14:textId="77777777" w:rsidR="00FF7BAC" w:rsidRDefault="00FF7BAC" w:rsidP="00010716">
      <w:pPr>
        <w:pStyle w:val="KidneyHeading3"/>
        <w:rPr>
          <w:color w:val="000000" w:themeColor="text1"/>
          <w:sz w:val="24"/>
          <w:szCs w:val="24"/>
        </w:rPr>
      </w:pPr>
      <w:bookmarkStart w:id="16" w:name="_Toc421528260"/>
    </w:p>
    <w:p w14:paraId="10DFB7ED" w14:textId="77777777" w:rsidR="00FF7BAC" w:rsidRDefault="00FF7BAC" w:rsidP="00010716">
      <w:pPr>
        <w:pStyle w:val="KidneyHeading3"/>
        <w:rPr>
          <w:color w:val="000000" w:themeColor="text1"/>
          <w:sz w:val="24"/>
          <w:szCs w:val="24"/>
        </w:rPr>
      </w:pPr>
    </w:p>
    <w:p w14:paraId="719FAD67" w14:textId="77777777" w:rsidR="00FF7BAC" w:rsidRDefault="00FF7BAC" w:rsidP="00010716">
      <w:pPr>
        <w:pStyle w:val="KidneyHeading3"/>
        <w:rPr>
          <w:color w:val="000000" w:themeColor="text1"/>
          <w:sz w:val="24"/>
          <w:szCs w:val="24"/>
        </w:rPr>
      </w:pPr>
    </w:p>
    <w:p w14:paraId="15CC2C00" w14:textId="77777777" w:rsidR="00FF7BAC" w:rsidRDefault="00FF7BAC" w:rsidP="00010716">
      <w:pPr>
        <w:pStyle w:val="KidneyHeading3"/>
        <w:rPr>
          <w:color w:val="000000" w:themeColor="text1"/>
          <w:sz w:val="24"/>
          <w:szCs w:val="24"/>
        </w:rPr>
      </w:pPr>
    </w:p>
    <w:p w14:paraId="54C0BEE9" w14:textId="77777777" w:rsidR="00FF7BAC" w:rsidRDefault="00FF7BAC" w:rsidP="00010716">
      <w:pPr>
        <w:pStyle w:val="KidneyHeading3"/>
        <w:rPr>
          <w:color w:val="000000" w:themeColor="text1"/>
          <w:sz w:val="24"/>
          <w:szCs w:val="24"/>
        </w:rPr>
      </w:pPr>
    </w:p>
    <w:p w14:paraId="0168D25B" w14:textId="77777777" w:rsidR="00FF7BAC" w:rsidRDefault="00FF7BAC" w:rsidP="00010716">
      <w:pPr>
        <w:pStyle w:val="KidneyHeading3"/>
        <w:rPr>
          <w:color w:val="000000" w:themeColor="text1"/>
          <w:sz w:val="24"/>
          <w:szCs w:val="24"/>
        </w:rPr>
      </w:pPr>
    </w:p>
    <w:p w14:paraId="2D5A9B24" w14:textId="77777777" w:rsidR="00FF7BAC" w:rsidRDefault="00FF7BAC" w:rsidP="00010716">
      <w:pPr>
        <w:pStyle w:val="KidneyHeading3"/>
        <w:rPr>
          <w:color w:val="000000" w:themeColor="text1"/>
          <w:sz w:val="24"/>
          <w:szCs w:val="24"/>
        </w:rPr>
      </w:pPr>
    </w:p>
    <w:p w14:paraId="67D0CF56" w14:textId="4534A21C" w:rsidR="004E2E6F" w:rsidRPr="00FF7BAC" w:rsidRDefault="004E2E6F" w:rsidP="00010716">
      <w:pPr>
        <w:pStyle w:val="KidneyHeading3"/>
        <w:rPr>
          <w:color w:val="000000" w:themeColor="text1"/>
          <w:sz w:val="24"/>
          <w:szCs w:val="24"/>
        </w:rPr>
      </w:pPr>
      <w:r w:rsidRPr="00FF7BAC">
        <w:rPr>
          <w:color w:val="000000" w:themeColor="text1"/>
          <w:sz w:val="24"/>
          <w:szCs w:val="24"/>
        </w:rPr>
        <w:lastRenderedPageBreak/>
        <w:t>Areas needing more progress in kidney health</w:t>
      </w:r>
      <w:bookmarkEnd w:id="16"/>
    </w:p>
    <w:p w14:paraId="50AEFC38" w14:textId="37322526" w:rsidR="004E2E6F" w:rsidRPr="00265748" w:rsidRDefault="004E2E6F" w:rsidP="00772295">
      <w:pPr>
        <w:spacing w:after="0" w:line="276" w:lineRule="auto"/>
      </w:pPr>
      <w:r w:rsidRPr="00265748">
        <w:t>Respondents were also asked to nominate up to five areas needing more progress. Many of the areas identified were similar to those nominated as areas of progress. These include</w:t>
      </w:r>
      <w:r w:rsidR="00C54AF4">
        <w:t>:</w:t>
      </w:r>
    </w:p>
    <w:p w14:paraId="51C2BF4F" w14:textId="77777777" w:rsidR="00C54AF4" w:rsidRDefault="00C54AF4" w:rsidP="00772295">
      <w:pPr>
        <w:spacing w:after="0" w:line="276" w:lineRule="auto"/>
        <w:rPr>
          <w:i/>
        </w:rPr>
      </w:pPr>
    </w:p>
    <w:p w14:paraId="640ED259" w14:textId="66A87C9E" w:rsidR="004E2E6F" w:rsidRPr="00265748" w:rsidRDefault="004E2E6F" w:rsidP="00010716">
      <w:pPr>
        <w:pStyle w:val="KidneyBodybold0"/>
      </w:pPr>
      <w:r w:rsidRPr="00265748">
        <w:t>Donation and transplant</w:t>
      </w:r>
    </w:p>
    <w:p w14:paraId="27A890A7" w14:textId="5B8D09D2" w:rsidR="004E2E6F" w:rsidRDefault="004E2E6F" w:rsidP="00772295">
      <w:pPr>
        <w:spacing w:after="0" w:line="276" w:lineRule="auto"/>
      </w:pPr>
      <w:r w:rsidRPr="00265748">
        <w:t xml:space="preserve">A significant number of responses related to changing the deceased donation system from </w:t>
      </w:r>
      <w:r w:rsidR="00C54AF4">
        <w:t>‘</w:t>
      </w:r>
      <w:r w:rsidRPr="00265748">
        <w:t>opt in</w:t>
      </w:r>
      <w:r w:rsidR="00C54AF4">
        <w:t>’</w:t>
      </w:r>
      <w:r w:rsidRPr="00265748">
        <w:t xml:space="preserve"> to </w:t>
      </w:r>
      <w:r w:rsidR="00C54AF4">
        <w:t>‘</w:t>
      </w:r>
      <w:r w:rsidRPr="00265748">
        <w:t>opt out</w:t>
      </w:r>
      <w:r w:rsidR="00C54AF4">
        <w:t>’</w:t>
      </w:r>
      <w:r w:rsidRPr="00265748">
        <w:t>. Other responses related to improvements in availability of organs, greater awareness of donation, transplant waiting times, transplant work up and outcomes and support for living donors.</w:t>
      </w:r>
    </w:p>
    <w:p w14:paraId="55CA75F4" w14:textId="77777777" w:rsidR="00772295" w:rsidRPr="00265748" w:rsidRDefault="00772295" w:rsidP="00772295">
      <w:pPr>
        <w:spacing w:after="0" w:line="276" w:lineRule="auto"/>
      </w:pPr>
    </w:p>
    <w:p w14:paraId="08C214DD" w14:textId="77777777" w:rsidR="004E2E6F" w:rsidRPr="00265748" w:rsidRDefault="004E2E6F" w:rsidP="00010716">
      <w:pPr>
        <w:pStyle w:val="KidneyBodybold0"/>
      </w:pPr>
      <w:r w:rsidRPr="00265748">
        <w:t>Research</w:t>
      </w:r>
    </w:p>
    <w:p w14:paraId="18A70C9F" w14:textId="77777777" w:rsidR="004E2E6F" w:rsidRDefault="004E2E6F" w:rsidP="00772295">
      <w:pPr>
        <w:spacing w:after="0" w:line="276" w:lineRule="auto"/>
      </w:pPr>
      <w:r w:rsidRPr="00265748">
        <w:t>Behind donation and transplantation, research was consistently identified as an area requiring more progress. Respondents nominated increased research funding in general as well as specific areas of research, such as stem cell research, artificial kidneys, preventions, symptom management and improvements in treatment. Respondents also identified a need for great consumer involvement in research.</w:t>
      </w:r>
    </w:p>
    <w:p w14:paraId="73282834" w14:textId="77777777" w:rsidR="00772295" w:rsidRPr="00265748" w:rsidRDefault="00772295" w:rsidP="00772295">
      <w:pPr>
        <w:spacing w:after="0" w:line="276" w:lineRule="auto"/>
      </w:pPr>
    </w:p>
    <w:p w14:paraId="5B9BFB4A" w14:textId="77777777" w:rsidR="004E2E6F" w:rsidRPr="00265748" w:rsidRDefault="004E2E6F" w:rsidP="00010716">
      <w:pPr>
        <w:pStyle w:val="KidneyBodybold0"/>
      </w:pPr>
      <w:r w:rsidRPr="00A02B36">
        <w:t>Awareness</w:t>
      </w:r>
      <w:r w:rsidRPr="00265748">
        <w:t xml:space="preserve"> and education</w:t>
      </w:r>
    </w:p>
    <w:p w14:paraId="5BCBC7AB" w14:textId="2F694F57" w:rsidR="004E2E6F" w:rsidRPr="00265748" w:rsidRDefault="00BB195A" w:rsidP="00C54AF4">
      <w:pPr>
        <w:spacing w:after="0" w:line="276" w:lineRule="auto"/>
        <w:sectPr w:rsidR="004E2E6F" w:rsidRPr="00265748" w:rsidSect="00772295">
          <w:type w:val="continuous"/>
          <w:pgSz w:w="11906" w:h="16838"/>
          <w:pgMar w:top="1440" w:right="1440" w:bottom="1440" w:left="1440" w:header="708" w:footer="708" w:gutter="0"/>
          <w:cols w:space="708"/>
          <w:docGrid w:linePitch="360"/>
        </w:sectPr>
      </w:pPr>
      <w:r w:rsidRPr="00BB195A">
        <w:t xml:space="preserve">Respondents </w:t>
      </w:r>
      <w:r w:rsidR="00AC67E6">
        <w:t>identified a need for</w:t>
      </w:r>
      <w:r w:rsidRPr="00BB195A">
        <w:t xml:space="preserve"> improvements in the following areas: </w:t>
      </w:r>
    </w:p>
    <w:p w14:paraId="33B7E4E1" w14:textId="77777777" w:rsidR="004E2E6F" w:rsidRPr="00265748" w:rsidRDefault="004E2E6F" w:rsidP="00782640">
      <w:pPr>
        <w:pStyle w:val="ListParagraph"/>
        <w:numPr>
          <w:ilvl w:val="0"/>
          <w:numId w:val="12"/>
        </w:numPr>
        <w:spacing w:after="0" w:line="276" w:lineRule="auto"/>
      </w:pPr>
      <w:r w:rsidRPr="00265748">
        <w:t>public awareness of CKD</w:t>
      </w:r>
    </w:p>
    <w:p w14:paraId="30D46BF3" w14:textId="77777777" w:rsidR="004E2E6F" w:rsidRPr="00265748" w:rsidRDefault="004E2E6F" w:rsidP="00782640">
      <w:pPr>
        <w:pStyle w:val="ListParagraph"/>
        <w:numPr>
          <w:ilvl w:val="0"/>
          <w:numId w:val="12"/>
        </w:numPr>
        <w:spacing w:after="0" w:line="276" w:lineRule="auto"/>
      </w:pPr>
      <w:r w:rsidRPr="00265748">
        <w:t>school based education</w:t>
      </w:r>
    </w:p>
    <w:p w14:paraId="603E0571" w14:textId="77777777" w:rsidR="004E2E6F" w:rsidRPr="00265748" w:rsidRDefault="004E2E6F" w:rsidP="00782640">
      <w:pPr>
        <w:pStyle w:val="ListParagraph"/>
        <w:numPr>
          <w:ilvl w:val="0"/>
          <w:numId w:val="12"/>
        </w:numPr>
        <w:spacing w:after="0" w:line="276" w:lineRule="auto"/>
      </w:pPr>
      <w:r w:rsidRPr="00265748">
        <w:t xml:space="preserve">early education for people with CKD and their families </w:t>
      </w:r>
    </w:p>
    <w:p w14:paraId="4663BAC9" w14:textId="77777777" w:rsidR="004E2E6F" w:rsidRPr="00265748" w:rsidRDefault="004E2E6F" w:rsidP="00782640">
      <w:pPr>
        <w:pStyle w:val="ListParagraph"/>
        <w:numPr>
          <w:ilvl w:val="0"/>
          <w:numId w:val="12"/>
        </w:numPr>
        <w:spacing w:after="0" w:line="276" w:lineRule="auto"/>
      </w:pPr>
      <w:r w:rsidRPr="00265748">
        <w:t>education about lifestyle modification, in particular diet</w:t>
      </w:r>
    </w:p>
    <w:p w14:paraId="7B0178B9" w14:textId="77777777" w:rsidR="004E2E6F" w:rsidRPr="00265748" w:rsidRDefault="004E2E6F" w:rsidP="00782640">
      <w:pPr>
        <w:pStyle w:val="ListParagraph"/>
        <w:numPr>
          <w:ilvl w:val="0"/>
          <w:numId w:val="12"/>
        </w:numPr>
        <w:spacing w:after="0" w:line="276" w:lineRule="auto"/>
      </w:pPr>
      <w:r w:rsidRPr="00265748">
        <w:t>pre dialysis education</w:t>
      </w:r>
    </w:p>
    <w:p w14:paraId="02814AE5" w14:textId="77777777" w:rsidR="004E2E6F" w:rsidRPr="00265748" w:rsidRDefault="004E2E6F" w:rsidP="00782640">
      <w:pPr>
        <w:pStyle w:val="ListParagraph"/>
        <w:numPr>
          <w:ilvl w:val="0"/>
          <w:numId w:val="12"/>
        </w:numPr>
        <w:spacing w:after="0" w:line="276" w:lineRule="auto"/>
      </w:pPr>
      <w:r w:rsidRPr="00265748">
        <w:t>education about treatment options</w:t>
      </w:r>
    </w:p>
    <w:p w14:paraId="3522E612" w14:textId="77777777" w:rsidR="004E2E6F" w:rsidRPr="00265748" w:rsidRDefault="004E2E6F" w:rsidP="00782640">
      <w:pPr>
        <w:pStyle w:val="ListParagraph"/>
        <w:numPr>
          <w:ilvl w:val="0"/>
          <w:numId w:val="12"/>
        </w:numPr>
        <w:spacing w:after="0" w:line="276" w:lineRule="auto"/>
      </w:pPr>
      <w:r w:rsidRPr="00265748">
        <w:t xml:space="preserve">education of health professionals to improve detection and </w:t>
      </w:r>
    </w:p>
    <w:p w14:paraId="796F0FB4" w14:textId="0E7FDC72" w:rsidR="00772295" w:rsidRDefault="004E2E6F" w:rsidP="00782640">
      <w:pPr>
        <w:pStyle w:val="ListParagraph"/>
        <w:numPr>
          <w:ilvl w:val="0"/>
          <w:numId w:val="12"/>
        </w:numPr>
        <w:spacing w:after="0" w:line="276" w:lineRule="auto"/>
        <w:sectPr w:rsidR="00772295" w:rsidSect="00772295">
          <w:type w:val="continuous"/>
          <w:pgSz w:w="11906" w:h="16838"/>
          <w:pgMar w:top="1440" w:right="1440" w:bottom="1440" w:left="1440" w:header="708" w:footer="708" w:gutter="0"/>
          <w:cols w:space="708"/>
          <w:docGrid w:linePitch="360"/>
        </w:sectPr>
      </w:pPr>
      <w:r w:rsidRPr="00265748">
        <w:t>more easily accessible/understandable patien</w:t>
      </w:r>
      <w:r w:rsidR="00C54AF4">
        <w:t>t education overall.</w:t>
      </w:r>
    </w:p>
    <w:p w14:paraId="369B9F4A" w14:textId="77777777" w:rsidR="00AC67E6" w:rsidRDefault="00AC67E6" w:rsidP="00772295">
      <w:pPr>
        <w:spacing w:after="0" w:line="276" w:lineRule="auto"/>
        <w:rPr>
          <w:i/>
        </w:rPr>
      </w:pPr>
    </w:p>
    <w:p w14:paraId="48EBAEC9" w14:textId="77777777" w:rsidR="004E2E6F" w:rsidRPr="00265748" w:rsidRDefault="004E2E6F" w:rsidP="00010716">
      <w:pPr>
        <w:pStyle w:val="KidneyBodybold0"/>
      </w:pPr>
      <w:r w:rsidRPr="00265748">
        <w:t xml:space="preserve">Dialysis </w:t>
      </w:r>
      <w:r w:rsidRPr="00A02B36">
        <w:t>access</w:t>
      </w:r>
    </w:p>
    <w:p w14:paraId="149D2C50" w14:textId="77777777" w:rsidR="004E2E6F" w:rsidRDefault="004E2E6F" w:rsidP="00772295">
      <w:pPr>
        <w:spacing w:after="0" w:line="276" w:lineRule="auto"/>
      </w:pPr>
      <w:r w:rsidRPr="00265748">
        <w:t>Respondents identified a need for better dialysis access, including more units in hospitals, dialysis closer to home, more dialysis in the home and appropriate support for home dialysis and access to dialysis while on holiday.</w:t>
      </w:r>
    </w:p>
    <w:p w14:paraId="730F7AB6" w14:textId="77777777" w:rsidR="00656860" w:rsidRPr="00265748" w:rsidRDefault="00656860" w:rsidP="00772295">
      <w:pPr>
        <w:spacing w:after="0" w:line="276" w:lineRule="auto"/>
      </w:pPr>
    </w:p>
    <w:p w14:paraId="072AD1C7" w14:textId="10BE6403" w:rsidR="00656860" w:rsidRPr="00265748" w:rsidRDefault="004E2E6F" w:rsidP="00010716">
      <w:pPr>
        <w:pStyle w:val="KidneyBodybold0"/>
      </w:pPr>
      <w:r w:rsidRPr="00265748">
        <w:t>Patient and carer support</w:t>
      </w:r>
    </w:p>
    <w:p w14:paraId="0A4CC465" w14:textId="77777777" w:rsidR="00656860" w:rsidRDefault="00656860" w:rsidP="00772295">
      <w:pPr>
        <w:spacing w:after="0" w:line="276" w:lineRule="auto"/>
        <w:sectPr w:rsidR="00656860" w:rsidSect="00772295">
          <w:type w:val="continuous"/>
          <w:pgSz w:w="11906" w:h="16838"/>
          <w:pgMar w:top="1440" w:right="1440" w:bottom="1440" w:left="1440" w:header="708" w:footer="708" w:gutter="0"/>
          <w:cols w:space="708"/>
          <w:docGrid w:linePitch="360"/>
        </w:sectPr>
      </w:pPr>
    </w:p>
    <w:p w14:paraId="53673ACB" w14:textId="77777777" w:rsidR="00AC67E6" w:rsidRPr="00265748" w:rsidRDefault="00AC67E6" w:rsidP="00B03236">
      <w:pPr>
        <w:spacing w:after="0" w:line="276" w:lineRule="auto"/>
        <w:sectPr w:rsidR="00AC67E6" w:rsidRPr="00265748" w:rsidSect="00772295">
          <w:type w:val="continuous"/>
          <w:pgSz w:w="11906" w:h="16838"/>
          <w:pgMar w:top="1440" w:right="1440" w:bottom="1440" w:left="1440" w:header="708" w:footer="708" w:gutter="0"/>
          <w:cols w:space="708"/>
          <w:docGrid w:linePitch="360"/>
        </w:sectPr>
      </w:pPr>
      <w:r w:rsidRPr="00BB195A">
        <w:t xml:space="preserve">Respondents </w:t>
      </w:r>
      <w:r>
        <w:t>identified a need for</w:t>
      </w:r>
      <w:r w:rsidRPr="00BB195A">
        <w:t xml:space="preserve"> improvements in the following areas: </w:t>
      </w:r>
    </w:p>
    <w:p w14:paraId="49968E1F" w14:textId="049E0C1A" w:rsidR="00772295" w:rsidRDefault="00C54AF4" w:rsidP="00782640">
      <w:pPr>
        <w:pStyle w:val="ListParagraph"/>
        <w:numPr>
          <w:ilvl w:val="0"/>
          <w:numId w:val="13"/>
        </w:numPr>
        <w:spacing w:after="0" w:line="276" w:lineRule="auto"/>
        <w:sectPr w:rsidR="00772295" w:rsidSect="00656860">
          <w:type w:val="continuous"/>
          <w:pgSz w:w="11906" w:h="16838"/>
          <w:pgMar w:top="1440" w:right="1440" w:bottom="1440" w:left="1440" w:header="708" w:footer="708" w:gutter="0"/>
          <w:cols w:space="708"/>
          <w:docGrid w:linePitch="360"/>
        </w:sectPr>
      </w:pPr>
      <w:r>
        <w:t>m</w:t>
      </w:r>
      <w:r w:rsidR="004E2E6F" w:rsidRPr="00265748">
        <w:t>en</w:t>
      </w:r>
      <w:r w:rsidR="00656860">
        <w:t>tal health/psychosocial support during all stages of CKD, including easier access to social workers and mental health</w:t>
      </w:r>
      <w:r w:rsidR="00286D3D">
        <w:t>care</w:t>
      </w:r>
      <w:r w:rsidR="00656860">
        <w:t xml:space="preserve"> professionals</w:t>
      </w:r>
    </w:p>
    <w:p w14:paraId="67836DBF" w14:textId="56DB62E4" w:rsidR="004E2E6F" w:rsidRPr="00265748" w:rsidRDefault="00C54AF4" w:rsidP="00782640">
      <w:pPr>
        <w:pStyle w:val="ListParagraph"/>
        <w:numPr>
          <w:ilvl w:val="0"/>
          <w:numId w:val="13"/>
        </w:numPr>
        <w:spacing w:after="0" w:line="276" w:lineRule="auto"/>
      </w:pPr>
      <w:r>
        <w:t>fi</w:t>
      </w:r>
      <w:r w:rsidR="004E2E6F" w:rsidRPr="00265748">
        <w:t>nancial support for patient and carers, including access to NDIS, medication subsidies</w:t>
      </w:r>
    </w:p>
    <w:p w14:paraId="381626AF" w14:textId="3F07E54D" w:rsidR="004E2E6F" w:rsidRPr="00265748" w:rsidRDefault="00C54AF4" w:rsidP="00782640">
      <w:pPr>
        <w:pStyle w:val="ListParagraph"/>
        <w:numPr>
          <w:ilvl w:val="0"/>
          <w:numId w:val="13"/>
        </w:numPr>
        <w:spacing w:after="0" w:line="276" w:lineRule="auto"/>
      </w:pPr>
      <w:r>
        <w:t>t</w:t>
      </w:r>
      <w:r w:rsidR="004E2E6F" w:rsidRPr="00265748">
        <w:t>ransport support for dialysis and transplant work up and post-transplant follow up</w:t>
      </w:r>
    </w:p>
    <w:p w14:paraId="44D6C970" w14:textId="3BD8B9F0" w:rsidR="004E2E6F" w:rsidRPr="00265748" w:rsidRDefault="00C54AF4" w:rsidP="00782640">
      <w:pPr>
        <w:pStyle w:val="ListParagraph"/>
        <w:numPr>
          <w:ilvl w:val="0"/>
          <w:numId w:val="13"/>
        </w:numPr>
        <w:spacing w:after="0" w:line="276" w:lineRule="auto"/>
      </w:pPr>
      <w:r>
        <w:t>a</w:t>
      </w:r>
      <w:r w:rsidR="004E2E6F" w:rsidRPr="00265748">
        <w:t>ccommodation support for those undergoing transplants</w:t>
      </w:r>
    </w:p>
    <w:p w14:paraId="7EFA9A8F" w14:textId="3CB6CCEF" w:rsidR="004E2E6F" w:rsidRPr="00265748" w:rsidRDefault="00C54AF4" w:rsidP="00782640">
      <w:pPr>
        <w:pStyle w:val="ListParagraph"/>
        <w:numPr>
          <w:ilvl w:val="0"/>
          <w:numId w:val="13"/>
        </w:numPr>
        <w:spacing w:after="0" w:line="276" w:lineRule="auto"/>
      </w:pPr>
      <w:r>
        <w:t>i</w:t>
      </w:r>
      <w:r w:rsidR="004E2E6F" w:rsidRPr="00265748">
        <w:t>n home support for home dialysis patient and carers</w:t>
      </w:r>
    </w:p>
    <w:p w14:paraId="07F0E06E" w14:textId="62E71CC3" w:rsidR="0053704D" w:rsidRDefault="00C54AF4" w:rsidP="00010716">
      <w:pPr>
        <w:pStyle w:val="ListBullet"/>
      </w:pPr>
      <w:r>
        <w:t>n</w:t>
      </w:r>
      <w:r w:rsidR="004E2E6F" w:rsidRPr="00265748">
        <w:t>ational patient and carer networks for peer to peer suppor</w:t>
      </w:r>
      <w:r w:rsidR="0053704D">
        <w:t xml:space="preserve">t </w:t>
      </w:r>
    </w:p>
    <w:p w14:paraId="3AC24043" w14:textId="0901BE24" w:rsidR="0053704D" w:rsidRDefault="0053704D" w:rsidP="00010716">
      <w:pPr>
        <w:pStyle w:val="ListBullet"/>
      </w:pPr>
      <w:r>
        <w:t>m</w:t>
      </w:r>
      <w:r w:rsidRPr="00265748">
        <w:t>ore support for paediatric to adult transition</w:t>
      </w:r>
      <w:r>
        <w:t xml:space="preserve"> w</w:t>
      </w:r>
      <w:r w:rsidRPr="00265748">
        <w:t>orkp</w:t>
      </w:r>
      <w:r>
        <w:t>lace support for people with CKD.</w:t>
      </w:r>
      <w:r w:rsidDel="00D73CB0">
        <w:t xml:space="preserve"> </w:t>
      </w:r>
    </w:p>
    <w:p w14:paraId="2E1D8D11" w14:textId="28B6290B" w:rsidR="0053704D" w:rsidRDefault="0053704D" w:rsidP="0053704D">
      <w:pPr>
        <w:spacing w:after="0" w:line="276" w:lineRule="auto"/>
      </w:pPr>
    </w:p>
    <w:p w14:paraId="6BC6A0B3" w14:textId="77777777" w:rsidR="003928D2" w:rsidRPr="00B03236" w:rsidRDefault="003928D2" w:rsidP="003928D2">
      <w:pPr>
        <w:pStyle w:val="KidneyBodybold0"/>
      </w:pPr>
      <w:r w:rsidRPr="00B03236">
        <w:t>Quality of care</w:t>
      </w:r>
    </w:p>
    <w:p w14:paraId="3E0FF39B" w14:textId="77777777" w:rsidR="003928D2" w:rsidRPr="00265748" w:rsidRDefault="003928D2" w:rsidP="003928D2">
      <w:pPr>
        <w:spacing w:after="0" w:line="276" w:lineRule="auto"/>
      </w:pPr>
      <w:r w:rsidRPr="00BB195A">
        <w:t xml:space="preserve">Respondents </w:t>
      </w:r>
      <w:r>
        <w:t>identified a need for</w:t>
      </w:r>
      <w:r w:rsidRPr="00BB195A">
        <w:t xml:space="preserve"> improvements in the following areas</w:t>
      </w:r>
      <w:r>
        <w:t>:</w:t>
      </w:r>
    </w:p>
    <w:p w14:paraId="05014F76" w14:textId="77777777" w:rsidR="003928D2" w:rsidRPr="00265748" w:rsidRDefault="003928D2" w:rsidP="00782640">
      <w:pPr>
        <w:pStyle w:val="ListParagraph"/>
        <w:numPr>
          <w:ilvl w:val="0"/>
          <w:numId w:val="14"/>
        </w:numPr>
        <w:spacing w:after="0" w:line="276" w:lineRule="auto"/>
      </w:pPr>
      <w:r>
        <w:t>m</w:t>
      </w:r>
      <w:r w:rsidRPr="00265748">
        <w:t>ore continuity of care</w:t>
      </w:r>
    </w:p>
    <w:p w14:paraId="1E5226A7" w14:textId="77777777" w:rsidR="003928D2" w:rsidRPr="00265748" w:rsidRDefault="003928D2" w:rsidP="00782640">
      <w:pPr>
        <w:pStyle w:val="ListParagraph"/>
        <w:numPr>
          <w:ilvl w:val="0"/>
          <w:numId w:val="14"/>
        </w:numPr>
        <w:spacing w:after="0" w:line="276" w:lineRule="auto"/>
      </w:pPr>
      <w:r>
        <w:t>be</w:t>
      </w:r>
      <w:r w:rsidRPr="00265748">
        <w:t>tter communication between the various health professionals providing carer</w:t>
      </w:r>
    </w:p>
    <w:p w14:paraId="50A1A4C4" w14:textId="3E42E303" w:rsidR="003928D2" w:rsidRPr="00265748" w:rsidRDefault="003928D2" w:rsidP="00782640">
      <w:pPr>
        <w:pStyle w:val="ListParagraph"/>
        <w:numPr>
          <w:ilvl w:val="0"/>
          <w:numId w:val="14"/>
        </w:numPr>
        <w:spacing w:after="0" w:line="276" w:lineRule="auto"/>
      </w:pPr>
      <w:r>
        <w:t>b</w:t>
      </w:r>
      <w:r w:rsidRPr="00265748">
        <w:t>etter communication between health</w:t>
      </w:r>
      <w:r w:rsidR="00286D3D">
        <w:t>care</w:t>
      </w:r>
      <w:r w:rsidRPr="00265748">
        <w:t xml:space="preserve"> professionals and patients</w:t>
      </w:r>
    </w:p>
    <w:p w14:paraId="643AD3B5" w14:textId="77777777" w:rsidR="003928D2" w:rsidRPr="00265748" w:rsidRDefault="003928D2" w:rsidP="00782640">
      <w:pPr>
        <w:pStyle w:val="ListParagraph"/>
        <w:numPr>
          <w:ilvl w:val="0"/>
          <w:numId w:val="14"/>
        </w:numPr>
        <w:spacing w:after="0" w:line="276" w:lineRule="auto"/>
      </w:pPr>
      <w:r>
        <w:t>i</w:t>
      </w:r>
      <w:r w:rsidRPr="00265748">
        <w:t>ncreased treatment choices</w:t>
      </w:r>
    </w:p>
    <w:p w14:paraId="3FD8C529" w14:textId="77777777" w:rsidR="003928D2" w:rsidRPr="00265748" w:rsidRDefault="003928D2" w:rsidP="00782640">
      <w:pPr>
        <w:pStyle w:val="ListParagraph"/>
        <w:numPr>
          <w:ilvl w:val="0"/>
          <w:numId w:val="14"/>
        </w:numPr>
        <w:spacing w:after="0" w:line="276" w:lineRule="auto"/>
      </w:pPr>
      <w:r>
        <w:lastRenderedPageBreak/>
        <w:t>i</w:t>
      </w:r>
      <w:r w:rsidRPr="00265748">
        <w:t>mproved symptom management</w:t>
      </w:r>
    </w:p>
    <w:p w14:paraId="7A1079C7" w14:textId="77777777" w:rsidR="003928D2" w:rsidRDefault="003928D2" w:rsidP="00782640">
      <w:pPr>
        <w:pStyle w:val="ListParagraph"/>
        <w:numPr>
          <w:ilvl w:val="0"/>
          <w:numId w:val="14"/>
        </w:numPr>
        <w:spacing w:after="0" w:line="276" w:lineRule="auto"/>
      </w:pPr>
      <w:r>
        <w:t>b</w:t>
      </w:r>
      <w:r w:rsidRPr="00265748">
        <w:t>etter access to dieticians to help manage early stage disease and during dialysis</w:t>
      </w:r>
    </w:p>
    <w:p w14:paraId="6F514ECE" w14:textId="651CB6DC" w:rsidR="003928D2" w:rsidRDefault="003928D2" w:rsidP="0053704D">
      <w:pPr>
        <w:spacing w:after="0" w:line="276" w:lineRule="auto"/>
      </w:pPr>
    </w:p>
    <w:p w14:paraId="60ECAD43" w14:textId="12E5691C" w:rsidR="003928D2" w:rsidRPr="00265748" w:rsidRDefault="003928D2" w:rsidP="003928D2">
      <w:pPr>
        <w:pStyle w:val="KidneyBodybold0"/>
      </w:pPr>
      <w:r w:rsidRPr="00A02B36">
        <w:t>Prevention</w:t>
      </w:r>
      <w:r w:rsidRPr="00265748">
        <w:t xml:space="preserve"> and </w:t>
      </w:r>
      <w:r w:rsidRPr="00A02B36">
        <w:t>detection</w:t>
      </w:r>
    </w:p>
    <w:p w14:paraId="72BFCDE3" w14:textId="77777777" w:rsidR="003928D2" w:rsidRDefault="003928D2" w:rsidP="003928D2">
      <w:pPr>
        <w:spacing w:after="0" w:line="276" w:lineRule="auto"/>
      </w:pPr>
      <w:r w:rsidRPr="00265748">
        <w:t xml:space="preserve">The key theme of responses related to prevention was the need to reduce salt and sugar in food, including the introduction of a sugar tax. Others areas nominated including an increased focus on the social determinants of health, the need for early access to allied healthcare such as dieticians and counsellors to support lifestyle modification and education. A number of respondents identified a need for government funded access to </w:t>
      </w:r>
      <w:r>
        <w:t>invitro fertilisation</w:t>
      </w:r>
      <w:r w:rsidRPr="00265748">
        <w:t xml:space="preserve"> and pre-implantation testing for people carrying inherited kidney diseases.</w:t>
      </w:r>
    </w:p>
    <w:p w14:paraId="434A628B" w14:textId="77777777" w:rsidR="003928D2" w:rsidRPr="00265748" w:rsidRDefault="003928D2" w:rsidP="003928D2">
      <w:pPr>
        <w:spacing w:after="0" w:line="276" w:lineRule="auto"/>
      </w:pPr>
    </w:p>
    <w:p w14:paraId="17B349B0" w14:textId="77777777" w:rsidR="003928D2" w:rsidRDefault="003928D2" w:rsidP="003928D2">
      <w:pPr>
        <w:spacing w:after="0" w:line="276" w:lineRule="auto"/>
      </w:pPr>
      <w:r w:rsidRPr="00265748">
        <w:t xml:space="preserve">Within the theme of detection, responses related to the need for better detection in primary care, including ongoing monitoring of </w:t>
      </w:r>
      <w:proofErr w:type="gramStart"/>
      <w:r w:rsidRPr="00265748">
        <w:t>at risk</w:t>
      </w:r>
      <w:proofErr w:type="gramEnd"/>
      <w:r w:rsidRPr="00265748">
        <w:t xml:space="preserve"> patients and increased testing. Responses also related to the need for better detection of inherited di</w:t>
      </w:r>
      <w:r>
        <w:t xml:space="preserve">sease through genetic testing. </w:t>
      </w:r>
    </w:p>
    <w:p w14:paraId="541E9A96" w14:textId="77777777" w:rsidR="003928D2" w:rsidRDefault="003928D2" w:rsidP="003928D2">
      <w:pPr>
        <w:spacing w:after="0" w:line="276" w:lineRule="auto"/>
        <w:rPr>
          <w:i/>
        </w:rPr>
      </w:pPr>
    </w:p>
    <w:p w14:paraId="351D486E" w14:textId="77777777" w:rsidR="003928D2" w:rsidRPr="00265748" w:rsidRDefault="003928D2" w:rsidP="003928D2">
      <w:pPr>
        <w:pStyle w:val="KidneyBodybold0"/>
      </w:pPr>
      <w:r w:rsidRPr="00265748">
        <w:t>Rural and remote and Aboriginal and Torres Strait Islander care</w:t>
      </w:r>
    </w:p>
    <w:p w14:paraId="3F7078EE" w14:textId="77777777" w:rsidR="003928D2" w:rsidRDefault="003928D2" w:rsidP="003928D2">
      <w:pPr>
        <w:spacing w:after="0" w:line="276" w:lineRule="auto"/>
      </w:pPr>
      <w:r w:rsidRPr="00265748">
        <w:t>Respondents identified a need for increased resources in rural and remote areas, including increased access to dialysis and staff such as specialists, nurses, mental health professionals, social workers and allied health. A key theme of responses was equity for rural and remote patients.</w:t>
      </w:r>
    </w:p>
    <w:p w14:paraId="58DC1B8D" w14:textId="77777777" w:rsidR="003928D2" w:rsidRPr="00265748" w:rsidRDefault="003928D2" w:rsidP="003928D2">
      <w:pPr>
        <w:spacing w:after="0" w:line="276" w:lineRule="auto"/>
      </w:pPr>
    </w:p>
    <w:p w14:paraId="0F19C8F1" w14:textId="77777777" w:rsidR="003928D2" w:rsidRPr="00265748" w:rsidRDefault="003928D2" w:rsidP="003928D2">
      <w:pPr>
        <w:spacing w:after="0" w:line="276" w:lineRule="auto"/>
      </w:pPr>
      <w:r w:rsidRPr="00265748">
        <w:t>In addition, respondents identified a number of key areas requiring improvement related to Aboriginal and Torres Strait Islander health. These include</w:t>
      </w:r>
      <w:r>
        <w:t>:</w:t>
      </w:r>
    </w:p>
    <w:p w14:paraId="6B3E7B6C" w14:textId="77777777" w:rsidR="003928D2" w:rsidRPr="00265748" w:rsidRDefault="003928D2" w:rsidP="00782640">
      <w:pPr>
        <w:pStyle w:val="ListParagraph"/>
        <w:numPr>
          <w:ilvl w:val="0"/>
          <w:numId w:val="15"/>
        </w:numPr>
        <w:spacing w:after="0" w:line="276" w:lineRule="auto"/>
      </w:pPr>
      <w:r>
        <w:t>p</w:t>
      </w:r>
      <w:r w:rsidRPr="00265748">
        <w:t>roviding culturally safe care and greater involvement of communities in developing and delivering models of care</w:t>
      </w:r>
    </w:p>
    <w:p w14:paraId="5711CF13" w14:textId="77777777" w:rsidR="003928D2" w:rsidRPr="00265748" w:rsidRDefault="003928D2" w:rsidP="00782640">
      <w:pPr>
        <w:pStyle w:val="ListParagraph"/>
        <w:numPr>
          <w:ilvl w:val="0"/>
          <w:numId w:val="15"/>
        </w:numPr>
        <w:spacing w:after="0" w:line="276" w:lineRule="auto"/>
      </w:pPr>
      <w:r>
        <w:t>i</w:t>
      </w:r>
      <w:r w:rsidRPr="00265748">
        <w:t>ncreasing the Aboriginal and Torres Strait Islander health workforce</w:t>
      </w:r>
    </w:p>
    <w:p w14:paraId="6141FB05" w14:textId="77777777" w:rsidR="003928D2" w:rsidRPr="00265748" w:rsidRDefault="003928D2" w:rsidP="00782640">
      <w:pPr>
        <w:pStyle w:val="ListParagraph"/>
        <w:numPr>
          <w:ilvl w:val="0"/>
          <w:numId w:val="15"/>
        </w:numPr>
        <w:spacing w:after="0" w:line="276" w:lineRule="auto"/>
      </w:pPr>
      <w:r>
        <w:t>a</w:t>
      </w:r>
      <w:r w:rsidRPr="00265748">
        <w:t>ddressing the social determinants of health</w:t>
      </w:r>
    </w:p>
    <w:p w14:paraId="3B47D6F8" w14:textId="77777777" w:rsidR="003928D2" w:rsidRDefault="003928D2" w:rsidP="00782640">
      <w:pPr>
        <w:pStyle w:val="ListParagraph"/>
        <w:numPr>
          <w:ilvl w:val="0"/>
          <w:numId w:val="15"/>
        </w:numPr>
        <w:spacing w:after="0" w:line="276" w:lineRule="auto"/>
      </w:pPr>
      <w:r>
        <w:t>a</w:t>
      </w:r>
      <w:r w:rsidRPr="00265748">
        <w:t>dditional funding for Aboriginal and Torres Strait Islander Health Services</w:t>
      </w:r>
      <w:r>
        <w:t>.</w:t>
      </w:r>
    </w:p>
    <w:p w14:paraId="19A00199" w14:textId="77777777" w:rsidR="003928D2" w:rsidRDefault="003928D2" w:rsidP="0053704D">
      <w:pPr>
        <w:spacing w:after="0" w:line="276" w:lineRule="auto"/>
      </w:pPr>
    </w:p>
    <w:p w14:paraId="1FB96472" w14:textId="77777777" w:rsidR="003928D2" w:rsidRPr="00FF7BAC" w:rsidRDefault="003928D2" w:rsidP="003928D2">
      <w:pPr>
        <w:pStyle w:val="KidneyHeading3"/>
        <w:rPr>
          <w:color w:val="000000" w:themeColor="text1"/>
          <w:sz w:val="24"/>
          <w:szCs w:val="24"/>
        </w:rPr>
      </w:pPr>
      <w:r w:rsidRPr="00FF7BAC">
        <w:rPr>
          <w:color w:val="000000" w:themeColor="text1"/>
          <w:sz w:val="24"/>
          <w:szCs w:val="24"/>
        </w:rPr>
        <w:t>Actions for inclusion in the Action Plan</w:t>
      </w:r>
    </w:p>
    <w:p w14:paraId="264F323F" w14:textId="77777777" w:rsidR="003928D2" w:rsidRDefault="003928D2" w:rsidP="003928D2">
      <w:pPr>
        <w:spacing w:after="0" w:line="276" w:lineRule="auto"/>
      </w:pPr>
      <w:r w:rsidRPr="00265748">
        <w:t>Respondents were asked to nominate the action they would most like to see included in the action plan. The actions nominated unsurprisingly reflect the areas identified as in need of more progress above. These include</w:t>
      </w:r>
      <w:r>
        <w:t>:</w:t>
      </w:r>
    </w:p>
    <w:p w14:paraId="474763A4" w14:textId="77777777" w:rsidR="003928D2" w:rsidRPr="00265748" w:rsidRDefault="003928D2" w:rsidP="003928D2">
      <w:pPr>
        <w:spacing w:after="0" w:line="276" w:lineRule="auto"/>
      </w:pPr>
    </w:p>
    <w:p w14:paraId="18C672BB" w14:textId="77777777" w:rsidR="003928D2" w:rsidRPr="00265748" w:rsidRDefault="003928D2" w:rsidP="00782640">
      <w:pPr>
        <w:pStyle w:val="ListParagraph"/>
        <w:numPr>
          <w:ilvl w:val="0"/>
          <w:numId w:val="16"/>
        </w:numPr>
        <w:spacing w:after="0" w:line="276" w:lineRule="auto"/>
      </w:pPr>
      <w:r w:rsidRPr="00265748">
        <w:t>Donation and transplantation initiatives – in particular a move to an opt out deceased donation system</w:t>
      </w:r>
      <w:r>
        <w:t>.</w:t>
      </w:r>
    </w:p>
    <w:p w14:paraId="102C35D8" w14:textId="77777777" w:rsidR="003928D2" w:rsidRPr="00265748" w:rsidRDefault="003928D2" w:rsidP="00782640">
      <w:pPr>
        <w:pStyle w:val="ListParagraph"/>
        <w:numPr>
          <w:ilvl w:val="0"/>
          <w:numId w:val="16"/>
        </w:numPr>
        <w:spacing w:after="0" w:line="276" w:lineRule="auto"/>
      </w:pPr>
      <w:r w:rsidRPr="00265748">
        <w:t>Research – in particular stem cell and artificial kidney research as well as improved treatments.</w:t>
      </w:r>
    </w:p>
    <w:p w14:paraId="0B1A6501" w14:textId="77777777" w:rsidR="003928D2" w:rsidRPr="00265748" w:rsidRDefault="003928D2" w:rsidP="00782640">
      <w:pPr>
        <w:pStyle w:val="ListParagraph"/>
        <w:numPr>
          <w:ilvl w:val="0"/>
          <w:numId w:val="16"/>
        </w:numPr>
        <w:spacing w:after="0" w:line="276" w:lineRule="auto"/>
      </w:pPr>
      <w:r w:rsidRPr="00265748">
        <w:t>Awareness and education programs – for the general public, school children, people with CKD and carers and primary care</w:t>
      </w:r>
      <w:r>
        <w:t>.</w:t>
      </w:r>
    </w:p>
    <w:p w14:paraId="0EA1A06C" w14:textId="270BD251" w:rsidR="003928D2" w:rsidRPr="00265748" w:rsidRDefault="003928D2" w:rsidP="00782640">
      <w:pPr>
        <w:pStyle w:val="ListParagraph"/>
        <w:numPr>
          <w:ilvl w:val="0"/>
          <w:numId w:val="16"/>
        </w:numPr>
        <w:spacing w:after="0" w:line="276" w:lineRule="auto"/>
      </w:pPr>
      <w:r w:rsidRPr="00265748">
        <w:t>Prevention and detection – in particular a focus on reducing salt and sugar in food and improved access to lifestyle modification programs and supporting health professionals such as dieticians</w:t>
      </w:r>
      <w:r w:rsidR="00286D3D">
        <w:t>.</w:t>
      </w:r>
    </w:p>
    <w:p w14:paraId="69940687" w14:textId="77777777" w:rsidR="003928D2" w:rsidRPr="00265748" w:rsidRDefault="003928D2" w:rsidP="00782640">
      <w:pPr>
        <w:pStyle w:val="ListParagraph"/>
        <w:numPr>
          <w:ilvl w:val="0"/>
          <w:numId w:val="16"/>
        </w:numPr>
        <w:spacing w:after="0" w:line="276" w:lineRule="auto"/>
      </w:pPr>
      <w:r w:rsidRPr="00265748">
        <w:t>Financial and psychosocial support programs – including access to carer’s allowance, NDIS, mental health and social worker support, transport and accommodation subsidies, peer support</w:t>
      </w:r>
      <w:r>
        <w:t>.</w:t>
      </w:r>
    </w:p>
    <w:p w14:paraId="6ECB6B31" w14:textId="77777777" w:rsidR="003928D2" w:rsidRPr="00265748" w:rsidRDefault="003928D2" w:rsidP="00782640">
      <w:pPr>
        <w:pStyle w:val="ListParagraph"/>
        <w:numPr>
          <w:ilvl w:val="0"/>
          <w:numId w:val="16"/>
        </w:numPr>
        <w:spacing w:after="0" w:line="276" w:lineRule="auto"/>
      </w:pPr>
      <w:r w:rsidRPr="00265748">
        <w:t>Increased focus on research – including stem cell and artificial kidneys, symptom management, prevention and increased consumer involvement in research</w:t>
      </w:r>
      <w:r>
        <w:t>.</w:t>
      </w:r>
    </w:p>
    <w:p w14:paraId="0CDC2433" w14:textId="77777777" w:rsidR="003928D2" w:rsidRPr="00265748" w:rsidRDefault="003928D2" w:rsidP="00782640">
      <w:pPr>
        <w:pStyle w:val="ListParagraph"/>
        <w:numPr>
          <w:ilvl w:val="0"/>
          <w:numId w:val="16"/>
        </w:numPr>
        <w:spacing w:after="0" w:line="276" w:lineRule="auto"/>
      </w:pPr>
      <w:r w:rsidRPr="00265748">
        <w:t>Improved quality of care – in particular greater continuity of care, consistency of care, better communication, and a focus on quality of life</w:t>
      </w:r>
      <w:r>
        <w:t>.</w:t>
      </w:r>
    </w:p>
    <w:p w14:paraId="7465737E" w14:textId="77777777" w:rsidR="003928D2" w:rsidRPr="00265748" w:rsidRDefault="003928D2" w:rsidP="00782640">
      <w:pPr>
        <w:pStyle w:val="ListParagraph"/>
        <w:numPr>
          <w:ilvl w:val="0"/>
          <w:numId w:val="16"/>
        </w:numPr>
        <w:spacing w:after="0" w:line="276" w:lineRule="auto"/>
      </w:pPr>
      <w:r w:rsidRPr="00265748">
        <w:t>Aboriginal and Torres Strait Islander care – with a focus on addressing the social determinants of health, community led care, cultural safety and culturally appropriate care</w:t>
      </w:r>
      <w:r>
        <w:t>.</w:t>
      </w:r>
    </w:p>
    <w:p w14:paraId="730CA71A" w14:textId="77777777" w:rsidR="003928D2" w:rsidRPr="00265748" w:rsidRDefault="003928D2" w:rsidP="00782640">
      <w:pPr>
        <w:pStyle w:val="ListParagraph"/>
        <w:numPr>
          <w:ilvl w:val="0"/>
          <w:numId w:val="16"/>
        </w:numPr>
        <w:spacing w:after="0" w:line="276" w:lineRule="auto"/>
      </w:pPr>
      <w:r w:rsidRPr="00265748">
        <w:t>Rural and remote care – such as dialysis access closer to home and reducing the disparity between the quality of rural and metropolitan care</w:t>
      </w:r>
      <w:r>
        <w:t>.</w:t>
      </w:r>
    </w:p>
    <w:p w14:paraId="477373E0" w14:textId="77777777" w:rsidR="003928D2" w:rsidRDefault="003928D2" w:rsidP="003928D2">
      <w:pPr>
        <w:spacing w:after="0" w:line="276" w:lineRule="auto"/>
      </w:pPr>
    </w:p>
    <w:p w14:paraId="333133B7" w14:textId="77777777" w:rsidR="003928D2" w:rsidRPr="00233324" w:rsidRDefault="003928D2" w:rsidP="003928D2">
      <w:pPr>
        <w:spacing w:after="0" w:line="276" w:lineRule="auto"/>
      </w:pPr>
      <w:r w:rsidRPr="00265748">
        <w:lastRenderedPageBreak/>
        <w:t>Themes underpinning these proposed actions were the need for increased resources to address kidney disease, the importance of nationally consistent and equitable care and a patient centred approach to programs</w:t>
      </w:r>
      <w:r>
        <w:t>.</w:t>
      </w:r>
    </w:p>
    <w:p w14:paraId="18FB1B0C" w14:textId="0B38CE6F" w:rsidR="003928D2" w:rsidRDefault="003928D2" w:rsidP="0053704D">
      <w:pPr>
        <w:spacing w:after="0" w:line="276" w:lineRule="auto"/>
      </w:pPr>
    </w:p>
    <w:p w14:paraId="4112E0C9" w14:textId="77777777" w:rsidR="003928D2" w:rsidRPr="00E1017A" w:rsidRDefault="003928D2" w:rsidP="003928D2">
      <w:pPr>
        <w:pStyle w:val="KidneyHeading"/>
        <w:rPr>
          <w:color w:val="C00000"/>
          <w:sz w:val="28"/>
        </w:rPr>
      </w:pPr>
      <w:r w:rsidRPr="00E1017A">
        <w:rPr>
          <w:color w:val="C00000"/>
          <w:sz w:val="28"/>
        </w:rPr>
        <w:t>Discussion</w:t>
      </w:r>
    </w:p>
    <w:p w14:paraId="0C4654B4" w14:textId="7A329977" w:rsidR="003928D2" w:rsidRDefault="003928D2" w:rsidP="003928D2">
      <w:pPr>
        <w:spacing w:after="0" w:line="276" w:lineRule="auto"/>
      </w:pPr>
      <w:r w:rsidRPr="00265748">
        <w:t xml:space="preserve">The findings from the survey </w:t>
      </w:r>
      <w:r>
        <w:t>informed</w:t>
      </w:r>
      <w:r w:rsidRPr="00265748">
        <w:t xml:space="preserve"> the Action Plan for Kidney Disease. The considerable response to the survey demonstrates the kidney community’s high level of engagement and investment in the Action Plan and the results of the survey indicate support for the broad priorities and actions propose. The findings also suggest that greater emphasis should be placed on a number of key areas. These in include</w:t>
      </w:r>
      <w:r>
        <w:t>:</w:t>
      </w:r>
    </w:p>
    <w:p w14:paraId="012C38BD" w14:textId="77777777" w:rsidR="003928D2" w:rsidRPr="00265748" w:rsidRDefault="003928D2" w:rsidP="003928D2">
      <w:pPr>
        <w:spacing w:after="0" w:line="276" w:lineRule="auto"/>
      </w:pPr>
    </w:p>
    <w:p w14:paraId="188958BE" w14:textId="77777777" w:rsidR="003928D2" w:rsidRPr="00265748" w:rsidRDefault="003928D2" w:rsidP="003928D2">
      <w:pPr>
        <w:pStyle w:val="KidneyBodybold0"/>
      </w:pPr>
      <w:r w:rsidRPr="00265748">
        <w:t xml:space="preserve">Awareness, </w:t>
      </w:r>
      <w:r>
        <w:t>e</w:t>
      </w:r>
      <w:r w:rsidRPr="00265748">
        <w:t xml:space="preserve">ducation and </w:t>
      </w:r>
      <w:r>
        <w:t>e</w:t>
      </w:r>
      <w:r w:rsidRPr="00265748">
        <w:t>arly detection</w:t>
      </w:r>
    </w:p>
    <w:p w14:paraId="681E3FB2" w14:textId="77777777" w:rsidR="003928D2" w:rsidRPr="00265748" w:rsidRDefault="003928D2" w:rsidP="003928D2">
      <w:pPr>
        <w:spacing w:after="0" w:line="276" w:lineRule="auto"/>
      </w:pPr>
      <w:r w:rsidRPr="00265748">
        <w:t>Raising awareness of kidney disease needs to include both broad community awareness raising and targeted campaigns to reach at risk population groups. Respondents noted a lack of understanding of the function of the kidneys and the seriousness of disease before being diagnosed with CKD. Many unfavourably compared the high levels of community knowledge of and attitudes to cancer with the overwhelming lack of awareness of kidney disease, one respondent suggesting the need to “make kidney disease as scary as cancer is” in the community. Respondents also nominated school</w:t>
      </w:r>
      <w:r>
        <w:t>-</w:t>
      </w:r>
      <w:r w:rsidRPr="00265748">
        <w:t>based education as a key component of awareness raising.</w:t>
      </w:r>
    </w:p>
    <w:p w14:paraId="6B7E90BA" w14:textId="77777777" w:rsidR="003928D2" w:rsidRDefault="003928D2" w:rsidP="003928D2">
      <w:pPr>
        <w:spacing w:after="0" w:line="276" w:lineRule="auto"/>
      </w:pPr>
    </w:p>
    <w:p w14:paraId="718317DE" w14:textId="77777777" w:rsidR="003928D2" w:rsidRDefault="003928D2" w:rsidP="003928D2">
      <w:pPr>
        <w:spacing w:after="0" w:line="276" w:lineRule="auto"/>
      </w:pPr>
      <w:r w:rsidRPr="00265748">
        <w:t>Beyond broad community programs, respondents stressed the need for ongoing education about kidney disease to help manage the condition at every stage and help them make informed decisions about care. In addition, more education for primary care practitioners is key to increasing early detection.</w:t>
      </w:r>
    </w:p>
    <w:p w14:paraId="4D3799DB" w14:textId="77777777" w:rsidR="003928D2" w:rsidRPr="00265748" w:rsidRDefault="003928D2" w:rsidP="003928D2">
      <w:pPr>
        <w:spacing w:after="0" w:line="276" w:lineRule="auto"/>
      </w:pPr>
    </w:p>
    <w:p w14:paraId="69164A49" w14:textId="77777777" w:rsidR="003928D2" w:rsidRPr="00265748" w:rsidRDefault="003928D2" w:rsidP="003928D2">
      <w:pPr>
        <w:pStyle w:val="KidneyBodybold0"/>
      </w:pPr>
      <w:r w:rsidRPr="00265748">
        <w:t>A national approach and equitable access to care and support</w:t>
      </w:r>
    </w:p>
    <w:p w14:paraId="172CC9A9" w14:textId="77777777" w:rsidR="003928D2" w:rsidRDefault="003928D2" w:rsidP="003928D2">
      <w:pPr>
        <w:spacing w:after="0" w:line="276" w:lineRule="auto"/>
      </w:pPr>
      <w:r w:rsidRPr="00265748">
        <w:t xml:space="preserve">Responses identified significant disparities in access to and the quality of care across Australia. Differences in resources allocated, models of care and support programs across the various states and territories results in often marked differences in the care delivered to people with kidney disease, particularly in rural and remote communities. This includes support programs, such as patient transport and accommodation assistance schemes, utilities subsidies and home support. Beyond state and territory boundaries, there are perceptions of inconsistencies between the care delivered in different hospitals and primary care settings, with quality varying dependent on individual physicians. These variations highlight the need for nationally consistent standards of care and equity in the range of </w:t>
      </w:r>
      <w:proofErr w:type="gramStart"/>
      <w:r w:rsidRPr="00265748">
        <w:t>state based</w:t>
      </w:r>
      <w:proofErr w:type="gramEnd"/>
      <w:r w:rsidRPr="00265748">
        <w:t xml:space="preserve"> support programs.</w:t>
      </w:r>
    </w:p>
    <w:p w14:paraId="2C410487" w14:textId="77777777" w:rsidR="003928D2" w:rsidRPr="00265748" w:rsidRDefault="003928D2" w:rsidP="003928D2">
      <w:pPr>
        <w:spacing w:after="0" w:line="276" w:lineRule="auto"/>
      </w:pPr>
    </w:p>
    <w:p w14:paraId="5557885B" w14:textId="77777777" w:rsidR="003928D2" w:rsidRPr="00265748" w:rsidRDefault="003928D2" w:rsidP="003928D2">
      <w:pPr>
        <w:pStyle w:val="KidneyBodybold0"/>
      </w:pPr>
      <w:r w:rsidRPr="00265748">
        <w:t>Improved support</w:t>
      </w:r>
    </w:p>
    <w:p w14:paraId="1A16F8AE" w14:textId="77777777" w:rsidR="003928D2" w:rsidRDefault="003928D2" w:rsidP="003928D2">
      <w:pPr>
        <w:spacing w:after="0" w:line="276" w:lineRule="auto"/>
      </w:pPr>
      <w:r w:rsidRPr="00265748">
        <w:t xml:space="preserve">The need for better support for people with kidney disease and carers was consistently raised throughout the survey. Respondents stressed the financial and mental toll of CKD on patients, carers and families exacerbated by a lack of access to the National Disability Scheme and the carer allowance. End stage kidney disease </w:t>
      </w:r>
      <w:r>
        <w:t xml:space="preserve">(ESKD) </w:t>
      </w:r>
      <w:r w:rsidRPr="00265748">
        <w:t xml:space="preserve">appears to fall between the cracks in financial support programs, with program criteria failing to take into account the debilitating nature of ESKD and the ongoing treatment requirements, frequently necessitating a </w:t>
      </w:r>
      <w:proofErr w:type="gramStart"/>
      <w:r w:rsidRPr="00265748">
        <w:t>full time</w:t>
      </w:r>
      <w:proofErr w:type="gramEnd"/>
      <w:r w:rsidRPr="00265748">
        <w:t xml:space="preserve"> </w:t>
      </w:r>
      <w:proofErr w:type="spellStart"/>
      <w:r w:rsidRPr="00265748">
        <w:t>carer</w:t>
      </w:r>
      <w:proofErr w:type="spellEnd"/>
      <w:r w:rsidRPr="00265748">
        <w:t xml:space="preserve">. In </w:t>
      </w:r>
      <w:proofErr w:type="gramStart"/>
      <w:r w:rsidRPr="00265748">
        <w:t>addition</w:t>
      </w:r>
      <w:proofErr w:type="gramEnd"/>
      <w:r w:rsidRPr="00265748">
        <w:t xml:space="preserve"> support such as access to ongoing psychosocial support, advice and assistance with bureaucratic processes associated with ongoing treatment has the potential to make significant improvements in the lives of people affected by CKD. As one respondent noted, a simple phone call by a social worker to regularly “check in” with a patient or carer would help people affected by CKD feel less alone. </w:t>
      </w:r>
    </w:p>
    <w:p w14:paraId="1D542B6E" w14:textId="0EC08F39" w:rsidR="003928D2" w:rsidRDefault="003928D2" w:rsidP="0053704D">
      <w:pPr>
        <w:spacing w:after="0" w:line="276" w:lineRule="auto"/>
      </w:pPr>
    </w:p>
    <w:p w14:paraId="5B41492F" w14:textId="77777777" w:rsidR="003928D2" w:rsidRPr="00265748" w:rsidRDefault="003928D2" w:rsidP="003928D2">
      <w:pPr>
        <w:pStyle w:val="KidneyBodybold0"/>
      </w:pPr>
      <w:r w:rsidRPr="00265748">
        <w:t>Research</w:t>
      </w:r>
    </w:p>
    <w:p w14:paraId="72A18915" w14:textId="77777777" w:rsidR="003928D2" w:rsidRDefault="003928D2" w:rsidP="003928D2">
      <w:pPr>
        <w:spacing w:after="0" w:line="276" w:lineRule="auto"/>
      </w:pPr>
      <w:r w:rsidRPr="00265748">
        <w:t xml:space="preserve">Participants consistently stressed the importance of research for the kidney community, including research focused on finding cures for kidney disease such as stem cell research and artificial kidneys. Respondents also showed a high level of interest in both participating in research and being actively involved in setting research directions. </w:t>
      </w:r>
      <w:proofErr w:type="gramStart"/>
      <w:r w:rsidRPr="00265748">
        <w:t>However</w:t>
      </w:r>
      <w:proofErr w:type="gramEnd"/>
      <w:r w:rsidRPr="00265748">
        <w:t xml:space="preserve"> beyond stem cell and artificial kidney research there was little consensus about which </w:t>
      </w:r>
      <w:r w:rsidRPr="00265748">
        <w:lastRenderedPageBreak/>
        <w:t>areas of research should be prioritised and a wide range of focus areas were nominated by all types of respondents including researchers, health</w:t>
      </w:r>
      <w:r>
        <w:t>care</w:t>
      </w:r>
      <w:r w:rsidRPr="00265748">
        <w:t xml:space="preserve"> professionals, patients, carers and family members. The importance respondents placed on research combined with this lack of agreement about priorities highlights the need for a coordinated kidney research program underpinned by clear priorities.</w:t>
      </w:r>
    </w:p>
    <w:p w14:paraId="3A14D1E1" w14:textId="77777777" w:rsidR="003928D2" w:rsidRPr="00265748" w:rsidRDefault="003928D2" w:rsidP="003928D2">
      <w:pPr>
        <w:spacing w:after="0" w:line="276" w:lineRule="auto"/>
      </w:pPr>
    </w:p>
    <w:p w14:paraId="4BC48A44" w14:textId="77777777" w:rsidR="003928D2" w:rsidRPr="00265748" w:rsidRDefault="003928D2" w:rsidP="003928D2">
      <w:pPr>
        <w:pStyle w:val="KidneyBodybold0"/>
      </w:pPr>
      <w:r w:rsidRPr="00265748">
        <w:t xml:space="preserve">Organ donation and </w:t>
      </w:r>
      <w:r w:rsidRPr="00A02B36">
        <w:t>transplantation</w:t>
      </w:r>
    </w:p>
    <w:p w14:paraId="4DF93143" w14:textId="12414743" w:rsidR="003928D2" w:rsidRPr="00265748" w:rsidRDefault="003928D2" w:rsidP="003928D2">
      <w:pPr>
        <w:widowControl w:val="0"/>
        <w:tabs>
          <w:tab w:val="left" w:pos="220"/>
          <w:tab w:val="left" w:pos="720"/>
        </w:tabs>
        <w:autoSpaceDE w:val="0"/>
        <w:autoSpaceDN w:val="0"/>
        <w:adjustRightInd w:val="0"/>
        <w:spacing w:after="240" w:line="276" w:lineRule="auto"/>
      </w:pPr>
      <w:r w:rsidRPr="00265748">
        <w:t>Deceased organ donation was a key priority for respondents with a significant number of respondents called for moving to a presumed consent or “opt out” deceased donation system to increase the availability of organs for transplant. Others called for more awareness of deceased donation and concerted campaigns to raise deceased donation rates. Another key focus was equity of access, including transparent processes for being wait listed for a transplant and more support for rural and remote and Aboriginal and Torres Strait Islander people.</w:t>
      </w:r>
      <w:r>
        <w:t xml:space="preserve"> Several recent reviews into donation and transplantation</w:t>
      </w:r>
      <w:r w:rsidR="00954571">
        <w:t xml:space="preserve"> </w:t>
      </w:r>
      <w:r>
        <w:t xml:space="preserve">– </w:t>
      </w:r>
      <w:r w:rsidRPr="00954571">
        <w:rPr>
          <w:i/>
        </w:rPr>
        <w:t>The Review of Organ Donation, Retrieval and Transplantation System</w:t>
      </w:r>
      <w:r w:rsidRPr="00EC1A9D">
        <w:t xml:space="preserve"> - undertaken by the Department of Health for all governments through the Council of Australian Go</w:t>
      </w:r>
      <w:r>
        <w:t>vernments Health Council (CHC) and t</w:t>
      </w:r>
      <w:r w:rsidRPr="00EC1A9D">
        <w:t xml:space="preserve">he </w:t>
      </w:r>
      <w:r w:rsidR="00954571" w:rsidRPr="00954571">
        <w:rPr>
          <w:i/>
        </w:rPr>
        <w:t>TSANZ</w:t>
      </w:r>
      <w:r w:rsidRPr="00954571">
        <w:rPr>
          <w:i/>
        </w:rPr>
        <w:t xml:space="preserve"> Performance Report</w:t>
      </w:r>
      <w:r w:rsidRPr="00EC1A9D">
        <w:t xml:space="preserve"> – </w:t>
      </w:r>
      <w:r w:rsidR="00954571" w:rsidRPr="00954571">
        <w:rPr>
          <w:i/>
        </w:rPr>
        <w:t>Improving Access to and Outcomes of Kidney Transplantation for Aboriginal and Torres Strait Islander People in Australia</w:t>
      </w:r>
      <w:r w:rsidR="00954571">
        <w:t xml:space="preserve"> </w:t>
      </w:r>
      <w:r>
        <w:t>– will be integral to addressing these areas.</w:t>
      </w:r>
    </w:p>
    <w:p w14:paraId="264D86FA" w14:textId="73DB5C31" w:rsidR="003928D2" w:rsidRPr="00E1017A" w:rsidRDefault="003928D2" w:rsidP="00E34DEA">
      <w:pPr>
        <w:pStyle w:val="KidneyHeading"/>
        <w:rPr>
          <w:color w:val="C00000"/>
          <w:sz w:val="28"/>
        </w:rPr>
      </w:pPr>
      <w:r w:rsidRPr="00E1017A">
        <w:rPr>
          <w:color w:val="C00000"/>
          <w:sz w:val="28"/>
        </w:rPr>
        <w:t>Conclusion</w:t>
      </w:r>
    </w:p>
    <w:p w14:paraId="0C4348B7" w14:textId="544FFB0D" w:rsidR="003928D2" w:rsidRDefault="003928D2" w:rsidP="003928D2">
      <w:pPr>
        <w:spacing w:after="0" w:line="276" w:lineRule="auto"/>
      </w:pPr>
      <w:r w:rsidRPr="007E1AA5">
        <w:t>The development of a national strategy for kidney disease is an important opportunity to change the trajectory of kidney disease in Australia. The survey has provided invaluable insight into the experiences of those affected by kidney disease and challenges facing the health sector and governments to prevent and manage CKD. Together with the extensive consultation undertaken, the evidence collected and the stocktake of existing initiatives, the survey findings will form the basis of a strategy that reflects the needs of the Australian kidney community</w:t>
      </w:r>
      <w:r>
        <w:t>.</w:t>
      </w:r>
    </w:p>
    <w:p w14:paraId="40429E36" w14:textId="77777777" w:rsidR="00446F0F" w:rsidRDefault="00446F0F" w:rsidP="00202FA2">
      <w:pPr>
        <w:pStyle w:val="KidneyHeading"/>
        <w:sectPr w:rsidR="00446F0F" w:rsidSect="00656860">
          <w:type w:val="continuous"/>
          <w:pgSz w:w="11906" w:h="16838"/>
          <w:pgMar w:top="1440" w:right="1440" w:bottom="1440" w:left="1440" w:header="708" w:footer="708" w:gutter="0"/>
          <w:cols w:space="708"/>
          <w:docGrid w:linePitch="360"/>
        </w:sectPr>
      </w:pPr>
    </w:p>
    <w:p w14:paraId="01B70DFF" w14:textId="15F103AE" w:rsidR="00E34DEA" w:rsidRPr="00E1017A" w:rsidRDefault="00446F0F" w:rsidP="00202FA2">
      <w:pPr>
        <w:pStyle w:val="KidneyHeading"/>
        <w:rPr>
          <w:color w:val="C00000"/>
        </w:rPr>
        <w:sectPr w:rsidR="00E34DEA" w:rsidRPr="00E1017A" w:rsidSect="00446F0F">
          <w:pgSz w:w="11906" w:h="16838"/>
          <w:pgMar w:top="1440" w:right="1440" w:bottom="1440" w:left="1440" w:header="708" w:footer="708" w:gutter="0"/>
          <w:cols w:space="708"/>
          <w:docGrid w:linePitch="360"/>
        </w:sectPr>
      </w:pPr>
      <w:r w:rsidRPr="00E1017A">
        <w:rPr>
          <w:color w:val="C00000"/>
          <w:szCs w:val="40"/>
        </w:rPr>
        <w:lastRenderedPageBreak/>
        <w:t xml:space="preserve">Appendix 3: The </w:t>
      </w:r>
      <w:r w:rsidR="00E034A8" w:rsidRPr="00E1017A">
        <w:rPr>
          <w:color w:val="C00000"/>
          <w:szCs w:val="40"/>
        </w:rPr>
        <w:t>Transplantation</w:t>
      </w:r>
      <w:r w:rsidRPr="00E1017A">
        <w:rPr>
          <w:color w:val="C00000"/>
          <w:szCs w:val="40"/>
        </w:rPr>
        <w:t xml:space="preserve"> Society of Australia and New Zealand (TSANZ) </w:t>
      </w:r>
      <w:r w:rsidR="00E034A8" w:rsidRPr="00E1017A">
        <w:rPr>
          <w:color w:val="C00000"/>
          <w:szCs w:val="40"/>
        </w:rPr>
        <w:t>Performance</w:t>
      </w:r>
      <w:r w:rsidRPr="00E1017A">
        <w:rPr>
          <w:color w:val="C00000"/>
          <w:szCs w:val="40"/>
        </w:rPr>
        <w:t xml:space="preserve"> Report - Improving Access to and Outcomes of Kidney Transplantation for Aboriginal and Torres Strait Islander People in Australia </w:t>
      </w:r>
    </w:p>
    <w:sdt>
      <w:sdtPr>
        <w:rPr>
          <w:rFonts w:ascii="Calibri" w:eastAsia="Calibri" w:hAnsi="Calibri" w:cs="Times New Roman"/>
          <w:sz w:val="22"/>
        </w:rPr>
        <w:id w:val="-883014469"/>
        <w:docPartObj>
          <w:docPartGallery w:val="Cover Pages"/>
          <w:docPartUnique/>
        </w:docPartObj>
      </w:sdtPr>
      <w:sdtEndPr>
        <w:rPr>
          <w:noProof/>
        </w:rPr>
      </w:sdtEndPr>
      <w:sdtContent>
        <w:p w14:paraId="34B8E20D" w14:textId="37CA2F84" w:rsidR="009D683D" w:rsidRPr="009D683D" w:rsidRDefault="009D683D" w:rsidP="009D683D">
          <w:pPr>
            <w:rPr>
              <w:rFonts w:ascii="Calibri" w:eastAsia="Calibri" w:hAnsi="Calibri" w:cs="Times New Roman"/>
              <w:sz w:val="22"/>
            </w:rPr>
          </w:pPr>
          <w:r>
            <w:rPr>
              <w:noProof/>
              <w:lang w:eastAsia="en-AU"/>
            </w:rPr>
            <mc:AlternateContent>
              <mc:Choice Requires="wpg">
                <w:drawing>
                  <wp:inline distT="0" distB="0" distL="0" distR="0" wp14:anchorId="628DA009" wp14:editId="660E1712">
                    <wp:extent cx="5878830" cy="8571230"/>
                    <wp:effectExtent l="0" t="0" r="7620" b="1270"/>
                    <wp:docPr id="119" name="Group 119" descr="Title of report:&#10;Improving Access to and Outcomes of Kidney Transplantation for Aboriginal and Torres Strait Islander People in Australia&#10;Performance Report&#10;"/>
                    <wp:cNvGraphicFramePr/>
                    <a:graphic xmlns:a="http://schemas.openxmlformats.org/drawingml/2006/main">
                      <a:graphicData uri="http://schemas.microsoft.com/office/word/2010/wordprocessingGroup">
                        <wpg:wgp>
                          <wpg:cNvGrpSpPr/>
                          <wpg:grpSpPr>
                            <a:xfrm>
                              <a:off x="0" y="0"/>
                              <a:ext cx="5878830" cy="8571230"/>
                              <a:chOff x="0" y="0"/>
                              <a:chExt cx="6858000" cy="9271750"/>
                            </a:xfrm>
                          </wpg:grpSpPr>
                          <wps:wsp>
                            <wps:cNvPr id="120" name="Rectangle 120"/>
                            <wps:cNvSpPr/>
                            <wps:spPr>
                              <a:xfrm>
                                <a:off x="0" y="7315200"/>
                                <a:ext cx="6858000" cy="143182"/>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6">
                                  <a:lumMod val="20000"/>
                                  <a:lumOff val="80000"/>
                                </a:schemeClr>
                              </a:solidFill>
                              <a:ln>
                                <a:noFill/>
                              </a:ln>
                            </wps:spPr>
                            <wps:style>
                              <a:lnRef idx="0">
                                <a:scrgbClr r="0" g="0" b="0"/>
                              </a:lnRef>
                              <a:fillRef idx="0">
                                <a:scrgbClr r="0" g="0" b="0"/>
                              </a:fillRef>
                              <a:effectRef idx="0">
                                <a:scrgbClr r="0" g="0" b="0"/>
                              </a:effectRef>
                              <a:fontRef idx="minor">
                                <a:schemeClr val="lt1"/>
                              </a:fontRef>
                            </wps:style>
                            <wps:txbx>
                              <w:txbxContent>
                                <w:p w14:paraId="6E334C71" w14:textId="77777777" w:rsidR="00A41391" w:rsidRDefault="00A41391" w:rsidP="009D683D">
                                  <w:pPr>
                                    <w:pStyle w:val="NoSpacing"/>
                                    <w:rPr>
                                      <w:caps/>
                                      <w:color w:val="FFFFFF" w:themeColor="background1"/>
                                    </w:rPr>
                                  </w:pPr>
                                  <w:r>
                                    <w:rPr>
                                      <w:noProof/>
                                      <w:lang w:eastAsia="en-AU"/>
                                    </w:rPr>
                                    <w:drawing>
                                      <wp:inline distT="0" distB="0" distL="0" distR="0" wp14:anchorId="41086F88" wp14:editId="317FC6DC">
                                        <wp:extent cx="4029075" cy="761458"/>
                                        <wp:effectExtent l="0" t="0" r="0" b="635"/>
                                        <wp:docPr id="259" name="Picture 259" descr="TSAN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1365" cy="765671"/>
                                                </a:xfrm>
                                                <a:prstGeom prst="rect">
                                                  <a:avLst/>
                                                </a:prstGeom>
                                                <a:noFill/>
                                                <a:ln>
                                                  <a:noFill/>
                                                </a:ln>
                                              </pic:spPr>
                                            </pic:pic>
                                          </a:graphicData>
                                        </a:graphic>
                                      </wp:inline>
                                    </w:drawing>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Style w:val="Heading2Char"/>
                                      <w:rFonts w:ascii="Calibri Light" w:hAnsi="Calibri Light" w:cs="Times New Roman"/>
                                      <w:b/>
                                      <w:color w:val="000000" w:themeColor="text1"/>
                                      <w:spacing w:val="-10"/>
                                      <w:kern w:val="28"/>
                                      <w:sz w:val="56"/>
                                      <w:szCs w:val="56"/>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rPr>
                                      <w:rStyle w:val="Heading2Char"/>
                                    </w:rPr>
                                  </w:sdtEndPr>
                                  <w:sdtContent>
                                    <w:p w14:paraId="7D15B43B" w14:textId="19523B7F" w:rsidR="00A41391" w:rsidRPr="00362CDE" w:rsidRDefault="00A41391" w:rsidP="009D683D">
                                      <w:pPr>
                                        <w:pStyle w:val="NoSpacing"/>
                                        <w:pBdr>
                                          <w:bottom w:val="single" w:sz="6" w:space="4" w:color="7F7F7F" w:themeColor="text1" w:themeTint="80"/>
                                        </w:pBdr>
                                        <w:rPr>
                                          <w:rStyle w:val="TitleChar"/>
                                        </w:rPr>
                                      </w:pPr>
                                      <w:r w:rsidRPr="009D683D">
                                        <w:rPr>
                                          <w:rStyle w:val="Heading2Char"/>
                                          <w:rFonts w:ascii="Calibri Light" w:hAnsi="Calibri Light" w:cs="Times New Roman"/>
                                          <w:b/>
                                          <w:color w:val="000000" w:themeColor="text1"/>
                                          <w:spacing w:val="-10"/>
                                          <w:kern w:val="28"/>
                                          <w:sz w:val="56"/>
                                          <w:szCs w:val="56"/>
                                        </w:rPr>
                                        <w:t>Improving Access to and Outcomes of Kidney Transplantation for Aboriginal and Torres Strait Islander People in Australia</w:t>
                                      </w:r>
                                    </w:p>
                                  </w:sdtContent>
                                </w:sdt>
                                <w:sdt>
                                  <w:sdtPr>
                                    <w:rPr>
                                      <w:rStyle w:val="Heading2Char"/>
                                      <w:rFonts w:ascii="Calibri Light" w:hAnsi="Calibri Light" w:cs="Times New Roman"/>
                                      <w:b/>
                                      <w:color w:val="767171" w:themeColor="background2" w:themeShade="80"/>
                                      <w:spacing w:val="-10"/>
                                      <w:kern w:val="28"/>
                                      <w:sz w:val="56"/>
                                      <w:szCs w:val="5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rPr>
                                      <w:rStyle w:val="Heading2Char"/>
                                    </w:rPr>
                                  </w:sdtEndPr>
                                  <w:sdtContent>
                                    <w:p w14:paraId="44B03ABD" w14:textId="3794E100" w:rsidR="00A41391" w:rsidRPr="00B3082B" w:rsidRDefault="00A41391" w:rsidP="009D683D">
                                      <w:pPr>
                                        <w:pStyle w:val="NoSpacing"/>
                                        <w:spacing w:before="240"/>
                                        <w:rPr>
                                          <w:rStyle w:val="SubtitleChar"/>
                                          <w:b/>
                                          <w:sz w:val="52"/>
                                        </w:rPr>
                                      </w:pPr>
                                      <w:r>
                                        <w:rPr>
                                          <w:rStyle w:val="Heading2Char"/>
                                          <w:rFonts w:ascii="Calibri Light" w:hAnsi="Calibri Light" w:cs="Times New Roman"/>
                                          <w:b/>
                                          <w:color w:val="767171" w:themeColor="background2" w:themeShade="80"/>
                                          <w:spacing w:val="-10"/>
                                          <w:kern w:val="28"/>
                                          <w:sz w:val="56"/>
                                          <w:szCs w:val="56"/>
                                        </w:rPr>
                                        <w:t>Performance Report</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inline>
                </w:drawing>
              </mc:Choice>
              <mc:Fallback>
                <w:pict>
                  <v:group w14:anchorId="628DA009" id="Group 119" o:spid="_x0000_s1026" alt="Title of report:&#10;Improving Access to and Outcomes of Kidney Transplantation for Aboriginal and Torres Strait Islander People in Australia&#10;Performance Report&#10;" style="width:462.9pt;height:674.9pt;mso-position-horizontal-relative:char;mso-position-vertical-relative:line"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" fillcolor="#70ad47 [3209]" stroked="f"/>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" fillcolor="#e2efd9 [665]" stroked="f">
                      <v:textbox inset="36pt,14.4pt,36pt,36pt">
                        <w:txbxContent>
                          <w:p w14:paraId="6E334C71" w14:textId="77777777" w:rsidR="00A41391" w:rsidRDefault="00A41391" w:rsidP="009D683D">
                            <w:pPr>
                              <w:pStyle w:val="NoSpacing"/>
                              <w:rPr>
                                <w:caps/>
                                <w:color w:val="FFFFFF" w:themeColor="background1"/>
                              </w:rPr>
                            </w:pPr>
                            <w:r>
                              <w:rPr>
                                <w:noProof/>
                                <w:lang w:eastAsia="en-AU"/>
                              </w:rPr>
                              <w:drawing>
                                <wp:inline distT="0" distB="0" distL="0" distR="0" wp14:anchorId="41086F88" wp14:editId="317FC6DC">
                                  <wp:extent cx="4029075" cy="761458"/>
                                  <wp:effectExtent l="0" t="0" r="0" b="635"/>
                                  <wp:docPr id="259" name="Picture 259" descr="TSAN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1365" cy="765671"/>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Style w:val="Heading2Char"/>
                                <w:rFonts w:ascii="Calibri Light" w:hAnsi="Calibri Light" w:cs="Times New Roman"/>
                                <w:b/>
                                <w:color w:val="000000" w:themeColor="text1"/>
                                <w:spacing w:val="-10"/>
                                <w:kern w:val="28"/>
                                <w:sz w:val="56"/>
                                <w:szCs w:val="56"/>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rPr>
                                <w:rStyle w:val="Heading2Char"/>
                              </w:rPr>
                            </w:sdtEndPr>
                            <w:sdtContent>
                              <w:p w14:paraId="7D15B43B" w14:textId="19523B7F" w:rsidR="00A41391" w:rsidRPr="00362CDE" w:rsidRDefault="00A41391" w:rsidP="009D683D">
                                <w:pPr>
                                  <w:pStyle w:val="NoSpacing"/>
                                  <w:pBdr>
                                    <w:bottom w:val="single" w:sz="6" w:space="4" w:color="7F7F7F" w:themeColor="text1" w:themeTint="80"/>
                                  </w:pBdr>
                                  <w:rPr>
                                    <w:rStyle w:val="TitleChar"/>
                                  </w:rPr>
                                </w:pPr>
                                <w:r w:rsidRPr="009D683D">
                                  <w:rPr>
                                    <w:rStyle w:val="Heading2Char"/>
                                    <w:rFonts w:ascii="Calibri Light" w:hAnsi="Calibri Light" w:cs="Times New Roman"/>
                                    <w:b/>
                                    <w:color w:val="000000" w:themeColor="text1"/>
                                    <w:spacing w:val="-10"/>
                                    <w:kern w:val="28"/>
                                    <w:sz w:val="56"/>
                                    <w:szCs w:val="56"/>
                                  </w:rPr>
                                  <w:t>Improving Access to and Outcomes of Kidney Transplantation for Aboriginal and Torres Strait Islander People in Australia</w:t>
                                </w:r>
                              </w:p>
                            </w:sdtContent>
                          </w:sdt>
                          <w:sdt>
                            <w:sdtPr>
                              <w:rPr>
                                <w:rStyle w:val="Heading2Char"/>
                                <w:rFonts w:ascii="Calibri Light" w:hAnsi="Calibri Light" w:cs="Times New Roman"/>
                                <w:b/>
                                <w:color w:val="767171" w:themeColor="background2" w:themeShade="80"/>
                                <w:spacing w:val="-10"/>
                                <w:kern w:val="28"/>
                                <w:sz w:val="56"/>
                                <w:szCs w:val="5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rPr>
                                <w:rStyle w:val="Heading2Char"/>
                              </w:rPr>
                            </w:sdtEndPr>
                            <w:sdtContent>
                              <w:p w14:paraId="44B03ABD" w14:textId="3794E100" w:rsidR="00A41391" w:rsidRPr="00B3082B" w:rsidRDefault="00A41391" w:rsidP="009D683D">
                                <w:pPr>
                                  <w:pStyle w:val="NoSpacing"/>
                                  <w:spacing w:before="240"/>
                                  <w:rPr>
                                    <w:rStyle w:val="SubtitleChar"/>
                                    <w:b/>
                                    <w:sz w:val="52"/>
                                  </w:rPr>
                                </w:pPr>
                                <w:r>
                                  <w:rPr>
                                    <w:rStyle w:val="Heading2Char"/>
                                    <w:rFonts w:ascii="Calibri Light" w:hAnsi="Calibri Light" w:cs="Times New Roman"/>
                                    <w:b/>
                                    <w:color w:val="767171" w:themeColor="background2" w:themeShade="80"/>
                                    <w:spacing w:val="-10"/>
                                    <w:kern w:val="28"/>
                                    <w:sz w:val="56"/>
                                    <w:szCs w:val="56"/>
                                  </w:rPr>
                                  <w:t>Performance Report</w:t>
                                </w:r>
                              </w:p>
                            </w:sdtContent>
                          </w:sdt>
                        </w:txbxContent>
                      </v:textbox>
                    </v:shape>
                    <w10:anchorlock/>
                  </v:group>
                </w:pict>
              </mc:Fallback>
            </mc:AlternateContent>
          </w:r>
        </w:p>
        <w:p w14:paraId="33C4E2AB" w14:textId="77777777" w:rsidR="009D683D" w:rsidRPr="009D683D" w:rsidRDefault="009D683D" w:rsidP="009D683D">
          <w:pPr>
            <w:rPr>
              <w:rFonts w:ascii="Calibri" w:eastAsia="Calibri" w:hAnsi="Calibri" w:cs="Times New Roman"/>
              <w:noProof/>
              <w:sz w:val="22"/>
            </w:rPr>
          </w:pPr>
          <w:r w:rsidRPr="009D683D">
            <w:rPr>
              <w:rFonts w:ascii="Calibri" w:eastAsia="Calibri" w:hAnsi="Calibri" w:cs="Times New Roman"/>
              <w:noProof/>
              <w:sz w:val="22"/>
            </w:rPr>
            <w:br w:type="page"/>
          </w:r>
        </w:p>
      </w:sdtContent>
    </w:sdt>
    <w:sdt>
      <w:sdtPr>
        <w:rPr>
          <w:rFonts w:ascii="Calibri" w:eastAsia="Calibri" w:hAnsi="Calibri" w:cs="Times New Roman"/>
          <w:sz w:val="22"/>
        </w:rPr>
        <w:id w:val="1356067343"/>
        <w:docPartObj>
          <w:docPartGallery w:val="Table of Contents"/>
          <w:docPartUnique/>
        </w:docPartObj>
      </w:sdtPr>
      <w:sdtEndPr>
        <w:rPr>
          <w:b/>
          <w:bCs/>
          <w:noProof/>
          <w:color w:val="000000" w:themeColor="text1"/>
        </w:rPr>
      </w:sdtEndPr>
      <w:sdtContent>
        <w:p w14:paraId="23387AB6" w14:textId="77777777" w:rsidR="009D683D" w:rsidRPr="009D683D" w:rsidRDefault="009D683D" w:rsidP="009D683D">
          <w:pPr>
            <w:keepNext/>
            <w:keepLines/>
            <w:spacing w:before="240" w:after="0"/>
            <w:ind w:left="432" w:hanging="432"/>
            <w:rPr>
              <w:rFonts w:ascii="Calibri Light" w:eastAsia="Times New Roman" w:hAnsi="Calibri Light" w:cs="Times New Roman"/>
              <w:color w:val="2F5496"/>
              <w:sz w:val="32"/>
              <w:szCs w:val="32"/>
              <w:lang w:val="en-US"/>
            </w:rPr>
          </w:pPr>
          <w:r w:rsidRPr="009D683D">
            <w:rPr>
              <w:rFonts w:ascii="Calibri Light" w:eastAsia="Times New Roman" w:hAnsi="Calibri Light" w:cs="Times New Roman"/>
              <w:sz w:val="32"/>
              <w:szCs w:val="32"/>
              <w:u w:val="single"/>
              <w:lang w:val="en-US"/>
            </w:rPr>
            <w:t>Table of Contents</w:t>
          </w:r>
        </w:p>
        <w:p w14:paraId="48C8619F" w14:textId="77777777" w:rsidR="009D683D" w:rsidRPr="009D683D" w:rsidRDefault="009D683D" w:rsidP="0010384B">
          <w:pPr>
            <w:tabs>
              <w:tab w:val="left" w:pos="440"/>
              <w:tab w:val="right" w:leader="dot" w:pos="9016"/>
            </w:tabs>
            <w:spacing w:before="120" w:after="120" w:line="240" w:lineRule="auto"/>
            <w:contextualSpacing/>
            <w:rPr>
              <w:rFonts w:ascii="Calibri" w:eastAsia="Times New Roman" w:hAnsi="Calibri" w:cs="Times New Roman"/>
              <w:noProof/>
              <w:color w:val="000000" w:themeColor="text1"/>
              <w:sz w:val="22"/>
              <w:lang w:eastAsia="en-AU"/>
            </w:rPr>
          </w:pPr>
          <w:r w:rsidRPr="009D683D">
            <w:rPr>
              <w:rFonts w:ascii="Calibri" w:eastAsia="Calibri" w:hAnsi="Calibri" w:cs="Times New Roman"/>
              <w:b/>
              <w:bCs/>
              <w:caps/>
              <w:noProof/>
              <w:color w:val="000000" w:themeColor="text1"/>
              <w:szCs w:val="20"/>
            </w:rPr>
            <w:fldChar w:fldCharType="begin"/>
          </w:r>
          <w:r w:rsidRPr="009D683D">
            <w:rPr>
              <w:rFonts w:ascii="Calibri" w:eastAsia="Calibri" w:hAnsi="Calibri" w:cs="Times New Roman"/>
              <w:b/>
              <w:bCs/>
              <w:caps/>
              <w:noProof/>
              <w:color w:val="000000" w:themeColor="text1"/>
              <w:szCs w:val="20"/>
            </w:rPr>
            <w:instrText xml:space="preserve"> TOC \o "1-3" \h \z \u </w:instrText>
          </w:r>
          <w:r w:rsidRPr="009D683D">
            <w:rPr>
              <w:rFonts w:ascii="Calibri" w:eastAsia="Calibri" w:hAnsi="Calibri" w:cs="Times New Roman"/>
              <w:b/>
              <w:bCs/>
              <w:caps/>
              <w:noProof/>
              <w:color w:val="000000" w:themeColor="text1"/>
              <w:szCs w:val="20"/>
            </w:rPr>
            <w:fldChar w:fldCharType="separate"/>
          </w:r>
          <w:hyperlink w:anchor="_Toc2585789" w:history="1">
            <w:r w:rsidRPr="009D683D">
              <w:rPr>
                <w:rFonts w:ascii="Calibri" w:eastAsia="Calibri" w:hAnsi="Calibri" w:cs="Times New Roman"/>
                <w:b/>
                <w:bCs/>
                <w:caps/>
                <w:noProof/>
                <w:color w:val="000000" w:themeColor="text1"/>
                <w:szCs w:val="20"/>
              </w:rPr>
              <w:t>Acknowledgements</w:t>
            </w:r>
            <w:r w:rsidRPr="009D683D">
              <w:rPr>
                <w:rFonts w:ascii="Calibri" w:eastAsia="Calibri" w:hAnsi="Calibri" w:cs="Times New Roman"/>
                <w:b/>
                <w:bCs/>
                <w:caps/>
                <w:noProof/>
                <w:webHidden/>
                <w:color w:val="000000" w:themeColor="text1"/>
                <w:szCs w:val="20"/>
              </w:rPr>
              <w:tab/>
            </w:r>
            <w:r w:rsidRPr="009D683D">
              <w:rPr>
                <w:rFonts w:ascii="Calibri" w:eastAsia="Calibri" w:hAnsi="Calibri" w:cs="Times New Roman"/>
                <w:b/>
                <w:bCs/>
                <w:caps/>
                <w:noProof/>
                <w:webHidden/>
                <w:color w:val="000000" w:themeColor="text1"/>
                <w:szCs w:val="20"/>
              </w:rPr>
              <w:fldChar w:fldCharType="begin"/>
            </w:r>
            <w:r w:rsidRPr="009D683D">
              <w:rPr>
                <w:rFonts w:ascii="Calibri" w:eastAsia="Calibri" w:hAnsi="Calibri" w:cs="Times New Roman"/>
                <w:b/>
                <w:bCs/>
                <w:caps/>
                <w:noProof/>
                <w:webHidden/>
                <w:color w:val="000000" w:themeColor="text1"/>
                <w:szCs w:val="20"/>
              </w:rPr>
              <w:instrText xml:space="preserve"> PAGEREF _Toc2585789 \h </w:instrText>
            </w:r>
            <w:r w:rsidRPr="009D683D">
              <w:rPr>
                <w:rFonts w:ascii="Calibri" w:eastAsia="Calibri" w:hAnsi="Calibri" w:cs="Times New Roman"/>
                <w:b/>
                <w:bCs/>
                <w:caps/>
                <w:noProof/>
                <w:webHidden/>
                <w:color w:val="000000" w:themeColor="text1"/>
                <w:szCs w:val="20"/>
              </w:rPr>
            </w:r>
            <w:r w:rsidRPr="009D683D">
              <w:rPr>
                <w:rFonts w:ascii="Calibri" w:eastAsia="Calibri" w:hAnsi="Calibri" w:cs="Times New Roman"/>
                <w:b/>
                <w:bCs/>
                <w:caps/>
                <w:noProof/>
                <w:webHidden/>
                <w:color w:val="000000" w:themeColor="text1"/>
                <w:szCs w:val="20"/>
              </w:rPr>
              <w:fldChar w:fldCharType="separate"/>
            </w:r>
            <w:r w:rsidRPr="009D683D">
              <w:rPr>
                <w:rFonts w:ascii="Calibri" w:eastAsia="Calibri" w:hAnsi="Calibri" w:cs="Times New Roman"/>
                <w:b/>
                <w:bCs/>
                <w:caps/>
                <w:noProof/>
                <w:webHidden/>
                <w:color w:val="000000" w:themeColor="text1"/>
                <w:szCs w:val="20"/>
              </w:rPr>
              <w:t>iv</w:t>
            </w:r>
            <w:r w:rsidRPr="009D683D">
              <w:rPr>
                <w:rFonts w:ascii="Calibri" w:eastAsia="Calibri" w:hAnsi="Calibri" w:cs="Times New Roman"/>
                <w:b/>
                <w:bCs/>
                <w:caps/>
                <w:noProof/>
                <w:webHidden/>
                <w:color w:val="000000" w:themeColor="text1"/>
                <w:szCs w:val="20"/>
              </w:rPr>
              <w:fldChar w:fldCharType="end"/>
            </w:r>
          </w:hyperlink>
        </w:p>
        <w:p w14:paraId="4A55F1DE" w14:textId="77777777" w:rsidR="009D683D" w:rsidRPr="009D683D" w:rsidRDefault="00D32AD3" w:rsidP="009D683D">
          <w:pPr>
            <w:tabs>
              <w:tab w:val="left" w:pos="440"/>
              <w:tab w:val="right" w:leader="dot" w:pos="9016"/>
            </w:tabs>
            <w:spacing w:before="120" w:after="120" w:line="240" w:lineRule="auto"/>
            <w:rPr>
              <w:rFonts w:ascii="Calibri" w:eastAsia="Times New Roman" w:hAnsi="Calibri" w:cs="Times New Roman"/>
              <w:noProof/>
              <w:color w:val="000000" w:themeColor="text1"/>
              <w:sz w:val="22"/>
              <w:lang w:eastAsia="en-AU"/>
            </w:rPr>
          </w:pPr>
          <w:hyperlink w:anchor="_Toc2585790" w:history="1">
            <w:r w:rsidR="009D683D" w:rsidRPr="009D683D">
              <w:rPr>
                <w:rFonts w:ascii="Calibri" w:eastAsia="Calibri" w:hAnsi="Calibri" w:cs="Times New Roman"/>
                <w:b/>
                <w:bCs/>
                <w:caps/>
                <w:noProof/>
                <w:color w:val="000000" w:themeColor="text1"/>
                <w:szCs w:val="20"/>
              </w:rPr>
              <w:t>Abbreviations</w:t>
            </w:r>
            <w:r w:rsidR="009D683D" w:rsidRPr="009D683D">
              <w:rPr>
                <w:rFonts w:ascii="Calibri" w:eastAsia="Calibri" w:hAnsi="Calibri" w:cs="Times New Roman"/>
                <w:b/>
                <w:bCs/>
                <w:caps/>
                <w:noProof/>
                <w:webHidden/>
                <w:color w:val="000000" w:themeColor="text1"/>
                <w:szCs w:val="20"/>
              </w:rPr>
              <w:tab/>
            </w:r>
            <w:r w:rsidR="009D683D" w:rsidRPr="009D683D">
              <w:rPr>
                <w:rFonts w:ascii="Calibri" w:eastAsia="Calibri" w:hAnsi="Calibri" w:cs="Times New Roman"/>
                <w:b/>
                <w:bCs/>
                <w:caps/>
                <w:noProof/>
                <w:webHidden/>
                <w:color w:val="000000" w:themeColor="text1"/>
                <w:szCs w:val="20"/>
              </w:rPr>
              <w:fldChar w:fldCharType="begin"/>
            </w:r>
            <w:r w:rsidR="009D683D" w:rsidRPr="009D683D">
              <w:rPr>
                <w:rFonts w:ascii="Calibri" w:eastAsia="Calibri" w:hAnsi="Calibri" w:cs="Times New Roman"/>
                <w:b/>
                <w:bCs/>
                <w:caps/>
                <w:noProof/>
                <w:webHidden/>
                <w:color w:val="000000" w:themeColor="text1"/>
                <w:szCs w:val="20"/>
              </w:rPr>
              <w:instrText xml:space="preserve"> PAGEREF _Toc2585790 \h </w:instrText>
            </w:r>
            <w:r w:rsidR="009D683D" w:rsidRPr="009D683D">
              <w:rPr>
                <w:rFonts w:ascii="Calibri" w:eastAsia="Calibri" w:hAnsi="Calibri" w:cs="Times New Roman"/>
                <w:b/>
                <w:bCs/>
                <w:caps/>
                <w:noProof/>
                <w:webHidden/>
                <w:color w:val="000000" w:themeColor="text1"/>
                <w:szCs w:val="20"/>
              </w:rPr>
            </w:r>
            <w:r w:rsidR="009D683D" w:rsidRPr="009D683D">
              <w:rPr>
                <w:rFonts w:ascii="Calibri" w:eastAsia="Calibri" w:hAnsi="Calibri" w:cs="Times New Roman"/>
                <w:b/>
                <w:bCs/>
                <w:caps/>
                <w:noProof/>
                <w:webHidden/>
                <w:color w:val="000000" w:themeColor="text1"/>
                <w:szCs w:val="20"/>
              </w:rPr>
              <w:fldChar w:fldCharType="separate"/>
            </w:r>
            <w:r w:rsidR="009D683D" w:rsidRPr="009D683D">
              <w:rPr>
                <w:rFonts w:ascii="Calibri" w:eastAsia="Calibri" w:hAnsi="Calibri" w:cs="Times New Roman"/>
                <w:b/>
                <w:bCs/>
                <w:caps/>
                <w:noProof/>
                <w:webHidden/>
                <w:color w:val="000000" w:themeColor="text1"/>
                <w:szCs w:val="20"/>
              </w:rPr>
              <w:t>v</w:t>
            </w:r>
            <w:r w:rsidR="009D683D" w:rsidRPr="009D683D">
              <w:rPr>
                <w:rFonts w:ascii="Calibri" w:eastAsia="Calibri" w:hAnsi="Calibri" w:cs="Times New Roman"/>
                <w:b/>
                <w:bCs/>
                <w:caps/>
                <w:noProof/>
                <w:webHidden/>
                <w:color w:val="000000" w:themeColor="text1"/>
                <w:szCs w:val="20"/>
              </w:rPr>
              <w:fldChar w:fldCharType="end"/>
            </w:r>
          </w:hyperlink>
        </w:p>
        <w:p w14:paraId="5E2CBB12" w14:textId="77777777" w:rsidR="009D683D" w:rsidRPr="009D683D" w:rsidRDefault="00D32AD3" w:rsidP="009D683D">
          <w:pPr>
            <w:tabs>
              <w:tab w:val="left" w:pos="440"/>
              <w:tab w:val="right" w:leader="dot" w:pos="9016"/>
            </w:tabs>
            <w:spacing w:before="120" w:after="120" w:line="240" w:lineRule="auto"/>
            <w:rPr>
              <w:rFonts w:ascii="Calibri" w:eastAsia="Times New Roman" w:hAnsi="Calibri" w:cs="Times New Roman"/>
              <w:noProof/>
              <w:color w:val="000000" w:themeColor="text1"/>
              <w:sz w:val="22"/>
              <w:lang w:eastAsia="en-AU"/>
            </w:rPr>
          </w:pPr>
          <w:hyperlink w:anchor="_Toc2585791" w:history="1">
            <w:r w:rsidR="009D683D" w:rsidRPr="009D683D">
              <w:rPr>
                <w:rFonts w:ascii="Calibri" w:eastAsia="Calibri" w:hAnsi="Calibri" w:cs="Times New Roman"/>
                <w:b/>
                <w:bCs/>
                <w:caps/>
                <w:noProof/>
                <w:color w:val="000000" w:themeColor="text1"/>
                <w:szCs w:val="20"/>
              </w:rPr>
              <w:t>Terminology</w:t>
            </w:r>
            <w:r w:rsidR="009D683D" w:rsidRPr="009D683D">
              <w:rPr>
                <w:rFonts w:ascii="Calibri" w:eastAsia="Calibri" w:hAnsi="Calibri" w:cs="Times New Roman"/>
                <w:b/>
                <w:bCs/>
                <w:caps/>
                <w:noProof/>
                <w:webHidden/>
                <w:color w:val="000000" w:themeColor="text1"/>
                <w:szCs w:val="20"/>
              </w:rPr>
              <w:tab/>
            </w:r>
            <w:r w:rsidR="009D683D" w:rsidRPr="009D683D">
              <w:rPr>
                <w:rFonts w:ascii="Calibri" w:eastAsia="Calibri" w:hAnsi="Calibri" w:cs="Times New Roman"/>
                <w:b/>
                <w:bCs/>
                <w:caps/>
                <w:noProof/>
                <w:webHidden/>
                <w:color w:val="000000" w:themeColor="text1"/>
                <w:szCs w:val="20"/>
              </w:rPr>
              <w:fldChar w:fldCharType="begin"/>
            </w:r>
            <w:r w:rsidR="009D683D" w:rsidRPr="009D683D">
              <w:rPr>
                <w:rFonts w:ascii="Calibri" w:eastAsia="Calibri" w:hAnsi="Calibri" w:cs="Times New Roman"/>
                <w:b/>
                <w:bCs/>
                <w:caps/>
                <w:noProof/>
                <w:webHidden/>
                <w:color w:val="000000" w:themeColor="text1"/>
                <w:szCs w:val="20"/>
              </w:rPr>
              <w:instrText xml:space="preserve"> PAGEREF _Toc2585791 \h </w:instrText>
            </w:r>
            <w:r w:rsidR="009D683D" w:rsidRPr="009D683D">
              <w:rPr>
                <w:rFonts w:ascii="Calibri" w:eastAsia="Calibri" w:hAnsi="Calibri" w:cs="Times New Roman"/>
                <w:b/>
                <w:bCs/>
                <w:caps/>
                <w:noProof/>
                <w:webHidden/>
                <w:color w:val="000000" w:themeColor="text1"/>
                <w:szCs w:val="20"/>
              </w:rPr>
            </w:r>
            <w:r w:rsidR="009D683D" w:rsidRPr="009D683D">
              <w:rPr>
                <w:rFonts w:ascii="Calibri" w:eastAsia="Calibri" w:hAnsi="Calibri" w:cs="Times New Roman"/>
                <w:b/>
                <w:bCs/>
                <w:caps/>
                <w:noProof/>
                <w:webHidden/>
                <w:color w:val="000000" w:themeColor="text1"/>
                <w:szCs w:val="20"/>
              </w:rPr>
              <w:fldChar w:fldCharType="separate"/>
            </w:r>
            <w:r w:rsidR="009D683D" w:rsidRPr="009D683D">
              <w:rPr>
                <w:rFonts w:ascii="Calibri" w:eastAsia="Calibri" w:hAnsi="Calibri" w:cs="Times New Roman"/>
                <w:b/>
                <w:bCs/>
                <w:caps/>
                <w:noProof/>
                <w:webHidden/>
                <w:color w:val="000000" w:themeColor="text1"/>
                <w:szCs w:val="20"/>
              </w:rPr>
              <w:t>vi</w:t>
            </w:r>
            <w:r w:rsidR="009D683D" w:rsidRPr="009D683D">
              <w:rPr>
                <w:rFonts w:ascii="Calibri" w:eastAsia="Calibri" w:hAnsi="Calibri" w:cs="Times New Roman"/>
                <w:b/>
                <w:bCs/>
                <w:caps/>
                <w:noProof/>
                <w:webHidden/>
                <w:color w:val="000000" w:themeColor="text1"/>
                <w:szCs w:val="20"/>
              </w:rPr>
              <w:fldChar w:fldCharType="end"/>
            </w:r>
          </w:hyperlink>
        </w:p>
        <w:p w14:paraId="7511912E" w14:textId="77777777" w:rsidR="009D683D" w:rsidRPr="009D683D" w:rsidRDefault="00D32AD3" w:rsidP="009D683D">
          <w:pPr>
            <w:tabs>
              <w:tab w:val="left" w:pos="440"/>
              <w:tab w:val="right" w:leader="dot" w:pos="9016"/>
            </w:tabs>
            <w:spacing w:before="120" w:after="120" w:line="240" w:lineRule="auto"/>
            <w:rPr>
              <w:rFonts w:ascii="Calibri" w:eastAsia="Times New Roman" w:hAnsi="Calibri" w:cs="Times New Roman"/>
              <w:noProof/>
              <w:color w:val="000000" w:themeColor="text1"/>
              <w:sz w:val="22"/>
              <w:lang w:eastAsia="en-AU"/>
            </w:rPr>
          </w:pPr>
          <w:hyperlink w:anchor="_Toc2585792" w:history="1">
            <w:r w:rsidR="009D683D" w:rsidRPr="009D683D">
              <w:rPr>
                <w:rFonts w:ascii="Calibri" w:eastAsia="Calibri" w:hAnsi="Calibri" w:cs="Times New Roman"/>
                <w:b/>
                <w:bCs/>
                <w:caps/>
                <w:noProof/>
                <w:color w:val="000000" w:themeColor="text1"/>
                <w:spacing w:val="-10"/>
                <w:kern w:val="28"/>
                <w:szCs w:val="20"/>
              </w:rPr>
              <w:t>Executive Summary</w:t>
            </w:r>
            <w:r w:rsidR="009D683D" w:rsidRPr="009D683D">
              <w:rPr>
                <w:rFonts w:ascii="Calibri" w:eastAsia="Calibri" w:hAnsi="Calibri" w:cs="Times New Roman"/>
                <w:b/>
                <w:bCs/>
                <w:caps/>
                <w:noProof/>
                <w:webHidden/>
                <w:color w:val="000000" w:themeColor="text1"/>
                <w:szCs w:val="20"/>
              </w:rPr>
              <w:tab/>
            </w:r>
            <w:r w:rsidR="009D683D" w:rsidRPr="009D683D">
              <w:rPr>
                <w:rFonts w:ascii="Calibri" w:eastAsia="Calibri" w:hAnsi="Calibri" w:cs="Times New Roman"/>
                <w:b/>
                <w:bCs/>
                <w:caps/>
                <w:noProof/>
                <w:webHidden/>
                <w:color w:val="000000" w:themeColor="text1"/>
                <w:szCs w:val="20"/>
              </w:rPr>
              <w:fldChar w:fldCharType="begin"/>
            </w:r>
            <w:r w:rsidR="009D683D" w:rsidRPr="009D683D">
              <w:rPr>
                <w:rFonts w:ascii="Calibri" w:eastAsia="Calibri" w:hAnsi="Calibri" w:cs="Times New Roman"/>
                <w:b/>
                <w:bCs/>
                <w:caps/>
                <w:noProof/>
                <w:webHidden/>
                <w:color w:val="000000" w:themeColor="text1"/>
                <w:szCs w:val="20"/>
              </w:rPr>
              <w:instrText xml:space="preserve"> PAGEREF _Toc2585792 \h </w:instrText>
            </w:r>
            <w:r w:rsidR="009D683D" w:rsidRPr="009D683D">
              <w:rPr>
                <w:rFonts w:ascii="Calibri" w:eastAsia="Calibri" w:hAnsi="Calibri" w:cs="Times New Roman"/>
                <w:b/>
                <w:bCs/>
                <w:caps/>
                <w:noProof/>
                <w:webHidden/>
                <w:color w:val="000000" w:themeColor="text1"/>
                <w:szCs w:val="20"/>
              </w:rPr>
            </w:r>
            <w:r w:rsidR="009D683D" w:rsidRPr="009D683D">
              <w:rPr>
                <w:rFonts w:ascii="Calibri" w:eastAsia="Calibri" w:hAnsi="Calibri" w:cs="Times New Roman"/>
                <w:b/>
                <w:bCs/>
                <w:caps/>
                <w:noProof/>
                <w:webHidden/>
                <w:color w:val="000000" w:themeColor="text1"/>
                <w:szCs w:val="20"/>
              </w:rPr>
              <w:fldChar w:fldCharType="separate"/>
            </w:r>
            <w:r w:rsidR="009D683D" w:rsidRPr="009D683D">
              <w:rPr>
                <w:rFonts w:ascii="Calibri" w:eastAsia="Calibri" w:hAnsi="Calibri" w:cs="Times New Roman"/>
                <w:b/>
                <w:bCs/>
                <w:caps/>
                <w:noProof/>
                <w:webHidden/>
                <w:color w:val="000000" w:themeColor="text1"/>
                <w:szCs w:val="20"/>
              </w:rPr>
              <w:t>vii</w:t>
            </w:r>
            <w:r w:rsidR="009D683D" w:rsidRPr="009D683D">
              <w:rPr>
                <w:rFonts w:ascii="Calibri" w:eastAsia="Calibri" w:hAnsi="Calibri" w:cs="Times New Roman"/>
                <w:b/>
                <w:bCs/>
                <w:caps/>
                <w:noProof/>
                <w:webHidden/>
                <w:color w:val="000000" w:themeColor="text1"/>
                <w:szCs w:val="20"/>
              </w:rPr>
              <w:fldChar w:fldCharType="end"/>
            </w:r>
          </w:hyperlink>
        </w:p>
        <w:p w14:paraId="3DFB8447" w14:textId="77777777" w:rsidR="009D683D" w:rsidRPr="009D683D" w:rsidRDefault="00D32AD3" w:rsidP="009D683D">
          <w:pPr>
            <w:tabs>
              <w:tab w:val="left" w:pos="440"/>
              <w:tab w:val="right" w:leader="dot" w:pos="9016"/>
            </w:tabs>
            <w:spacing w:before="120" w:after="120" w:line="240" w:lineRule="auto"/>
            <w:rPr>
              <w:rFonts w:ascii="Calibri" w:eastAsia="Times New Roman" w:hAnsi="Calibri" w:cs="Times New Roman"/>
              <w:noProof/>
              <w:color w:val="000000" w:themeColor="text1"/>
              <w:sz w:val="22"/>
              <w:lang w:eastAsia="en-AU"/>
            </w:rPr>
          </w:pPr>
          <w:hyperlink w:anchor="_Toc2585793" w:history="1">
            <w:r w:rsidR="009D683D" w:rsidRPr="009D683D">
              <w:rPr>
                <w:rFonts w:ascii="Calibri" w:eastAsia="Calibri" w:hAnsi="Calibri" w:cs="Times New Roman"/>
                <w:b/>
                <w:bCs/>
                <w:caps/>
                <w:noProof/>
                <w:color w:val="000000" w:themeColor="text1"/>
                <w:szCs w:val="20"/>
                <w14:scene3d>
                  <w14:camera w14:prst="orthographicFront"/>
                  <w14:lightRig w14:rig="threePt" w14:dir="t">
                    <w14:rot w14:lat="0" w14:lon="0" w14:rev="0"/>
                  </w14:lightRig>
                </w14:scene3d>
              </w:rPr>
              <w:t>1.</w:t>
            </w:r>
            <w:r w:rsidR="009D683D" w:rsidRPr="009D683D">
              <w:rPr>
                <w:rFonts w:ascii="Calibri" w:eastAsia="Times New Roman" w:hAnsi="Calibri" w:cs="Times New Roman"/>
                <w:noProof/>
                <w:color w:val="000000" w:themeColor="text1"/>
                <w:sz w:val="22"/>
                <w:lang w:eastAsia="en-AU"/>
              </w:rPr>
              <w:tab/>
            </w:r>
            <w:r w:rsidR="009D683D" w:rsidRPr="009D683D">
              <w:rPr>
                <w:rFonts w:ascii="Calibri" w:eastAsia="Calibri" w:hAnsi="Calibri" w:cs="Times New Roman"/>
                <w:b/>
                <w:bCs/>
                <w:caps/>
                <w:noProof/>
                <w:color w:val="000000" w:themeColor="text1"/>
                <w:szCs w:val="20"/>
              </w:rPr>
              <w:t>Introduction</w:t>
            </w:r>
            <w:r w:rsidR="009D683D" w:rsidRPr="009D683D">
              <w:rPr>
                <w:rFonts w:ascii="Calibri" w:eastAsia="Calibri" w:hAnsi="Calibri" w:cs="Times New Roman"/>
                <w:b/>
                <w:bCs/>
                <w:caps/>
                <w:noProof/>
                <w:webHidden/>
                <w:color w:val="000000" w:themeColor="text1"/>
                <w:szCs w:val="20"/>
              </w:rPr>
              <w:tab/>
            </w:r>
            <w:r w:rsidR="009D683D" w:rsidRPr="009D683D">
              <w:rPr>
                <w:rFonts w:ascii="Calibri" w:eastAsia="Calibri" w:hAnsi="Calibri" w:cs="Times New Roman"/>
                <w:b/>
                <w:bCs/>
                <w:caps/>
                <w:noProof/>
                <w:webHidden/>
                <w:color w:val="000000" w:themeColor="text1"/>
                <w:szCs w:val="20"/>
              </w:rPr>
              <w:fldChar w:fldCharType="begin"/>
            </w:r>
            <w:r w:rsidR="009D683D" w:rsidRPr="009D683D">
              <w:rPr>
                <w:rFonts w:ascii="Calibri" w:eastAsia="Calibri" w:hAnsi="Calibri" w:cs="Times New Roman"/>
                <w:b/>
                <w:bCs/>
                <w:caps/>
                <w:noProof/>
                <w:webHidden/>
                <w:color w:val="000000" w:themeColor="text1"/>
                <w:szCs w:val="20"/>
              </w:rPr>
              <w:instrText xml:space="preserve"> PAGEREF _Toc2585793 \h </w:instrText>
            </w:r>
            <w:r w:rsidR="009D683D" w:rsidRPr="009D683D">
              <w:rPr>
                <w:rFonts w:ascii="Calibri" w:eastAsia="Calibri" w:hAnsi="Calibri" w:cs="Times New Roman"/>
                <w:b/>
                <w:bCs/>
                <w:caps/>
                <w:noProof/>
                <w:webHidden/>
                <w:color w:val="000000" w:themeColor="text1"/>
                <w:szCs w:val="20"/>
              </w:rPr>
            </w:r>
            <w:r w:rsidR="009D683D" w:rsidRPr="009D683D">
              <w:rPr>
                <w:rFonts w:ascii="Calibri" w:eastAsia="Calibri" w:hAnsi="Calibri" w:cs="Times New Roman"/>
                <w:b/>
                <w:bCs/>
                <w:caps/>
                <w:noProof/>
                <w:webHidden/>
                <w:color w:val="000000" w:themeColor="text1"/>
                <w:szCs w:val="20"/>
              </w:rPr>
              <w:fldChar w:fldCharType="separate"/>
            </w:r>
            <w:r w:rsidR="009D683D" w:rsidRPr="009D683D">
              <w:rPr>
                <w:rFonts w:ascii="Calibri" w:eastAsia="Calibri" w:hAnsi="Calibri" w:cs="Times New Roman"/>
                <w:b/>
                <w:bCs/>
                <w:caps/>
                <w:noProof/>
                <w:webHidden/>
                <w:color w:val="000000" w:themeColor="text1"/>
                <w:szCs w:val="20"/>
              </w:rPr>
              <w:t>1</w:t>
            </w:r>
            <w:r w:rsidR="009D683D" w:rsidRPr="009D683D">
              <w:rPr>
                <w:rFonts w:ascii="Calibri" w:eastAsia="Calibri" w:hAnsi="Calibri" w:cs="Times New Roman"/>
                <w:b/>
                <w:bCs/>
                <w:caps/>
                <w:noProof/>
                <w:webHidden/>
                <w:color w:val="000000" w:themeColor="text1"/>
                <w:szCs w:val="20"/>
              </w:rPr>
              <w:fldChar w:fldCharType="end"/>
            </w:r>
          </w:hyperlink>
        </w:p>
        <w:p w14:paraId="750E674A" w14:textId="77777777" w:rsidR="009D683D" w:rsidRPr="009D683D" w:rsidRDefault="00D32AD3" w:rsidP="009D683D">
          <w:pPr>
            <w:tabs>
              <w:tab w:val="left" w:pos="880"/>
              <w:tab w:val="right" w:leader="dot" w:pos="9016"/>
            </w:tabs>
            <w:spacing w:after="0"/>
            <w:ind w:left="220"/>
            <w:rPr>
              <w:rFonts w:ascii="Calibri" w:eastAsia="Times New Roman" w:hAnsi="Calibri" w:cs="Times New Roman"/>
              <w:noProof/>
              <w:color w:val="000000" w:themeColor="text1"/>
              <w:sz w:val="22"/>
              <w:lang w:eastAsia="en-AU"/>
            </w:rPr>
          </w:pPr>
          <w:hyperlink w:anchor="_Toc2585794" w:history="1">
            <w:r w:rsidR="009D683D" w:rsidRPr="009D683D">
              <w:rPr>
                <w:rFonts w:ascii="Calibri" w:eastAsia="Calibri" w:hAnsi="Calibri" w:cs="Times New Roman"/>
                <w:smallCaps/>
                <w:noProof/>
                <w:color w:val="000000" w:themeColor="text1"/>
                <w:szCs w:val="20"/>
                <w14:scene3d>
                  <w14:camera w14:prst="orthographicFront"/>
                  <w14:lightRig w14:rig="threePt" w14:dir="t">
                    <w14:rot w14:lat="0" w14:lon="0" w14:rev="0"/>
                  </w14:lightRig>
                </w14:scene3d>
              </w:rPr>
              <w:t>1.1</w:t>
            </w:r>
            <w:r w:rsidR="009D683D" w:rsidRPr="009D683D">
              <w:rPr>
                <w:rFonts w:ascii="Calibri" w:eastAsia="Times New Roman" w:hAnsi="Calibri" w:cs="Times New Roman"/>
                <w:noProof/>
                <w:color w:val="000000" w:themeColor="text1"/>
                <w:sz w:val="22"/>
                <w:lang w:eastAsia="en-AU"/>
              </w:rPr>
              <w:tab/>
            </w:r>
            <w:r w:rsidR="009D683D" w:rsidRPr="009D683D">
              <w:rPr>
                <w:rFonts w:ascii="Calibri" w:eastAsia="Calibri" w:hAnsi="Calibri" w:cs="Times New Roman"/>
                <w:smallCaps/>
                <w:noProof/>
                <w:color w:val="000000" w:themeColor="text1"/>
                <w:szCs w:val="20"/>
              </w:rPr>
              <w:t>Organ donation</w:t>
            </w:r>
            <w:r w:rsidR="009D683D" w:rsidRPr="009D683D">
              <w:rPr>
                <w:rFonts w:ascii="Calibri" w:eastAsia="Calibri" w:hAnsi="Calibri" w:cs="Times New Roman"/>
                <w:smallCaps/>
                <w:noProof/>
                <w:webHidden/>
                <w:color w:val="000000" w:themeColor="text1"/>
                <w:szCs w:val="20"/>
              </w:rPr>
              <w:tab/>
            </w:r>
            <w:r w:rsidR="009D683D" w:rsidRPr="009D683D">
              <w:rPr>
                <w:rFonts w:ascii="Calibri" w:eastAsia="Calibri" w:hAnsi="Calibri" w:cs="Times New Roman"/>
                <w:smallCaps/>
                <w:noProof/>
                <w:webHidden/>
                <w:color w:val="000000" w:themeColor="text1"/>
                <w:szCs w:val="20"/>
              </w:rPr>
              <w:fldChar w:fldCharType="begin"/>
            </w:r>
            <w:r w:rsidR="009D683D" w:rsidRPr="009D683D">
              <w:rPr>
                <w:rFonts w:ascii="Calibri" w:eastAsia="Calibri" w:hAnsi="Calibri" w:cs="Times New Roman"/>
                <w:smallCaps/>
                <w:noProof/>
                <w:webHidden/>
                <w:color w:val="000000" w:themeColor="text1"/>
                <w:szCs w:val="20"/>
              </w:rPr>
              <w:instrText xml:space="preserve"> PAGEREF _Toc2585794 \h </w:instrText>
            </w:r>
            <w:r w:rsidR="009D683D" w:rsidRPr="009D683D">
              <w:rPr>
                <w:rFonts w:ascii="Calibri" w:eastAsia="Calibri" w:hAnsi="Calibri" w:cs="Times New Roman"/>
                <w:smallCaps/>
                <w:noProof/>
                <w:webHidden/>
                <w:color w:val="000000" w:themeColor="text1"/>
                <w:szCs w:val="20"/>
              </w:rPr>
            </w:r>
            <w:r w:rsidR="009D683D" w:rsidRPr="009D683D">
              <w:rPr>
                <w:rFonts w:ascii="Calibri" w:eastAsia="Calibri" w:hAnsi="Calibri" w:cs="Times New Roman"/>
                <w:smallCaps/>
                <w:noProof/>
                <w:webHidden/>
                <w:color w:val="000000" w:themeColor="text1"/>
                <w:szCs w:val="20"/>
              </w:rPr>
              <w:fldChar w:fldCharType="separate"/>
            </w:r>
            <w:r w:rsidR="009D683D" w:rsidRPr="009D683D">
              <w:rPr>
                <w:rFonts w:ascii="Calibri" w:eastAsia="Calibri" w:hAnsi="Calibri" w:cs="Times New Roman"/>
                <w:smallCaps/>
                <w:noProof/>
                <w:webHidden/>
                <w:color w:val="000000" w:themeColor="text1"/>
                <w:szCs w:val="20"/>
              </w:rPr>
              <w:t>3</w:t>
            </w:r>
            <w:r w:rsidR="009D683D" w:rsidRPr="009D683D">
              <w:rPr>
                <w:rFonts w:ascii="Calibri" w:eastAsia="Calibri" w:hAnsi="Calibri" w:cs="Times New Roman"/>
                <w:smallCaps/>
                <w:noProof/>
                <w:webHidden/>
                <w:color w:val="000000" w:themeColor="text1"/>
                <w:szCs w:val="20"/>
              </w:rPr>
              <w:fldChar w:fldCharType="end"/>
            </w:r>
          </w:hyperlink>
        </w:p>
        <w:p w14:paraId="449D775F" w14:textId="77777777" w:rsidR="009D683D" w:rsidRPr="009D683D" w:rsidRDefault="00D32AD3" w:rsidP="009D683D">
          <w:pPr>
            <w:tabs>
              <w:tab w:val="left" w:pos="880"/>
              <w:tab w:val="right" w:leader="dot" w:pos="9016"/>
            </w:tabs>
            <w:spacing w:after="0"/>
            <w:ind w:left="220"/>
            <w:rPr>
              <w:rFonts w:ascii="Calibri" w:eastAsia="Times New Roman" w:hAnsi="Calibri" w:cs="Times New Roman"/>
              <w:noProof/>
              <w:color w:val="000000" w:themeColor="text1"/>
              <w:sz w:val="22"/>
              <w:lang w:eastAsia="en-AU"/>
            </w:rPr>
          </w:pPr>
          <w:hyperlink w:anchor="_Toc2585795" w:history="1">
            <w:r w:rsidR="009D683D" w:rsidRPr="009D683D">
              <w:rPr>
                <w:rFonts w:ascii="Calibri" w:eastAsia="Calibri" w:hAnsi="Calibri" w:cs="Times New Roman"/>
                <w:smallCaps/>
                <w:noProof/>
                <w:color w:val="000000" w:themeColor="text1"/>
                <w:szCs w:val="20"/>
                <w14:scene3d>
                  <w14:camera w14:prst="orthographicFront"/>
                  <w14:lightRig w14:rig="threePt" w14:dir="t">
                    <w14:rot w14:lat="0" w14:lon="0" w14:rev="0"/>
                  </w14:lightRig>
                </w14:scene3d>
              </w:rPr>
              <w:t>1.2</w:t>
            </w:r>
            <w:r w:rsidR="009D683D" w:rsidRPr="009D683D">
              <w:rPr>
                <w:rFonts w:ascii="Calibri" w:eastAsia="Times New Roman" w:hAnsi="Calibri" w:cs="Times New Roman"/>
                <w:noProof/>
                <w:color w:val="000000" w:themeColor="text1"/>
                <w:sz w:val="22"/>
                <w:lang w:eastAsia="en-AU"/>
              </w:rPr>
              <w:tab/>
            </w:r>
            <w:r w:rsidR="009D683D" w:rsidRPr="009D683D">
              <w:rPr>
                <w:rFonts w:ascii="Calibri" w:eastAsia="Calibri" w:hAnsi="Calibri" w:cs="Times New Roman"/>
                <w:smallCaps/>
                <w:noProof/>
                <w:color w:val="000000" w:themeColor="text1"/>
                <w:szCs w:val="20"/>
              </w:rPr>
              <w:t>Pre- and post-transplant barriers</w:t>
            </w:r>
            <w:r w:rsidR="009D683D" w:rsidRPr="009D683D">
              <w:rPr>
                <w:rFonts w:ascii="Calibri" w:eastAsia="Calibri" w:hAnsi="Calibri" w:cs="Times New Roman"/>
                <w:smallCaps/>
                <w:noProof/>
                <w:webHidden/>
                <w:color w:val="000000" w:themeColor="text1"/>
                <w:szCs w:val="20"/>
              </w:rPr>
              <w:tab/>
            </w:r>
            <w:r w:rsidR="009D683D" w:rsidRPr="009D683D">
              <w:rPr>
                <w:rFonts w:ascii="Calibri" w:eastAsia="Calibri" w:hAnsi="Calibri" w:cs="Times New Roman"/>
                <w:smallCaps/>
                <w:noProof/>
                <w:webHidden/>
                <w:color w:val="000000" w:themeColor="text1"/>
                <w:szCs w:val="20"/>
              </w:rPr>
              <w:fldChar w:fldCharType="begin"/>
            </w:r>
            <w:r w:rsidR="009D683D" w:rsidRPr="009D683D">
              <w:rPr>
                <w:rFonts w:ascii="Calibri" w:eastAsia="Calibri" w:hAnsi="Calibri" w:cs="Times New Roman"/>
                <w:smallCaps/>
                <w:noProof/>
                <w:webHidden/>
                <w:color w:val="000000" w:themeColor="text1"/>
                <w:szCs w:val="20"/>
              </w:rPr>
              <w:instrText xml:space="preserve"> PAGEREF _Toc2585795 \h </w:instrText>
            </w:r>
            <w:r w:rsidR="009D683D" w:rsidRPr="009D683D">
              <w:rPr>
                <w:rFonts w:ascii="Calibri" w:eastAsia="Calibri" w:hAnsi="Calibri" w:cs="Times New Roman"/>
                <w:smallCaps/>
                <w:noProof/>
                <w:webHidden/>
                <w:color w:val="000000" w:themeColor="text1"/>
                <w:szCs w:val="20"/>
              </w:rPr>
            </w:r>
            <w:r w:rsidR="009D683D" w:rsidRPr="009D683D">
              <w:rPr>
                <w:rFonts w:ascii="Calibri" w:eastAsia="Calibri" w:hAnsi="Calibri" w:cs="Times New Roman"/>
                <w:smallCaps/>
                <w:noProof/>
                <w:webHidden/>
                <w:color w:val="000000" w:themeColor="text1"/>
                <w:szCs w:val="20"/>
              </w:rPr>
              <w:fldChar w:fldCharType="separate"/>
            </w:r>
            <w:r w:rsidR="009D683D" w:rsidRPr="009D683D">
              <w:rPr>
                <w:rFonts w:ascii="Calibri" w:eastAsia="Calibri" w:hAnsi="Calibri" w:cs="Times New Roman"/>
                <w:smallCaps/>
                <w:noProof/>
                <w:webHidden/>
                <w:color w:val="000000" w:themeColor="text1"/>
                <w:szCs w:val="20"/>
              </w:rPr>
              <w:t>4</w:t>
            </w:r>
            <w:r w:rsidR="009D683D" w:rsidRPr="009D683D">
              <w:rPr>
                <w:rFonts w:ascii="Calibri" w:eastAsia="Calibri" w:hAnsi="Calibri" w:cs="Times New Roman"/>
                <w:smallCaps/>
                <w:noProof/>
                <w:webHidden/>
                <w:color w:val="000000" w:themeColor="text1"/>
                <w:szCs w:val="20"/>
              </w:rPr>
              <w:fldChar w:fldCharType="end"/>
            </w:r>
          </w:hyperlink>
        </w:p>
        <w:p w14:paraId="67F94A28" w14:textId="77777777" w:rsidR="009D683D" w:rsidRPr="009D683D" w:rsidRDefault="00D32AD3" w:rsidP="009D683D">
          <w:pPr>
            <w:tabs>
              <w:tab w:val="left" w:pos="880"/>
              <w:tab w:val="right" w:leader="dot" w:pos="9016"/>
            </w:tabs>
            <w:spacing w:after="0"/>
            <w:ind w:left="220"/>
            <w:rPr>
              <w:rFonts w:ascii="Calibri" w:eastAsia="Times New Roman" w:hAnsi="Calibri" w:cs="Times New Roman"/>
              <w:noProof/>
              <w:color w:val="000000" w:themeColor="text1"/>
              <w:sz w:val="22"/>
              <w:lang w:eastAsia="en-AU"/>
            </w:rPr>
          </w:pPr>
          <w:hyperlink w:anchor="_Toc2585796" w:history="1">
            <w:r w:rsidR="009D683D" w:rsidRPr="009D683D">
              <w:rPr>
                <w:rFonts w:ascii="Calibri" w:eastAsia="Calibri" w:hAnsi="Calibri" w:cs="Times New Roman"/>
                <w:smallCaps/>
                <w:noProof/>
                <w:color w:val="000000" w:themeColor="text1"/>
                <w:szCs w:val="20"/>
                <w14:scene3d>
                  <w14:camera w14:prst="orthographicFront"/>
                  <w14:lightRig w14:rig="threePt" w14:dir="t">
                    <w14:rot w14:lat="0" w14:lon="0" w14:rev="0"/>
                  </w14:lightRig>
                </w14:scene3d>
              </w:rPr>
              <w:t>1.3</w:t>
            </w:r>
            <w:r w:rsidR="009D683D" w:rsidRPr="009D683D">
              <w:rPr>
                <w:rFonts w:ascii="Calibri" w:eastAsia="Times New Roman" w:hAnsi="Calibri" w:cs="Times New Roman"/>
                <w:noProof/>
                <w:color w:val="000000" w:themeColor="text1"/>
                <w:sz w:val="22"/>
                <w:lang w:eastAsia="en-AU"/>
              </w:rPr>
              <w:tab/>
            </w:r>
            <w:r w:rsidR="009D683D" w:rsidRPr="009D683D">
              <w:rPr>
                <w:rFonts w:ascii="Calibri" w:eastAsia="Calibri" w:hAnsi="Calibri" w:cs="Times New Roman"/>
                <w:smallCaps/>
                <w:noProof/>
                <w:color w:val="000000" w:themeColor="text1"/>
                <w:szCs w:val="20"/>
              </w:rPr>
              <w:t>Aims of this report</w:t>
            </w:r>
            <w:r w:rsidR="009D683D" w:rsidRPr="009D683D">
              <w:rPr>
                <w:rFonts w:ascii="Calibri" w:eastAsia="Calibri" w:hAnsi="Calibri" w:cs="Times New Roman"/>
                <w:smallCaps/>
                <w:noProof/>
                <w:webHidden/>
                <w:color w:val="000000" w:themeColor="text1"/>
                <w:szCs w:val="20"/>
              </w:rPr>
              <w:tab/>
            </w:r>
            <w:r w:rsidR="009D683D" w:rsidRPr="009D683D">
              <w:rPr>
                <w:rFonts w:ascii="Calibri" w:eastAsia="Calibri" w:hAnsi="Calibri" w:cs="Times New Roman"/>
                <w:smallCaps/>
                <w:noProof/>
                <w:webHidden/>
                <w:color w:val="000000" w:themeColor="text1"/>
                <w:szCs w:val="20"/>
              </w:rPr>
              <w:fldChar w:fldCharType="begin"/>
            </w:r>
            <w:r w:rsidR="009D683D" w:rsidRPr="009D683D">
              <w:rPr>
                <w:rFonts w:ascii="Calibri" w:eastAsia="Calibri" w:hAnsi="Calibri" w:cs="Times New Roman"/>
                <w:smallCaps/>
                <w:noProof/>
                <w:webHidden/>
                <w:color w:val="000000" w:themeColor="text1"/>
                <w:szCs w:val="20"/>
              </w:rPr>
              <w:instrText xml:space="preserve"> PAGEREF _Toc2585796 \h </w:instrText>
            </w:r>
            <w:r w:rsidR="009D683D" w:rsidRPr="009D683D">
              <w:rPr>
                <w:rFonts w:ascii="Calibri" w:eastAsia="Calibri" w:hAnsi="Calibri" w:cs="Times New Roman"/>
                <w:smallCaps/>
                <w:noProof/>
                <w:webHidden/>
                <w:color w:val="000000" w:themeColor="text1"/>
                <w:szCs w:val="20"/>
              </w:rPr>
            </w:r>
            <w:r w:rsidR="009D683D" w:rsidRPr="009D683D">
              <w:rPr>
                <w:rFonts w:ascii="Calibri" w:eastAsia="Calibri" w:hAnsi="Calibri" w:cs="Times New Roman"/>
                <w:smallCaps/>
                <w:noProof/>
                <w:webHidden/>
                <w:color w:val="000000" w:themeColor="text1"/>
                <w:szCs w:val="20"/>
              </w:rPr>
              <w:fldChar w:fldCharType="separate"/>
            </w:r>
            <w:r w:rsidR="009D683D" w:rsidRPr="009D683D">
              <w:rPr>
                <w:rFonts w:ascii="Calibri" w:eastAsia="Calibri" w:hAnsi="Calibri" w:cs="Times New Roman"/>
                <w:smallCaps/>
                <w:noProof/>
                <w:webHidden/>
                <w:color w:val="000000" w:themeColor="text1"/>
                <w:szCs w:val="20"/>
              </w:rPr>
              <w:t>5</w:t>
            </w:r>
            <w:r w:rsidR="009D683D" w:rsidRPr="009D683D">
              <w:rPr>
                <w:rFonts w:ascii="Calibri" w:eastAsia="Calibri" w:hAnsi="Calibri" w:cs="Times New Roman"/>
                <w:smallCaps/>
                <w:noProof/>
                <w:webHidden/>
                <w:color w:val="000000" w:themeColor="text1"/>
                <w:szCs w:val="20"/>
              </w:rPr>
              <w:fldChar w:fldCharType="end"/>
            </w:r>
          </w:hyperlink>
        </w:p>
        <w:p w14:paraId="619EC7C8" w14:textId="77777777" w:rsidR="009D683D" w:rsidRPr="009D683D" w:rsidRDefault="00D32AD3" w:rsidP="009D683D">
          <w:pPr>
            <w:tabs>
              <w:tab w:val="left" w:pos="880"/>
              <w:tab w:val="right" w:leader="dot" w:pos="9016"/>
            </w:tabs>
            <w:spacing w:after="0"/>
            <w:ind w:left="220"/>
            <w:rPr>
              <w:rFonts w:ascii="Calibri" w:eastAsia="Times New Roman" w:hAnsi="Calibri" w:cs="Times New Roman"/>
              <w:noProof/>
              <w:color w:val="000000" w:themeColor="text1"/>
              <w:sz w:val="22"/>
              <w:lang w:eastAsia="en-AU"/>
            </w:rPr>
          </w:pPr>
          <w:hyperlink w:anchor="_Toc2585797" w:history="1">
            <w:r w:rsidR="009D683D" w:rsidRPr="009D683D">
              <w:rPr>
                <w:rFonts w:ascii="Calibri" w:eastAsia="Calibri" w:hAnsi="Calibri" w:cs="Times New Roman"/>
                <w:smallCaps/>
                <w:noProof/>
                <w:color w:val="000000" w:themeColor="text1"/>
                <w:szCs w:val="20"/>
                <w14:scene3d>
                  <w14:camera w14:prst="orthographicFront"/>
                  <w14:lightRig w14:rig="threePt" w14:dir="t">
                    <w14:rot w14:lat="0" w14:lon="0" w14:rev="0"/>
                  </w14:lightRig>
                </w14:scene3d>
              </w:rPr>
              <w:t>1.4</w:t>
            </w:r>
            <w:r w:rsidR="009D683D" w:rsidRPr="009D683D">
              <w:rPr>
                <w:rFonts w:ascii="Calibri" w:eastAsia="Times New Roman" w:hAnsi="Calibri" w:cs="Times New Roman"/>
                <w:noProof/>
                <w:color w:val="000000" w:themeColor="text1"/>
                <w:sz w:val="22"/>
                <w:lang w:eastAsia="en-AU"/>
              </w:rPr>
              <w:tab/>
            </w:r>
            <w:r w:rsidR="009D683D" w:rsidRPr="009D683D">
              <w:rPr>
                <w:rFonts w:ascii="Calibri" w:eastAsia="Calibri" w:hAnsi="Calibri" w:cs="Times New Roman"/>
                <w:smallCaps/>
                <w:noProof/>
                <w:color w:val="000000" w:themeColor="text1"/>
                <w:szCs w:val="20"/>
              </w:rPr>
              <w:t>Structure of this report</w:t>
            </w:r>
            <w:r w:rsidR="009D683D" w:rsidRPr="009D683D">
              <w:rPr>
                <w:rFonts w:ascii="Calibri" w:eastAsia="Calibri" w:hAnsi="Calibri" w:cs="Times New Roman"/>
                <w:smallCaps/>
                <w:noProof/>
                <w:webHidden/>
                <w:color w:val="000000" w:themeColor="text1"/>
                <w:szCs w:val="20"/>
              </w:rPr>
              <w:tab/>
            </w:r>
            <w:r w:rsidR="009D683D" w:rsidRPr="009D683D">
              <w:rPr>
                <w:rFonts w:ascii="Calibri" w:eastAsia="Calibri" w:hAnsi="Calibri" w:cs="Times New Roman"/>
                <w:smallCaps/>
                <w:noProof/>
                <w:webHidden/>
                <w:color w:val="000000" w:themeColor="text1"/>
                <w:szCs w:val="20"/>
              </w:rPr>
              <w:fldChar w:fldCharType="begin"/>
            </w:r>
            <w:r w:rsidR="009D683D" w:rsidRPr="009D683D">
              <w:rPr>
                <w:rFonts w:ascii="Calibri" w:eastAsia="Calibri" w:hAnsi="Calibri" w:cs="Times New Roman"/>
                <w:smallCaps/>
                <w:noProof/>
                <w:webHidden/>
                <w:color w:val="000000" w:themeColor="text1"/>
                <w:szCs w:val="20"/>
              </w:rPr>
              <w:instrText xml:space="preserve"> PAGEREF _Toc2585797 \h </w:instrText>
            </w:r>
            <w:r w:rsidR="009D683D" w:rsidRPr="009D683D">
              <w:rPr>
                <w:rFonts w:ascii="Calibri" w:eastAsia="Calibri" w:hAnsi="Calibri" w:cs="Times New Roman"/>
                <w:smallCaps/>
                <w:noProof/>
                <w:webHidden/>
                <w:color w:val="000000" w:themeColor="text1"/>
                <w:szCs w:val="20"/>
              </w:rPr>
            </w:r>
            <w:r w:rsidR="009D683D" w:rsidRPr="009D683D">
              <w:rPr>
                <w:rFonts w:ascii="Calibri" w:eastAsia="Calibri" w:hAnsi="Calibri" w:cs="Times New Roman"/>
                <w:smallCaps/>
                <w:noProof/>
                <w:webHidden/>
                <w:color w:val="000000" w:themeColor="text1"/>
                <w:szCs w:val="20"/>
              </w:rPr>
              <w:fldChar w:fldCharType="separate"/>
            </w:r>
            <w:r w:rsidR="009D683D" w:rsidRPr="009D683D">
              <w:rPr>
                <w:rFonts w:ascii="Calibri" w:eastAsia="Calibri" w:hAnsi="Calibri" w:cs="Times New Roman"/>
                <w:smallCaps/>
                <w:noProof/>
                <w:webHidden/>
                <w:color w:val="000000" w:themeColor="text1"/>
                <w:szCs w:val="20"/>
              </w:rPr>
              <w:t>5</w:t>
            </w:r>
            <w:r w:rsidR="009D683D" w:rsidRPr="009D683D">
              <w:rPr>
                <w:rFonts w:ascii="Calibri" w:eastAsia="Calibri" w:hAnsi="Calibri" w:cs="Times New Roman"/>
                <w:smallCaps/>
                <w:noProof/>
                <w:webHidden/>
                <w:color w:val="000000" w:themeColor="text1"/>
                <w:szCs w:val="20"/>
              </w:rPr>
              <w:fldChar w:fldCharType="end"/>
            </w:r>
          </w:hyperlink>
        </w:p>
        <w:p w14:paraId="23632909" w14:textId="77777777" w:rsidR="009D683D" w:rsidRPr="009D683D" w:rsidRDefault="00D32AD3" w:rsidP="009D683D">
          <w:pPr>
            <w:tabs>
              <w:tab w:val="left" w:pos="440"/>
              <w:tab w:val="right" w:leader="dot" w:pos="9016"/>
            </w:tabs>
            <w:spacing w:before="120" w:after="120" w:line="240" w:lineRule="auto"/>
            <w:rPr>
              <w:rFonts w:ascii="Calibri" w:eastAsia="Times New Roman" w:hAnsi="Calibri" w:cs="Times New Roman"/>
              <w:noProof/>
              <w:color w:val="000000" w:themeColor="text1"/>
              <w:sz w:val="22"/>
              <w:lang w:eastAsia="en-AU"/>
            </w:rPr>
          </w:pPr>
          <w:hyperlink w:anchor="_Toc2585798" w:history="1">
            <w:r w:rsidR="009D683D" w:rsidRPr="009D683D">
              <w:rPr>
                <w:rFonts w:ascii="Calibri" w:eastAsia="Calibri" w:hAnsi="Calibri" w:cs="Times New Roman"/>
                <w:b/>
                <w:bCs/>
                <w:caps/>
                <w:noProof/>
                <w:color w:val="000000" w:themeColor="text1"/>
                <w:szCs w:val="20"/>
                <w14:scene3d>
                  <w14:camera w14:prst="orthographicFront"/>
                  <w14:lightRig w14:rig="threePt" w14:dir="t">
                    <w14:rot w14:lat="0" w14:lon="0" w14:rev="0"/>
                  </w14:lightRig>
                </w14:scene3d>
              </w:rPr>
              <w:t>2.</w:t>
            </w:r>
            <w:r w:rsidR="009D683D" w:rsidRPr="009D683D">
              <w:rPr>
                <w:rFonts w:ascii="Calibri" w:eastAsia="Times New Roman" w:hAnsi="Calibri" w:cs="Times New Roman"/>
                <w:noProof/>
                <w:color w:val="000000" w:themeColor="text1"/>
                <w:sz w:val="22"/>
                <w:lang w:eastAsia="en-AU"/>
              </w:rPr>
              <w:tab/>
            </w:r>
            <w:r w:rsidR="009D683D" w:rsidRPr="009D683D">
              <w:rPr>
                <w:rFonts w:ascii="Calibri" w:eastAsia="Calibri" w:hAnsi="Calibri" w:cs="Times New Roman"/>
                <w:b/>
                <w:bCs/>
                <w:caps/>
                <w:noProof/>
                <w:color w:val="000000" w:themeColor="text1"/>
                <w:szCs w:val="20"/>
              </w:rPr>
              <w:t>Current Evidence</w:t>
            </w:r>
            <w:r w:rsidR="009D683D" w:rsidRPr="009D683D">
              <w:rPr>
                <w:rFonts w:ascii="Calibri" w:eastAsia="Calibri" w:hAnsi="Calibri" w:cs="Times New Roman"/>
                <w:b/>
                <w:bCs/>
                <w:caps/>
                <w:noProof/>
                <w:webHidden/>
                <w:color w:val="000000" w:themeColor="text1"/>
                <w:szCs w:val="20"/>
              </w:rPr>
              <w:tab/>
            </w:r>
            <w:r w:rsidR="009D683D" w:rsidRPr="009D683D">
              <w:rPr>
                <w:rFonts w:ascii="Calibri" w:eastAsia="Calibri" w:hAnsi="Calibri" w:cs="Times New Roman"/>
                <w:b/>
                <w:bCs/>
                <w:caps/>
                <w:noProof/>
                <w:webHidden/>
                <w:color w:val="000000" w:themeColor="text1"/>
                <w:szCs w:val="20"/>
              </w:rPr>
              <w:fldChar w:fldCharType="begin"/>
            </w:r>
            <w:r w:rsidR="009D683D" w:rsidRPr="009D683D">
              <w:rPr>
                <w:rFonts w:ascii="Calibri" w:eastAsia="Calibri" w:hAnsi="Calibri" w:cs="Times New Roman"/>
                <w:b/>
                <w:bCs/>
                <w:caps/>
                <w:noProof/>
                <w:webHidden/>
                <w:color w:val="000000" w:themeColor="text1"/>
                <w:szCs w:val="20"/>
              </w:rPr>
              <w:instrText xml:space="preserve"> PAGEREF _Toc2585798 \h </w:instrText>
            </w:r>
            <w:r w:rsidR="009D683D" w:rsidRPr="009D683D">
              <w:rPr>
                <w:rFonts w:ascii="Calibri" w:eastAsia="Calibri" w:hAnsi="Calibri" w:cs="Times New Roman"/>
                <w:b/>
                <w:bCs/>
                <w:caps/>
                <w:noProof/>
                <w:webHidden/>
                <w:color w:val="000000" w:themeColor="text1"/>
                <w:szCs w:val="20"/>
              </w:rPr>
            </w:r>
            <w:r w:rsidR="009D683D" w:rsidRPr="009D683D">
              <w:rPr>
                <w:rFonts w:ascii="Calibri" w:eastAsia="Calibri" w:hAnsi="Calibri" w:cs="Times New Roman"/>
                <w:b/>
                <w:bCs/>
                <w:caps/>
                <w:noProof/>
                <w:webHidden/>
                <w:color w:val="000000" w:themeColor="text1"/>
                <w:szCs w:val="20"/>
              </w:rPr>
              <w:fldChar w:fldCharType="separate"/>
            </w:r>
            <w:r w:rsidR="009D683D" w:rsidRPr="009D683D">
              <w:rPr>
                <w:rFonts w:ascii="Calibri" w:eastAsia="Calibri" w:hAnsi="Calibri" w:cs="Times New Roman"/>
                <w:b/>
                <w:bCs/>
                <w:caps/>
                <w:noProof/>
                <w:webHidden/>
                <w:color w:val="000000" w:themeColor="text1"/>
                <w:szCs w:val="20"/>
              </w:rPr>
              <w:t>6</w:t>
            </w:r>
            <w:r w:rsidR="009D683D" w:rsidRPr="009D683D">
              <w:rPr>
                <w:rFonts w:ascii="Calibri" w:eastAsia="Calibri" w:hAnsi="Calibri" w:cs="Times New Roman"/>
                <w:b/>
                <w:bCs/>
                <w:caps/>
                <w:noProof/>
                <w:webHidden/>
                <w:color w:val="000000" w:themeColor="text1"/>
                <w:szCs w:val="20"/>
              </w:rPr>
              <w:fldChar w:fldCharType="end"/>
            </w:r>
          </w:hyperlink>
        </w:p>
        <w:p w14:paraId="2E2A0EE5" w14:textId="77777777" w:rsidR="009D683D" w:rsidRPr="009D683D" w:rsidRDefault="00D32AD3" w:rsidP="009D683D">
          <w:pPr>
            <w:tabs>
              <w:tab w:val="left" w:pos="880"/>
              <w:tab w:val="right" w:leader="dot" w:pos="9016"/>
            </w:tabs>
            <w:spacing w:after="0"/>
            <w:ind w:left="220"/>
            <w:rPr>
              <w:rFonts w:ascii="Calibri" w:eastAsia="Times New Roman" w:hAnsi="Calibri" w:cs="Times New Roman"/>
              <w:noProof/>
              <w:color w:val="000000" w:themeColor="text1"/>
              <w:sz w:val="22"/>
              <w:lang w:eastAsia="en-AU"/>
            </w:rPr>
          </w:pPr>
          <w:hyperlink w:anchor="_Toc2585799" w:history="1">
            <w:r w:rsidR="009D683D" w:rsidRPr="009D683D">
              <w:rPr>
                <w:rFonts w:ascii="Calibri" w:eastAsia="Calibri" w:hAnsi="Calibri" w:cs="Times New Roman"/>
                <w:smallCaps/>
                <w:noProof/>
                <w:color w:val="000000" w:themeColor="text1"/>
                <w:szCs w:val="20"/>
                <w14:scene3d>
                  <w14:camera w14:prst="orthographicFront"/>
                  <w14:lightRig w14:rig="threePt" w14:dir="t">
                    <w14:rot w14:lat="0" w14:lon="0" w14:rev="0"/>
                  </w14:lightRig>
                </w14:scene3d>
              </w:rPr>
              <w:t>2.1</w:t>
            </w:r>
            <w:r w:rsidR="009D683D" w:rsidRPr="009D683D">
              <w:rPr>
                <w:rFonts w:ascii="Calibri" w:eastAsia="Times New Roman" w:hAnsi="Calibri" w:cs="Times New Roman"/>
                <w:noProof/>
                <w:color w:val="000000" w:themeColor="text1"/>
                <w:sz w:val="22"/>
                <w:lang w:eastAsia="en-AU"/>
              </w:rPr>
              <w:tab/>
            </w:r>
            <w:r w:rsidR="009D683D" w:rsidRPr="009D683D">
              <w:rPr>
                <w:rFonts w:ascii="Calibri" w:eastAsia="Calibri" w:hAnsi="Calibri" w:cs="Times New Roman"/>
                <w:smallCaps/>
                <w:noProof/>
                <w:color w:val="000000" w:themeColor="text1"/>
                <w:szCs w:val="20"/>
              </w:rPr>
              <w:t>Consumer Engagement</w:t>
            </w:r>
            <w:r w:rsidR="009D683D" w:rsidRPr="009D683D">
              <w:rPr>
                <w:rFonts w:ascii="Calibri" w:eastAsia="Calibri" w:hAnsi="Calibri" w:cs="Times New Roman"/>
                <w:smallCaps/>
                <w:noProof/>
                <w:webHidden/>
                <w:color w:val="000000" w:themeColor="text1"/>
                <w:szCs w:val="20"/>
              </w:rPr>
              <w:tab/>
            </w:r>
            <w:r w:rsidR="009D683D" w:rsidRPr="009D683D">
              <w:rPr>
                <w:rFonts w:ascii="Calibri" w:eastAsia="Calibri" w:hAnsi="Calibri" w:cs="Times New Roman"/>
                <w:smallCaps/>
                <w:noProof/>
                <w:webHidden/>
                <w:color w:val="000000" w:themeColor="text1"/>
                <w:szCs w:val="20"/>
              </w:rPr>
              <w:fldChar w:fldCharType="begin"/>
            </w:r>
            <w:r w:rsidR="009D683D" w:rsidRPr="009D683D">
              <w:rPr>
                <w:rFonts w:ascii="Calibri" w:eastAsia="Calibri" w:hAnsi="Calibri" w:cs="Times New Roman"/>
                <w:smallCaps/>
                <w:noProof/>
                <w:webHidden/>
                <w:color w:val="000000" w:themeColor="text1"/>
                <w:szCs w:val="20"/>
              </w:rPr>
              <w:instrText xml:space="preserve"> PAGEREF _Toc2585799 \h </w:instrText>
            </w:r>
            <w:r w:rsidR="009D683D" w:rsidRPr="009D683D">
              <w:rPr>
                <w:rFonts w:ascii="Calibri" w:eastAsia="Calibri" w:hAnsi="Calibri" w:cs="Times New Roman"/>
                <w:smallCaps/>
                <w:noProof/>
                <w:webHidden/>
                <w:color w:val="000000" w:themeColor="text1"/>
                <w:szCs w:val="20"/>
              </w:rPr>
            </w:r>
            <w:r w:rsidR="009D683D" w:rsidRPr="009D683D">
              <w:rPr>
                <w:rFonts w:ascii="Calibri" w:eastAsia="Calibri" w:hAnsi="Calibri" w:cs="Times New Roman"/>
                <w:smallCaps/>
                <w:noProof/>
                <w:webHidden/>
                <w:color w:val="000000" w:themeColor="text1"/>
                <w:szCs w:val="20"/>
              </w:rPr>
              <w:fldChar w:fldCharType="separate"/>
            </w:r>
            <w:r w:rsidR="009D683D" w:rsidRPr="009D683D">
              <w:rPr>
                <w:rFonts w:ascii="Calibri" w:eastAsia="Calibri" w:hAnsi="Calibri" w:cs="Times New Roman"/>
                <w:smallCaps/>
                <w:noProof/>
                <w:webHidden/>
                <w:color w:val="000000" w:themeColor="text1"/>
                <w:szCs w:val="20"/>
              </w:rPr>
              <w:t>6</w:t>
            </w:r>
            <w:r w:rsidR="009D683D" w:rsidRPr="009D683D">
              <w:rPr>
                <w:rFonts w:ascii="Calibri" w:eastAsia="Calibri" w:hAnsi="Calibri" w:cs="Times New Roman"/>
                <w:smallCaps/>
                <w:noProof/>
                <w:webHidden/>
                <w:color w:val="000000" w:themeColor="text1"/>
                <w:szCs w:val="20"/>
              </w:rPr>
              <w:fldChar w:fldCharType="end"/>
            </w:r>
          </w:hyperlink>
        </w:p>
        <w:p w14:paraId="1E8A2BC1" w14:textId="294E78F6" w:rsidR="009D683D" w:rsidRPr="009D683D" w:rsidRDefault="00D32AD3" w:rsidP="00782640">
          <w:pPr>
            <w:numPr>
              <w:ilvl w:val="0"/>
              <w:numId w:val="70"/>
            </w:numPr>
            <w:tabs>
              <w:tab w:val="left" w:pos="1100"/>
              <w:tab w:val="right" w:leader="dot" w:pos="9016"/>
            </w:tabs>
            <w:spacing w:after="100" w:afterAutospacing="1"/>
            <w:ind w:left="454" w:firstLine="0"/>
            <w:rPr>
              <w:rFonts w:ascii="Calibri" w:eastAsia="Times New Roman" w:hAnsi="Calibri" w:cs="Times New Roman"/>
              <w:noProof/>
              <w:color w:val="000000" w:themeColor="text1"/>
              <w:sz w:val="22"/>
              <w:lang w:eastAsia="en-AU"/>
            </w:rPr>
          </w:pPr>
          <w:hyperlink w:anchor="_Toc2585800" w:history="1">
            <w:r w:rsidR="009D683D" w:rsidRPr="009D683D">
              <w:rPr>
                <w:rFonts w:ascii="Calibri" w:eastAsia="Calibri" w:hAnsi="Calibri" w:cs="Times New Roman"/>
                <w:i/>
                <w:iCs/>
                <w:noProof/>
                <w:color w:val="000000" w:themeColor="text1"/>
                <w:szCs w:val="20"/>
                <w14:scene3d>
                  <w14:camera w14:prst="orthographicFront"/>
                  <w14:lightRig w14:rig="threePt" w14:dir="t">
                    <w14:rot w14:lat="0" w14:lon="0" w14:rev="0"/>
                  </w14:lightRig>
                </w14:scene3d>
              </w:rPr>
              <w:t>2.1.1</w:t>
            </w:r>
            <w:r w:rsidR="0010384B">
              <w:rPr>
                <w:rFonts w:ascii="Calibri" w:eastAsia="Times New Roman" w:hAnsi="Calibri" w:cs="Times New Roman"/>
                <w:noProof/>
                <w:color w:val="000000" w:themeColor="text1"/>
                <w:sz w:val="22"/>
                <w:lang w:eastAsia="en-AU"/>
              </w:rPr>
              <w:t xml:space="preserve"> </w:t>
            </w:r>
            <w:r w:rsidR="009D683D" w:rsidRPr="009D683D">
              <w:rPr>
                <w:rFonts w:ascii="Calibri" w:eastAsia="Calibri" w:hAnsi="Calibri" w:cs="Times New Roman"/>
                <w:i/>
                <w:iCs/>
                <w:noProof/>
                <w:color w:val="000000" w:themeColor="text1"/>
                <w:szCs w:val="20"/>
              </w:rPr>
              <w:t>Catching Some Air – Asserting Indigenous Information Rights in Renal Disease</w:t>
            </w:r>
            <w:r w:rsidR="009D683D" w:rsidRPr="009D683D">
              <w:rPr>
                <w:rFonts w:ascii="Calibri" w:eastAsia="Calibri" w:hAnsi="Calibri" w:cs="Times New Roman"/>
                <w:i/>
                <w:iCs/>
                <w:noProof/>
                <w:webHidden/>
                <w:color w:val="000000" w:themeColor="text1"/>
                <w:szCs w:val="20"/>
              </w:rPr>
              <w:tab/>
            </w:r>
            <w:r w:rsidR="009D683D" w:rsidRPr="009D683D">
              <w:rPr>
                <w:rFonts w:ascii="Calibri" w:eastAsia="Calibri" w:hAnsi="Calibri" w:cs="Times New Roman"/>
                <w:i/>
                <w:iCs/>
                <w:noProof/>
                <w:webHidden/>
                <w:color w:val="000000" w:themeColor="text1"/>
                <w:szCs w:val="20"/>
              </w:rPr>
              <w:fldChar w:fldCharType="begin"/>
            </w:r>
            <w:r w:rsidR="009D683D" w:rsidRPr="009D683D">
              <w:rPr>
                <w:rFonts w:ascii="Calibri" w:eastAsia="Calibri" w:hAnsi="Calibri" w:cs="Times New Roman"/>
                <w:i/>
                <w:iCs/>
                <w:noProof/>
                <w:webHidden/>
                <w:color w:val="000000" w:themeColor="text1"/>
                <w:szCs w:val="20"/>
              </w:rPr>
              <w:instrText xml:space="preserve"> PAGEREF _Toc2585800 \h </w:instrText>
            </w:r>
            <w:r w:rsidR="009D683D" w:rsidRPr="009D683D">
              <w:rPr>
                <w:rFonts w:ascii="Calibri" w:eastAsia="Calibri" w:hAnsi="Calibri" w:cs="Times New Roman"/>
                <w:i/>
                <w:iCs/>
                <w:noProof/>
                <w:webHidden/>
                <w:color w:val="000000" w:themeColor="text1"/>
                <w:szCs w:val="20"/>
              </w:rPr>
            </w:r>
            <w:r w:rsidR="009D683D" w:rsidRPr="009D683D">
              <w:rPr>
                <w:rFonts w:ascii="Calibri" w:eastAsia="Calibri" w:hAnsi="Calibri" w:cs="Times New Roman"/>
                <w:i/>
                <w:iCs/>
                <w:noProof/>
                <w:webHidden/>
                <w:color w:val="000000" w:themeColor="text1"/>
                <w:szCs w:val="20"/>
              </w:rPr>
              <w:fldChar w:fldCharType="separate"/>
            </w:r>
            <w:r w:rsidR="009D683D" w:rsidRPr="009D683D">
              <w:rPr>
                <w:rFonts w:ascii="Calibri" w:eastAsia="Calibri" w:hAnsi="Calibri" w:cs="Times New Roman"/>
                <w:i/>
                <w:iCs/>
                <w:noProof/>
                <w:webHidden/>
                <w:color w:val="000000" w:themeColor="text1"/>
                <w:szCs w:val="20"/>
              </w:rPr>
              <w:t>6</w:t>
            </w:r>
            <w:r w:rsidR="009D683D" w:rsidRPr="009D683D">
              <w:rPr>
                <w:rFonts w:ascii="Calibri" w:eastAsia="Calibri" w:hAnsi="Calibri" w:cs="Times New Roman"/>
                <w:i/>
                <w:iCs/>
                <w:noProof/>
                <w:webHidden/>
                <w:color w:val="000000" w:themeColor="text1"/>
                <w:szCs w:val="20"/>
              </w:rPr>
              <w:fldChar w:fldCharType="end"/>
            </w:r>
          </w:hyperlink>
        </w:p>
        <w:p w14:paraId="35BD464F" w14:textId="3E130903" w:rsidR="009D683D" w:rsidRPr="009D683D" w:rsidRDefault="00D32AD3" w:rsidP="00782640">
          <w:pPr>
            <w:numPr>
              <w:ilvl w:val="0"/>
              <w:numId w:val="70"/>
            </w:numPr>
            <w:tabs>
              <w:tab w:val="left" w:pos="1100"/>
              <w:tab w:val="right" w:leader="dot" w:pos="9016"/>
            </w:tabs>
            <w:spacing w:after="0"/>
            <w:ind w:left="440" w:firstLine="0"/>
            <w:rPr>
              <w:rFonts w:ascii="Calibri" w:eastAsia="Times New Roman" w:hAnsi="Calibri" w:cs="Times New Roman"/>
              <w:noProof/>
              <w:color w:val="000000" w:themeColor="text1"/>
              <w:sz w:val="22"/>
              <w:lang w:eastAsia="en-AU"/>
            </w:rPr>
          </w:pPr>
          <w:hyperlink w:anchor="_Toc2585801" w:history="1">
            <w:r w:rsidR="009D683D" w:rsidRPr="009D683D">
              <w:rPr>
                <w:rFonts w:ascii="Calibri" w:eastAsia="Calibri" w:hAnsi="Calibri" w:cs="Times New Roman"/>
                <w:i/>
                <w:iCs/>
                <w:noProof/>
                <w:color w:val="000000" w:themeColor="text1"/>
                <w:szCs w:val="20"/>
                <w14:scene3d>
                  <w14:camera w14:prst="orthographicFront"/>
                  <w14:lightRig w14:rig="threePt" w14:dir="t">
                    <w14:rot w14:lat="0" w14:lon="0" w14:rev="0"/>
                  </w14:lightRig>
                </w14:scene3d>
              </w:rPr>
              <w:t>2.1.2</w:t>
            </w:r>
            <w:r w:rsidR="0010384B">
              <w:rPr>
                <w:rFonts w:ascii="Calibri" w:eastAsia="Times New Roman" w:hAnsi="Calibri" w:cs="Times New Roman"/>
                <w:noProof/>
                <w:color w:val="000000" w:themeColor="text1"/>
                <w:sz w:val="22"/>
                <w:lang w:eastAsia="en-AU"/>
              </w:rPr>
              <w:t xml:space="preserve"> </w:t>
            </w:r>
            <w:r w:rsidR="009D683D" w:rsidRPr="009D683D">
              <w:rPr>
                <w:rFonts w:ascii="Calibri" w:eastAsia="Calibri" w:hAnsi="Calibri" w:cs="Times New Roman"/>
                <w:i/>
                <w:iCs/>
                <w:noProof/>
                <w:color w:val="000000" w:themeColor="text1"/>
                <w:szCs w:val="20"/>
              </w:rPr>
              <w:t>Kidney Health Australia’s Indigenous Community Consultations</w:t>
            </w:r>
            <w:r w:rsidR="009D683D" w:rsidRPr="009D683D">
              <w:rPr>
                <w:rFonts w:ascii="Calibri" w:eastAsia="Calibri" w:hAnsi="Calibri" w:cs="Times New Roman"/>
                <w:i/>
                <w:iCs/>
                <w:noProof/>
                <w:webHidden/>
                <w:color w:val="000000" w:themeColor="text1"/>
                <w:szCs w:val="20"/>
              </w:rPr>
              <w:tab/>
            </w:r>
            <w:r w:rsidR="009D683D" w:rsidRPr="009D683D">
              <w:rPr>
                <w:rFonts w:ascii="Calibri" w:eastAsia="Calibri" w:hAnsi="Calibri" w:cs="Times New Roman"/>
                <w:i/>
                <w:iCs/>
                <w:noProof/>
                <w:webHidden/>
                <w:color w:val="000000" w:themeColor="text1"/>
                <w:szCs w:val="20"/>
              </w:rPr>
              <w:fldChar w:fldCharType="begin"/>
            </w:r>
            <w:r w:rsidR="009D683D" w:rsidRPr="009D683D">
              <w:rPr>
                <w:rFonts w:ascii="Calibri" w:eastAsia="Calibri" w:hAnsi="Calibri" w:cs="Times New Roman"/>
                <w:i/>
                <w:iCs/>
                <w:noProof/>
                <w:webHidden/>
                <w:color w:val="000000" w:themeColor="text1"/>
                <w:szCs w:val="20"/>
              </w:rPr>
              <w:instrText xml:space="preserve"> PAGEREF _Toc2585801 \h </w:instrText>
            </w:r>
            <w:r w:rsidR="009D683D" w:rsidRPr="009D683D">
              <w:rPr>
                <w:rFonts w:ascii="Calibri" w:eastAsia="Calibri" w:hAnsi="Calibri" w:cs="Times New Roman"/>
                <w:i/>
                <w:iCs/>
                <w:noProof/>
                <w:webHidden/>
                <w:color w:val="000000" w:themeColor="text1"/>
                <w:szCs w:val="20"/>
              </w:rPr>
            </w:r>
            <w:r w:rsidR="009D683D" w:rsidRPr="009D683D">
              <w:rPr>
                <w:rFonts w:ascii="Calibri" w:eastAsia="Calibri" w:hAnsi="Calibri" w:cs="Times New Roman"/>
                <w:i/>
                <w:iCs/>
                <w:noProof/>
                <w:webHidden/>
                <w:color w:val="000000" w:themeColor="text1"/>
                <w:szCs w:val="20"/>
              </w:rPr>
              <w:fldChar w:fldCharType="separate"/>
            </w:r>
            <w:r w:rsidR="009D683D" w:rsidRPr="009D683D">
              <w:rPr>
                <w:rFonts w:ascii="Calibri" w:eastAsia="Calibri" w:hAnsi="Calibri" w:cs="Times New Roman"/>
                <w:i/>
                <w:iCs/>
                <w:noProof/>
                <w:webHidden/>
                <w:color w:val="000000" w:themeColor="text1"/>
                <w:szCs w:val="20"/>
              </w:rPr>
              <w:t>7</w:t>
            </w:r>
            <w:r w:rsidR="009D683D" w:rsidRPr="009D683D">
              <w:rPr>
                <w:rFonts w:ascii="Calibri" w:eastAsia="Calibri" w:hAnsi="Calibri" w:cs="Times New Roman"/>
                <w:i/>
                <w:iCs/>
                <w:noProof/>
                <w:webHidden/>
                <w:color w:val="000000" w:themeColor="text1"/>
                <w:szCs w:val="20"/>
              </w:rPr>
              <w:fldChar w:fldCharType="end"/>
            </w:r>
          </w:hyperlink>
        </w:p>
        <w:p w14:paraId="393F0B35" w14:textId="668E6F8A" w:rsidR="009D683D" w:rsidRPr="009D683D" w:rsidRDefault="00D32AD3" w:rsidP="00782640">
          <w:pPr>
            <w:numPr>
              <w:ilvl w:val="0"/>
              <w:numId w:val="70"/>
            </w:numPr>
            <w:tabs>
              <w:tab w:val="left" w:pos="1100"/>
              <w:tab w:val="right" w:leader="dot" w:pos="9016"/>
            </w:tabs>
            <w:spacing w:after="0"/>
            <w:ind w:left="440" w:firstLine="0"/>
            <w:rPr>
              <w:rFonts w:ascii="Calibri" w:eastAsia="Times New Roman" w:hAnsi="Calibri" w:cs="Times New Roman"/>
              <w:noProof/>
              <w:color w:val="000000" w:themeColor="text1"/>
              <w:sz w:val="22"/>
              <w:lang w:eastAsia="en-AU"/>
            </w:rPr>
          </w:pPr>
          <w:hyperlink w:anchor="_Toc2585802" w:history="1">
            <w:r w:rsidR="009D683D" w:rsidRPr="009D683D">
              <w:rPr>
                <w:rFonts w:ascii="Calibri" w:eastAsia="Calibri" w:hAnsi="Calibri" w:cs="Times New Roman"/>
                <w:i/>
                <w:iCs/>
                <w:noProof/>
                <w:color w:val="000000" w:themeColor="text1"/>
                <w:szCs w:val="20"/>
                <w14:scene3d>
                  <w14:camera w14:prst="orthographicFront"/>
                  <w14:lightRig w14:rig="threePt" w14:dir="t">
                    <w14:rot w14:lat="0" w14:lon="0" w14:rev="0"/>
                  </w14:lightRig>
                </w14:scene3d>
              </w:rPr>
              <w:t>2.1.3</w:t>
            </w:r>
            <w:r w:rsidR="0010384B">
              <w:rPr>
                <w:rFonts w:ascii="Calibri" w:eastAsia="Times New Roman" w:hAnsi="Calibri" w:cs="Times New Roman"/>
                <w:noProof/>
                <w:color w:val="000000" w:themeColor="text1"/>
                <w:sz w:val="22"/>
                <w:lang w:eastAsia="en-AU"/>
              </w:rPr>
              <w:t xml:space="preserve"> </w:t>
            </w:r>
            <w:r w:rsidR="009D683D" w:rsidRPr="009D683D">
              <w:rPr>
                <w:rFonts w:ascii="Calibri" w:eastAsia="Calibri" w:hAnsi="Calibri" w:cs="Times New Roman"/>
                <w:i/>
                <w:iCs/>
                <w:noProof/>
                <w:color w:val="000000" w:themeColor="text1"/>
                <w:szCs w:val="20"/>
              </w:rPr>
              <w:t>Indigenous Patient Voices Symposium</w:t>
            </w:r>
            <w:r w:rsidR="009D683D" w:rsidRPr="009D683D">
              <w:rPr>
                <w:rFonts w:ascii="Calibri" w:eastAsia="Calibri" w:hAnsi="Calibri" w:cs="Times New Roman"/>
                <w:i/>
                <w:iCs/>
                <w:noProof/>
                <w:webHidden/>
                <w:color w:val="000000" w:themeColor="text1"/>
                <w:szCs w:val="20"/>
              </w:rPr>
              <w:tab/>
            </w:r>
            <w:r w:rsidR="009D683D" w:rsidRPr="009D683D">
              <w:rPr>
                <w:rFonts w:ascii="Calibri" w:eastAsia="Calibri" w:hAnsi="Calibri" w:cs="Times New Roman"/>
                <w:i/>
                <w:iCs/>
                <w:noProof/>
                <w:webHidden/>
                <w:color w:val="000000" w:themeColor="text1"/>
                <w:szCs w:val="20"/>
              </w:rPr>
              <w:fldChar w:fldCharType="begin"/>
            </w:r>
            <w:r w:rsidR="009D683D" w:rsidRPr="009D683D">
              <w:rPr>
                <w:rFonts w:ascii="Calibri" w:eastAsia="Calibri" w:hAnsi="Calibri" w:cs="Times New Roman"/>
                <w:i/>
                <w:iCs/>
                <w:noProof/>
                <w:webHidden/>
                <w:color w:val="000000" w:themeColor="text1"/>
                <w:szCs w:val="20"/>
              </w:rPr>
              <w:instrText xml:space="preserve"> PAGEREF _Toc2585802 \h </w:instrText>
            </w:r>
            <w:r w:rsidR="009D683D" w:rsidRPr="009D683D">
              <w:rPr>
                <w:rFonts w:ascii="Calibri" w:eastAsia="Calibri" w:hAnsi="Calibri" w:cs="Times New Roman"/>
                <w:i/>
                <w:iCs/>
                <w:noProof/>
                <w:webHidden/>
                <w:color w:val="000000" w:themeColor="text1"/>
                <w:szCs w:val="20"/>
              </w:rPr>
            </w:r>
            <w:r w:rsidR="009D683D" w:rsidRPr="009D683D">
              <w:rPr>
                <w:rFonts w:ascii="Calibri" w:eastAsia="Calibri" w:hAnsi="Calibri" w:cs="Times New Roman"/>
                <w:i/>
                <w:iCs/>
                <w:noProof/>
                <w:webHidden/>
                <w:color w:val="000000" w:themeColor="text1"/>
                <w:szCs w:val="20"/>
              </w:rPr>
              <w:fldChar w:fldCharType="separate"/>
            </w:r>
            <w:r w:rsidR="009D683D" w:rsidRPr="009D683D">
              <w:rPr>
                <w:rFonts w:ascii="Calibri" w:eastAsia="Calibri" w:hAnsi="Calibri" w:cs="Times New Roman"/>
                <w:i/>
                <w:iCs/>
                <w:noProof/>
                <w:webHidden/>
                <w:color w:val="000000" w:themeColor="text1"/>
                <w:szCs w:val="20"/>
              </w:rPr>
              <w:t>7</w:t>
            </w:r>
            <w:r w:rsidR="009D683D" w:rsidRPr="009D683D">
              <w:rPr>
                <w:rFonts w:ascii="Calibri" w:eastAsia="Calibri" w:hAnsi="Calibri" w:cs="Times New Roman"/>
                <w:i/>
                <w:iCs/>
                <w:noProof/>
                <w:webHidden/>
                <w:color w:val="000000" w:themeColor="text1"/>
                <w:szCs w:val="20"/>
              </w:rPr>
              <w:fldChar w:fldCharType="end"/>
            </w:r>
          </w:hyperlink>
        </w:p>
        <w:p w14:paraId="429DC72C" w14:textId="7456D8E5" w:rsidR="009D683D" w:rsidRPr="009D683D" w:rsidRDefault="00D32AD3" w:rsidP="00782640">
          <w:pPr>
            <w:numPr>
              <w:ilvl w:val="0"/>
              <w:numId w:val="70"/>
            </w:numPr>
            <w:tabs>
              <w:tab w:val="left" w:pos="1100"/>
              <w:tab w:val="right" w:leader="dot" w:pos="9016"/>
            </w:tabs>
            <w:spacing w:after="0"/>
            <w:ind w:left="440" w:firstLine="0"/>
            <w:rPr>
              <w:rFonts w:ascii="Calibri" w:eastAsia="Times New Roman" w:hAnsi="Calibri" w:cs="Times New Roman"/>
              <w:noProof/>
              <w:color w:val="000000" w:themeColor="text1"/>
              <w:sz w:val="22"/>
              <w:lang w:eastAsia="en-AU"/>
            </w:rPr>
          </w:pPr>
          <w:hyperlink w:anchor="_Toc2585803" w:history="1">
            <w:r w:rsidR="009D683D" w:rsidRPr="009D683D">
              <w:rPr>
                <w:rFonts w:ascii="Calibri" w:eastAsia="Calibri" w:hAnsi="Calibri" w:cs="Times New Roman"/>
                <w:i/>
                <w:iCs/>
                <w:noProof/>
                <w:color w:val="000000" w:themeColor="text1"/>
                <w:szCs w:val="20"/>
                <w14:scene3d>
                  <w14:camera w14:prst="orthographicFront"/>
                  <w14:lightRig w14:rig="threePt" w14:dir="t">
                    <w14:rot w14:lat="0" w14:lon="0" w14:rev="0"/>
                  </w14:lightRig>
                </w14:scene3d>
              </w:rPr>
              <w:t>2.1.4</w:t>
            </w:r>
            <w:r w:rsidR="0010384B">
              <w:rPr>
                <w:rFonts w:ascii="Calibri" w:eastAsia="Times New Roman" w:hAnsi="Calibri" w:cs="Times New Roman"/>
                <w:noProof/>
                <w:color w:val="000000" w:themeColor="text1"/>
                <w:sz w:val="22"/>
                <w:lang w:eastAsia="en-AU"/>
              </w:rPr>
              <w:t xml:space="preserve"> </w:t>
            </w:r>
            <w:r w:rsidR="009D683D" w:rsidRPr="009D683D">
              <w:rPr>
                <w:rFonts w:ascii="Calibri" w:eastAsia="Calibri" w:hAnsi="Calibri" w:cs="Times New Roman"/>
                <w:i/>
                <w:iCs/>
                <w:noProof/>
                <w:color w:val="000000" w:themeColor="text1"/>
                <w:szCs w:val="20"/>
              </w:rPr>
              <w:t>Indigenous knowledge in health services: a consumer partnership framework</w:t>
            </w:r>
            <w:r w:rsidR="009D683D" w:rsidRPr="009D683D">
              <w:rPr>
                <w:rFonts w:ascii="Calibri" w:eastAsia="Calibri" w:hAnsi="Calibri" w:cs="Times New Roman"/>
                <w:i/>
                <w:iCs/>
                <w:noProof/>
                <w:webHidden/>
                <w:color w:val="000000" w:themeColor="text1"/>
                <w:szCs w:val="20"/>
              </w:rPr>
              <w:tab/>
            </w:r>
            <w:r w:rsidR="009D683D" w:rsidRPr="009D683D">
              <w:rPr>
                <w:rFonts w:ascii="Calibri" w:eastAsia="Calibri" w:hAnsi="Calibri" w:cs="Times New Roman"/>
                <w:i/>
                <w:iCs/>
                <w:noProof/>
                <w:webHidden/>
                <w:color w:val="000000" w:themeColor="text1"/>
                <w:szCs w:val="20"/>
              </w:rPr>
              <w:fldChar w:fldCharType="begin"/>
            </w:r>
            <w:r w:rsidR="009D683D" w:rsidRPr="009D683D">
              <w:rPr>
                <w:rFonts w:ascii="Calibri" w:eastAsia="Calibri" w:hAnsi="Calibri" w:cs="Times New Roman"/>
                <w:i/>
                <w:iCs/>
                <w:noProof/>
                <w:webHidden/>
                <w:color w:val="000000" w:themeColor="text1"/>
                <w:szCs w:val="20"/>
              </w:rPr>
              <w:instrText xml:space="preserve"> PAGEREF _Toc2585803 \h </w:instrText>
            </w:r>
            <w:r w:rsidR="009D683D" w:rsidRPr="009D683D">
              <w:rPr>
                <w:rFonts w:ascii="Calibri" w:eastAsia="Calibri" w:hAnsi="Calibri" w:cs="Times New Roman"/>
                <w:i/>
                <w:iCs/>
                <w:noProof/>
                <w:webHidden/>
                <w:color w:val="000000" w:themeColor="text1"/>
                <w:szCs w:val="20"/>
              </w:rPr>
            </w:r>
            <w:r w:rsidR="009D683D" w:rsidRPr="009D683D">
              <w:rPr>
                <w:rFonts w:ascii="Calibri" w:eastAsia="Calibri" w:hAnsi="Calibri" w:cs="Times New Roman"/>
                <w:i/>
                <w:iCs/>
                <w:noProof/>
                <w:webHidden/>
                <w:color w:val="000000" w:themeColor="text1"/>
                <w:szCs w:val="20"/>
              </w:rPr>
              <w:fldChar w:fldCharType="separate"/>
            </w:r>
            <w:r w:rsidR="009D683D" w:rsidRPr="009D683D">
              <w:rPr>
                <w:rFonts w:ascii="Calibri" w:eastAsia="Calibri" w:hAnsi="Calibri" w:cs="Times New Roman"/>
                <w:i/>
                <w:iCs/>
                <w:noProof/>
                <w:webHidden/>
                <w:color w:val="000000" w:themeColor="text1"/>
                <w:szCs w:val="20"/>
              </w:rPr>
              <w:t>8</w:t>
            </w:r>
            <w:r w:rsidR="009D683D" w:rsidRPr="009D683D">
              <w:rPr>
                <w:rFonts w:ascii="Calibri" w:eastAsia="Calibri" w:hAnsi="Calibri" w:cs="Times New Roman"/>
                <w:i/>
                <w:iCs/>
                <w:noProof/>
                <w:webHidden/>
                <w:color w:val="000000" w:themeColor="text1"/>
                <w:szCs w:val="20"/>
              </w:rPr>
              <w:fldChar w:fldCharType="end"/>
            </w:r>
          </w:hyperlink>
        </w:p>
        <w:p w14:paraId="39EEB16F" w14:textId="1DC392F2" w:rsidR="009D683D" w:rsidRPr="009D683D" w:rsidRDefault="00D32AD3" w:rsidP="00782640">
          <w:pPr>
            <w:numPr>
              <w:ilvl w:val="0"/>
              <w:numId w:val="70"/>
            </w:numPr>
            <w:tabs>
              <w:tab w:val="left" w:pos="1100"/>
              <w:tab w:val="right" w:leader="dot" w:pos="9016"/>
            </w:tabs>
            <w:spacing w:after="0"/>
            <w:ind w:left="440" w:firstLine="0"/>
            <w:rPr>
              <w:rFonts w:ascii="Calibri" w:eastAsia="Times New Roman" w:hAnsi="Calibri" w:cs="Times New Roman"/>
              <w:noProof/>
              <w:color w:val="000000" w:themeColor="text1"/>
              <w:sz w:val="22"/>
              <w:lang w:eastAsia="en-AU"/>
            </w:rPr>
          </w:pPr>
          <w:hyperlink w:anchor="_Toc2585804" w:history="1">
            <w:r w:rsidR="009D683D" w:rsidRPr="009D683D">
              <w:rPr>
                <w:rFonts w:ascii="Calibri" w:eastAsia="Calibri" w:hAnsi="Calibri" w:cs="Times New Roman"/>
                <w:i/>
                <w:iCs/>
                <w:noProof/>
                <w:color w:val="000000" w:themeColor="text1"/>
                <w:szCs w:val="20"/>
                <w14:scene3d>
                  <w14:camera w14:prst="orthographicFront"/>
                  <w14:lightRig w14:rig="threePt" w14:dir="t">
                    <w14:rot w14:lat="0" w14:lon="0" w14:rev="0"/>
                  </w14:lightRig>
                </w14:scene3d>
              </w:rPr>
              <w:t>2.1.5</w:t>
            </w:r>
            <w:r w:rsidR="0010384B">
              <w:rPr>
                <w:rFonts w:ascii="Calibri" w:eastAsia="Times New Roman" w:hAnsi="Calibri" w:cs="Times New Roman"/>
                <w:noProof/>
                <w:color w:val="000000" w:themeColor="text1"/>
                <w:sz w:val="22"/>
                <w:lang w:eastAsia="en-AU"/>
              </w:rPr>
              <w:t xml:space="preserve"> </w:t>
            </w:r>
            <w:r w:rsidR="009D683D" w:rsidRPr="009D683D">
              <w:rPr>
                <w:rFonts w:ascii="Calibri" w:eastAsia="Calibri" w:hAnsi="Calibri" w:cs="Times New Roman"/>
                <w:i/>
                <w:iCs/>
                <w:noProof/>
                <w:color w:val="000000" w:themeColor="text1"/>
                <w:szCs w:val="20"/>
              </w:rPr>
              <w:t>Patient-led Participatory Action Research (PAR) Project</w:t>
            </w:r>
            <w:r w:rsidR="009D683D" w:rsidRPr="009D683D">
              <w:rPr>
                <w:rFonts w:ascii="Calibri" w:eastAsia="Calibri" w:hAnsi="Calibri" w:cs="Times New Roman"/>
                <w:i/>
                <w:iCs/>
                <w:noProof/>
                <w:webHidden/>
                <w:color w:val="000000" w:themeColor="text1"/>
                <w:szCs w:val="20"/>
              </w:rPr>
              <w:tab/>
            </w:r>
            <w:r w:rsidR="009D683D" w:rsidRPr="009D683D">
              <w:rPr>
                <w:rFonts w:ascii="Calibri" w:eastAsia="Calibri" w:hAnsi="Calibri" w:cs="Times New Roman"/>
                <w:i/>
                <w:iCs/>
                <w:noProof/>
                <w:webHidden/>
                <w:color w:val="000000" w:themeColor="text1"/>
                <w:szCs w:val="20"/>
              </w:rPr>
              <w:fldChar w:fldCharType="begin"/>
            </w:r>
            <w:r w:rsidR="009D683D" w:rsidRPr="009D683D">
              <w:rPr>
                <w:rFonts w:ascii="Calibri" w:eastAsia="Calibri" w:hAnsi="Calibri" w:cs="Times New Roman"/>
                <w:i/>
                <w:iCs/>
                <w:noProof/>
                <w:webHidden/>
                <w:color w:val="000000" w:themeColor="text1"/>
                <w:szCs w:val="20"/>
              </w:rPr>
              <w:instrText xml:space="preserve"> PAGEREF _Toc2585804 \h </w:instrText>
            </w:r>
            <w:r w:rsidR="009D683D" w:rsidRPr="009D683D">
              <w:rPr>
                <w:rFonts w:ascii="Calibri" w:eastAsia="Calibri" w:hAnsi="Calibri" w:cs="Times New Roman"/>
                <w:i/>
                <w:iCs/>
                <w:noProof/>
                <w:webHidden/>
                <w:color w:val="000000" w:themeColor="text1"/>
                <w:szCs w:val="20"/>
              </w:rPr>
            </w:r>
            <w:r w:rsidR="009D683D" w:rsidRPr="009D683D">
              <w:rPr>
                <w:rFonts w:ascii="Calibri" w:eastAsia="Calibri" w:hAnsi="Calibri" w:cs="Times New Roman"/>
                <w:i/>
                <w:iCs/>
                <w:noProof/>
                <w:webHidden/>
                <w:color w:val="000000" w:themeColor="text1"/>
                <w:szCs w:val="20"/>
              </w:rPr>
              <w:fldChar w:fldCharType="separate"/>
            </w:r>
            <w:r w:rsidR="009D683D" w:rsidRPr="009D683D">
              <w:rPr>
                <w:rFonts w:ascii="Calibri" w:eastAsia="Calibri" w:hAnsi="Calibri" w:cs="Times New Roman"/>
                <w:i/>
                <w:iCs/>
                <w:noProof/>
                <w:webHidden/>
                <w:color w:val="000000" w:themeColor="text1"/>
                <w:szCs w:val="20"/>
              </w:rPr>
              <w:t>8</w:t>
            </w:r>
            <w:r w:rsidR="009D683D" w:rsidRPr="009D683D">
              <w:rPr>
                <w:rFonts w:ascii="Calibri" w:eastAsia="Calibri" w:hAnsi="Calibri" w:cs="Times New Roman"/>
                <w:i/>
                <w:iCs/>
                <w:noProof/>
                <w:webHidden/>
                <w:color w:val="000000" w:themeColor="text1"/>
                <w:szCs w:val="20"/>
              </w:rPr>
              <w:fldChar w:fldCharType="end"/>
            </w:r>
          </w:hyperlink>
        </w:p>
        <w:p w14:paraId="1519CFFC" w14:textId="742E59B9" w:rsidR="009D683D" w:rsidRPr="009D683D" w:rsidRDefault="00D32AD3" w:rsidP="00782640">
          <w:pPr>
            <w:numPr>
              <w:ilvl w:val="0"/>
              <w:numId w:val="70"/>
            </w:numPr>
            <w:tabs>
              <w:tab w:val="left" w:pos="1100"/>
              <w:tab w:val="right" w:leader="dot" w:pos="9016"/>
            </w:tabs>
            <w:spacing w:after="0"/>
            <w:ind w:left="440" w:firstLine="0"/>
            <w:rPr>
              <w:rFonts w:ascii="Calibri" w:eastAsia="Times New Roman" w:hAnsi="Calibri" w:cs="Times New Roman"/>
              <w:noProof/>
              <w:color w:val="000000" w:themeColor="text1"/>
              <w:sz w:val="22"/>
              <w:lang w:eastAsia="en-AU"/>
            </w:rPr>
          </w:pPr>
          <w:hyperlink w:anchor="_Toc2585805" w:history="1">
            <w:r w:rsidR="009D683D" w:rsidRPr="009D683D">
              <w:rPr>
                <w:rFonts w:ascii="Calibri" w:eastAsia="Calibri" w:hAnsi="Calibri" w:cs="Times New Roman"/>
                <w:i/>
                <w:iCs/>
                <w:noProof/>
                <w:color w:val="000000" w:themeColor="text1"/>
                <w:szCs w:val="20"/>
                <w14:scene3d>
                  <w14:camera w14:prst="orthographicFront"/>
                  <w14:lightRig w14:rig="threePt" w14:dir="t">
                    <w14:rot w14:lat="0" w14:lon="0" w14:rev="0"/>
                  </w14:lightRig>
                </w14:scene3d>
              </w:rPr>
              <w:t>2.1.6</w:t>
            </w:r>
            <w:r w:rsidR="0010384B">
              <w:rPr>
                <w:rFonts w:ascii="Calibri" w:eastAsia="Times New Roman" w:hAnsi="Calibri" w:cs="Times New Roman"/>
                <w:noProof/>
                <w:color w:val="000000" w:themeColor="text1"/>
                <w:sz w:val="22"/>
                <w:lang w:eastAsia="en-AU"/>
              </w:rPr>
              <w:t xml:space="preserve"> </w:t>
            </w:r>
            <w:r w:rsidR="009D683D" w:rsidRPr="009D683D">
              <w:rPr>
                <w:rFonts w:ascii="Calibri" w:eastAsia="Calibri" w:hAnsi="Calibri" w:cs="Times New Roman"/>
                <w:i/>
                <w:iCs/>
                <w:noProof/>
                <w:color w:val="000000" w:themeColor="text1"/>
                <w:szCs w:val="20"/>
              </w:rPr>
              <w:t>IMPAKT</w:t>
            </w:r>
            <w:r w:rsidR="009D683D" w:rsidRPr="009D683D">
              <w:rPr>
                <w:rFonts w:ascii="Calibri" w:eastAsia="Calibri" w:hAnsi="Calibri" w:cs="Times New Roman"/>
                <w:i/>
                <w:iCs/>
                <w:noProof/>
                <w:webHidden/>
                <w:color w:val="000000" w:themeColor="text1"/>
                <w:szCs w:val="20"/>
              </w:rPr>
              <w:tab/>
            </w:r>
            <w:r w:rsidR="009D683D" w:rsidRPr="009D683D">
              <w:rPr>
                <w:rFonts w:ascii="Calibri" w:eastAsia="Calibri" w:hAnsi="Calibri" w:cs="Times New Roman"/>
                <w:i/>
                <w:iCs/>
                <w:noProof/>
                <w:webHidden/>
                <w:color w:val="000000" w:themeColor="text1"/>
                <w:szCs w:val="20"/>
              </w:rPr>
              <w:fldChar w:fldCharType="begin"/>
            </w:r>
            <w:r w:rsidR="009D683D" w:rsidRPr="009D683D">
              <w:rPr>
                <w:rFonts w:ascii="Calibri" w:eastAsia="Calibri" w:hAnsi="Calibri" w:cs="Times New Roman"/>
                <w:i/>
                <w:iCs/>
                <w:noProof/>
                <w:webHidden/>
                <w:color w:val="000000" w:themeColor="text1"/>
                <w:szCs w:val="20"/>
              </w:rPr>
              <w:instrText xml:space="preserve"> PAGEREF _Toc2585805 \h </w:instrText>
            </w:r>
            <w:r w:rsidR="009D683D" w:rsidRPr="009D683D">
              <w:rPr>
                <w:rFonts w:ascii="Calibri" w:eastAsia="Calibri" w:hAnsi="Calibri" w:cs="Times New Roman"/>
                <w:i/>
                <w:iCs/>
                <w:noProof/>
                <w:webHidden/>
                <w:color w:val="000000" w:themeColor="text1"/>
                <w:szCs w:val="20"/>
              </w:rPr>
            </w:r>
            <w:r w:rsidR="009D683D" w:rsidRPr="009D683D">
              <w:rPr>
                <w:rFonts w:ascii="Calibri" w:eastAsia="Calibri" w:hAnsi="Calibri" w:cs="Times New Roman"/>
                <w:i/>
                <w:iCs/>
                <w:noProof/>
                <w:webHidden/>
                <w:color w:val="000000" w:themeColor="text1"/>
                <w:szCs w:val="20"/>
              </w:rPr>
              <w:fldChar w:fldCharType="separate"/>
            </w:r>
            <w:r w:rsidR="009D683D" w:rsidRPr="009D683D">
              <w:rPr>
                <w:rFonts w:ascii="Calibri" w:eastAsia="Calibri" w:hAnsi="Calibri" w:cs="Times New Roman"/>
                <w:i/>
                <w:iCs/>
                <w:noProof/>
                <w:webHidden/>
                <w:color w:val="000000" w:themeColor="text1"/>
                <w:szCs w:val="20"/>
              </w:rPr>
              <w:t>9</w:t>
            </w:r>
            <w:r w:rsidR="009D683D" w:rsidRPr="009D683D">
              <w:rPr>
                <w:rFonts w:ascii="Calibri" w:eastAsia="Calibri" w:hAnsi="Calibri" w:cs="Times New Roman"/>
                <w:i/>
                <w:iCs/>
                <w:noProof/>
                <w:webHidden/>
                <w:color w:val="000000" w:themeColor="text1"/>
                <w:szCs w:val="20"/>
              </w:rPr>
              <w:fldChar w:fldCharType="end"/>
            </w:r>
          </w:hyperlink>
        </w:p>
        <w:p w14:paraId="1A4CB62A" w14:textId="5BD29FC0" w:rsidR="009D683D" w:rsidRPr="009D683D" w:rsidRDefault="00D32AD3" w:rsidP="00782640">
          <w:pPr>
            <w:numPr>
              <w:ilvl w:val="0"/>
              <w:numId w:val="70"/>
            </w:numPr>
            <w:tabs>
              <w:tab w:val="left" w:pos="1100"/>
              <w:tab w:val="right" w:leader="dot" w:pos="9016"/>
            </w:tabs>
            <w:spacing w:after="0"/>
            <w:ind w:left="440" w:firstLine="0"/>
            <w:rPr>
              <w:rFonts w:ascii="Calibri" w:eastAsia="Times New Roman" w:hAnsi="Calibri" w:cs="Times New Roman"/>
              <w:noProof/>
              <w:color w:val="000000" w:themeColor="text1"/>
              <w:sz w:val="22"/>
              <w:lang w:eastAsia="en-AU"/>
            </w:rPr>
          </w:pPr>
          <w:hyperlink w:anchor="_Toc2585806" w:history="1">
            <w:r w:rsidR="009D683D" w:rsidRPr="009D683D">
              <w:rPr>
                <w:rFonts w:ascii="Calibri" w:eastAsia="Calibri" w:hAnsi="Calibri" w:cs="Times New Roman"/>
                <w:i/>
                <w:iCs/>
                <w:noProof/>
                <w:color w:val="000000" w:themeColor="text1"/>
                <w:szCs w:val="20"/>
                <w14:scene3d>
                  <w14:camera w14:prst="orthographicFront"/>
                  <w14:lightRig w14:rig="threePt" w14:dir="t">
                    <w14:rot w14:lat="0" w14:lon="0" w14:rev="0"/>
                  </w14:lightRig>
                </w14:scene3d>
              </w:rPr>
              <w:t>2.1.7</w:t>
            </w:r>
            <w:r w:rsidR="0010384B">
              <w:rPr>
                <w:rFonts w:ascii="Calibri" w:eastAsia="Times New Roman" w:hAnsi="Calibri" w:cs="Times New Roman"/>
                <w:noProof/>
                <w:color w:val="000000" w:themeColor="text1"/>
                <w:sz w:val="22"/>
                <w:lang w:eastAsia="en-AU"/>
              </w:rPr>
              <w:t xml:space="preserve"> </w:t>
            </w:r>
            <w:r w:rsidR="009D683D" w:rsidRPr="009D683D">
              <w:rPr>
                <w:rFonts w:ascii="Calibri" w:eastAsia="Calibri" w:hAnsi="Calibri" w:cs="Times New Roman"/>
                <w:i/>
                <w:iCs/>
                <w:noProof/>
                <w:color w:val="000000" w:themeColor="text1"/>
                <w:szCs w:val="20"/>
              </w:rPr>
              <w:t>Managing Two Worlds Together</w:t>
            </w:r>
            <w:r w:rsidR="009D683D" w:rsidRPr="009D683D">
              <w:rPr>
                <w:rFonts w:ascii="Calibri" w:eastAsia="Calibri" w:hAnsi="Calibri" w:cs="Times New Roman"/>
                <w:i/>
                <w:iCs/>
                <w:noProof/>
                <w:webHidden/>
                <w:color w:val="000000" w:themeColor="text1"/>
                <w:szCs w:val="20"/>
              </w:rPr>
              <w:tab/>
            </w:r>
            <w:r w:rsidR="009D683D" w:rsidRPr="009D683D">
              <w:rPr>
                <w:rFonts w:ascii="Calibri" w:eastAsia="Calibri" w:hAnsi="Calibri" w:cs="Times New Roman"/>
                <w:i/>
                <w:iCs/>
                <w:noProof/>
                <w:webHidden/>
                <w:color w:val="000000" w:themeColor="text1"/>
                <w:szCs w:val="20"/>
              </w:rPr>
              <w:fldChar w:fldCharType="begin"/>
            </w:r>
            <w:r w:rsidR="009D683D" w:rsidRPr="009D683D">
              <w:rPr>
                <w:rFonts w:ascii="Calibri" w:eastAsia="Calibri" w:hAnsi="Calibri" w:cs="Times New Roman"/>
                <w:i/>
                <w:iCs/>
                <w:noProof/>
                <w:webHidden/>
                <w:color w:val="000000" w:themeColor="text1"/>
                <w:szCs w:val="20"/>
              </w:rPr>
              <w:instrText xml:space="preserve"> PAGEREF _Toc2585806 \h </w:instrText>
            </w:r>
            <w:r w:rsidR="009D683D" w:rsidRPr="009D683D">
              <w:rPr>
                <w:rFonts w:ascii="Calibri" w:eastAsia="Calibri" w:hAnsi="Calibri" w:cs="Times New Roman"/>
                <w:i/>
                <w:iCs/>
                <w:noProof/>
                <w:webHidden/>
                <w:color w:val="000000" w:themeColor="text1"/>
                <w:szCs w:val="20"/>
              </w:rPr>
            </w:r>
            <w:r w:rsidR="009D683D" w:rsidRPr="009D683D">
              <w:rPr>
                <w:rFonts w:ascii="Calibri" w:eastAsia="Calibri" w:hAnsi="Calibri" w:cs="Times New Roman"/>
                <w:i/>
                <w:iCs/>
                <w:noProof/>
                <w:webHidden/>
                <w:color w:val="000000" w:themeColor="text1"/>
                <w:szCs w:val="20"/>
              </w:rPr>
              <w:fldChar w:fldCharType="separate"/>
            </w:r>
            <w:r w:rsidR="009D683D" w:rsidRPr="009D683D">
              <w:rPr>
                <w:rFonts w:ascii="Calibri" w:eastAsia="Calibri" w:hAnsi="Calibri" w:cs="Times New Roman"/>
                <w:i/>
                <w:iCs/>
                <w:noProof/>
                <w:webHidden/>
                <w:color w:val="000000" w:themeColor="text1"/>
                <w:szCs w:val="20"/>
              </w:rPr>
              <w:t>10</w:t>
            </w:r>
            <w:r w:rsidR="009D683D" w:rsidRPr="009D683D">
              <w:rPr>
                <w:rFonts w:ascii="Calibri" w:eastAsia="Calibri" w:hAnsi="Calibri" w:cs="Times New Roman"/>
                <w:i/>
                <w:iCs/>
                <w:noProof/>
                <w:webHidden/>
                <w:color w:val="000000" w:themeColor="text1"/>
                <w:szCs w:val="20"/>
              </w:rPr>
              <w:fldChar w:fldCharType="end"/>
            </w:r>
          </w:hyperlink>
        </w:p>
        <w:p w14:paraId="0BF524E7" w14:textId="63D3FC07" w:rsidR="009D683D" w:rsidRPr="009D683D" w:rsidRDefault="00D32AD3" w:rsidP="00782640">
          <w:pPr>
            <w:numPr>
              <w:ilvl w:val="0"/>
              <w:numId w:val="70"/>
            </w:numPr>
            <w:tabs>
              <w:tab w:val="left" w:pos="1100"/>
              <w:tab w:val="right" w:leader="dot" w:pos="9016"/>
            </w:tabs>
            <w:spacing w:after="0"/>
            <w:ind w:left="440" w:firstLine="0"/>
            <w:rPr>
              <w:rFonts w:ascii="Calibri" w:eastAsia="Times New Roman" w:hAnsi="Calibri" w:cs="Times New Roman"/>
              <w:noProof/>
              <w:color w:val="000000" w:themeColor="text1"/>
              <w:sz w:val="22"/>
              <w:lang w:eastAsia="en-AU"/>
            </w:rPr>
          </w:pPr>
          <w:hyperlink w:anchor="_Toc2585807" w:history="1">
            <w:r w:rsidR="009D683D" w:rsidRPr="009D683D">
              <w:rPr>
                <w:rFonts w:ascii="Calibri" w:eastAsia="Calibri" w:hAnsi="Calibri" w:cs="Times New Roman"/>
                <w:i/>
                <w:iCs/>
                <w:noProof/>
                <w:color w:val="000000" w:themeColor="text1"/>
                <w:szCs w:val="20"/>
                <w14:scene3d>
                  <w14:camera w14:prst="orthographicFront"/>
                  <w14:lightRig w14:rig="threePt" w14:dir="t">
                    <w14:rot w14:lat="0" w14:lon="0" w14:rev="0"/>
                  </w14:lightRig>
                </w14:scene3d>
              </w:rPr>
              <w:t>2.1.8</w:t>
            </w:r>
            <w:r w:rsidR="0010384B">
              <w:rPr>
                <w:rFonts w:ascii="Calibri" w:eastAsia="Times New Roman" w:hAnsi="Calibri" w:cs="Times New Roman"/>
                <w:noProof/>
                <w:color w:val="000000" w:themeColor="text1"/>
                <w:sz w:val="22"/>
                <w:lang w:eastAsia="en-AU"/>
              </w:rPr>
              <w:t xml:space="preserve"> </w:t>
            </w:r>
            <w:r w:rsidR="009D683D" w:rsidRPr="009D683D">
              <w:rPr>
                <w:rFonts w:ascii="Calibri" w:eastAsia="Calibri" w:hAnsi="Calibri" w:cs="Times New Roman"/>
                <w:i/>
                <w:iCs/>
                <w:noProof/>
                <w:color w:val="000000" w:themeColor="text1"/>
                <w:szCs w:val="20"/>
              </w:rPr>
              <w:t>Where to next?</w:t>
            </w:r>
            <w:r w:rsidR="009D683D" w:rsidRPr="009D683D">
              <w:rPr>
                <w:rFonts w:ascii="Calibri" w:eastAsia="Calibri" w:hAnsi="Calibri" w:cs="Times New Roman"/>
                <w:i/>
                <w:iCs/>
                <w:noProof/>
                <w:webHidden/>
                <w:color w:val="000000" w:themeColor="text1"/>
                <w:szCs w:val="20"/>
              </w:rPr>
              <w:tab/>
            </w:r>
            <w:r w:rsidR="009D683D" w:rsidRPr="009D683D">
              <w:rPr>
                <w:rFonts w:ascii="Calibri" w:eastAsia="Calibri" w:hAnsi="Calibri" w:cs="Times New Roman"/>
                <w:i/>
                <w:iCs/>
                <w:noProof/>
                <w:webHidden/>
                <w:color w:val="000000" w:themeColor="text1"/>
                <w:szCs w:val="20"/>
              </w:rPr>
              <w:fldChar w:fldCharType="begin"/>
            </w:r>
            <w:r w:rsidR="009D683D" w:rsidRPr="009D683D">
              <w:rPr>
                <w:rFonts w:ascii="Calibri" w:eastAsia="Calibri" w:hAnsi="Calibri" w:cs="Times New Roman"/>
                <w:i/>
                <w:iCs/>
                <w:noProof/>
                <w:webHidden/>
                <w:color w:val="000000" w:themeColor="text1"/>
                <w:szCs w:val="20"/>
              </w:rPr>
              <w:instrText xml:space="preserve"> PAGEREF _Toc2585807 \h </w:instrText>
            </w:r>
            <w:r w:rsidR="009D683D" w:rsidRPr="009D683D">
              <w:rPr>
                <w:rFonts w:ascii="Calibri" w:eastAsia="Calibri" w:hAnsi="Calibri" w:cs="Times New Roman"/>
                <w:i/>
                <w:iCs/>
                <w:noProof/>
                <w:webHidden/>
                <w:color w:val="000000" w:themeColor="text1"/>
                <w:szCs w:val="20"/>
              </w:rPr>
            </w:r>
            <w:r w:rsidR="009D683D" w:rsidRPr="009D683D">
              <w:rPr>
                <w:rFonts w:ascii="Calibri" w:eastAsia="Calibri" w:hAnsi="Calibri" w:cs="Times New Roman"/>
                <w:i/>
                <w:iCs/>
                <w:noProof/>
                <w:webHidden/>
                <w:color w:val="000000" w:themeColor="text1"/>
                <w:szCs w:val="20"/>
              </w:rPr>
              <w:fldChar w:fldCharType="separate"/>
            </w:r>
            <w:r w:rsidR="009D683D" w:rsidRPr="009D683D">
              <w:rPr>
                <w:rFonts w:ascii="Calibri" w:eastAsia="Calibri" w:hAnsi="Calibri" w:cs="Times New Roman"/>
                <w:i/>
                <w:iCs/>
                <w:noProof/>
                <w:webHidden/>
                <w:color w:val="000000" w:themeColor="text1"/>
                <w:szCs w:val="20"/>
              </w:rPr>
              <w:t>10</w:t>
            </w:r>
            <w:r w:rsidR="009D683D" w:rsidRPr="009D683D">
              <w:rPr>
                <w:rFonts w:ascii="Calibri" w:eastAsia="Calibri" w:hAnsi="Calibri" w:cs="Times New Roman"/>
                <w:i/>
                <w:iCs/>
                <w:noProof/>
                <w:webHidden/>
                <w:color w:val="000000" w:themeColor="text1"/>
                <w:szCs w:val="20"/>
              </w:rPr>
              <w:fldChar w:fldCharType="end"/>
            </w:r>
          </w:hyperlink>
        </w:p>
        <w:p w14:paraId="56957BDF" w14:textId="77777777" w:rsidR="009D683D" w:rsidRPr="009D683D" w:rsidRDefault="00D32AD3" w:rsidP="009D683D">
          <w:pPr>
            <w:tabs>
              <w:tab w:val="left" w:pos="880"/>
              <w:tab w:val="right" w:leader="dot" w:pos="9016"/>
            </w:tabs>
            <w:spacing w:after="0"/>
            <w:ind w:left="220"/>
            <w:rPr>
              <w:rFonts w:ascii="Calibri" w:eastAsia="Times New Roman" w:hAnsi="Calibri" w:cs="Times New Roman"/>
              <w:noProof/>
              <w:color w:val="000000" w:themeColor="text1"/>
              <w:sz w:val="22"/>
              <w:lang w:eastAsia="en-AU"/>
            </w:rPr>
          </w:pPr>
          <w:hyperlink w:anchor="_Toc2585808" w:history="1">
            <w:r w:rsidR="009D683D" w:rsidRPr="009D683D">
              <w:rPr>
                <w:rFonts w:ascii="Calibri" w:eastAsia="Calibri" w:hAnsi="Calibri" w:cs="Times New Roman"/>
                <w:smallCaps/>
                <w:noProof/>
                <w:color w:val="000000" w:themeColor="text1"/>
                <w:szCs w:val="20"/>
                <w14:scene3d>
                  <w14:camera w14:prst="orthographicFront"/>
                  <w14:lightRig w14:rig="threePt" w14:dir="t">
                    <w14:rot w14:lat="0" w14:lon="0" w14:rev="0"/>
                  </w14:lightRig>
                </w14:scene3d>
              </w:rPr>
              <w:t>2.2</w:t>
            </w:r>
            <w:r w:rsidR="009D683D" w:rsidRPr="009D683D">
              <w:rPr>
                <w:rFonts w:ascii="Calibri" w:eastAsia="Times New Roman" w:hAnsi="Calibri" w:cs="Times New Roman"/>
                <w:noProof/>
                <w:color w:val="000000" w:themeColor="text1"/>
                <w:sz w:val="22"/>
                <w:lang w:eastAsia="en-AU"/>
              </w:rPr>
              <w:tab/>
            </w:r>
            <w:r w:rsidR="009D683D" w:rsidRPr="009D683D">
              <w:rPr>
                <w:rFonts w:ascii="Calibri" w:eastAsia="Calibri" w:hAnsi="Calibri" w:cs="Times New Roman"/>
                <w:smallCaps/>
                <w:noProof/>
                <w:color w:val="000000" w:themeColor="text1"/>
                <w:szCs w:val="20"/>
              </w:rPr>
              <w:t>Pre-Transplant Journey</w:t>
            </w:r>
            <w:r w:rsidR="009D683D" w:rsidRPr="009D683D">
              <w:rPr>
                <w:rFonts w:ascii="Calibri" w:eastAsia="Calibri" w:hAnsi="Calibri" w:cs="Times New Roman"/>
                <w:smallCaps/>
                <w:noProof/>
                <w:webHidden/>
                <w:color w:val="000000" w:themeColor="text1"/>
                <w:szCs w:val="20"/>
              </w:rPr>
              <w:tab/>
            </w:r>
            <w:r w:rsidR="009D683D" w:rsidRPr="009D683D">
              <w:rPr>
                <w:rFonts w:ascii="Calibri" w:eastAsia="Calibri" w:hAnsi="Calibri" w:cs="Times New Roman"/>
                <w:smallCaps/>
                <w:noProof/>
                <w:webHidden/>
                <w:color w:val="000000" w:themeColor="text1"/>
                <w:szCs w:val="20"/>
              </w:rPr>
              <w:fldChar w:fldCharType="begin"/>
            </w:r>
            <w:r w:rsidR="009D683D" w:rsidRPr="009D683D">
              <w:rPr>
                <w:rFonts w:ascii="Calibri" w:eastAsia="Calibri" w:hAnsi="Calibri" w:cs="Times New Roman"/>
                <w:smallCaps/>
                <w:noProof/>
                <w:webHidden/>
                <w:color w:val="000000" w:themeColor="text1"/>
                <w:szCs w:val="20"/>
              </w:rPr>
              <w:instrText xml:space="preserve"> PAGEREF _Toc2585808 \h </w:instrText>
            </w:r>
            <w:r w:rsidR="009D683D" w:rsidRPr="009D683D">
              <w:rPr>
                <w:rFonts w:ascii="Calibri" w:eastAsia="Calibri" w:hAnsi="Calibri" w:cs="Times New Roman"/>
                <w:smallCaps/>
                <w:noProof/>
                <w:webHidden/>
                <w:color w:val="000000" w:themeColor="text1"/>
                <w:szCs w:val="20"/>
              </w:rPr>
            </w:r>
            <w:r w:rsidR="009D683D" w:rsidRPr="009D683D">
              <w:rPr>
                <w:rFonts w:ascii="Calibri" w:eastAsia="Calibri" w:hAnsi="Calibri" w:cs="Times New Roman"/>
                <w:smallCaps/>
                <w:noProof/>
                <w:webHidden/>
                <w:color w:val="000000" w:themeColor="text1"/>
                <w:szCs w:val="20"/>
              </w:rPr>
              <w:fldChar w:fldCharType="separate"/>
            </w:r>
            <w:r w:rsidR="009D683D" w:rsidRPr="009D683D">
              <w:rPr>
                <w:rFonts w:ascii="Calibri" w:eastAsia="Calibri" w:hAnsi="Calibri" w:cs="Times New Roman"/>
                <w:smallCaps/>
                <w:noProof/>
                <w:webHidden/>
                <w:color w:val="000000" w:themeColor="text1"/>
                <w:szCs w:val="20"/>
              </w:rPr>
              <w:t>11</w:t>
            </w:r>
            <w:r w:rsidR="009D683D" w:rsidRPr="009D683D">
              <w:rPr>
                <w:rFonts w:ascii="Calibri" w:eastAsia="Calibri" w:hAnsi="Calibri" w:cs="Times New Roman"/>
                <w:smallCaps/>
                <w:noProof/>
                <w:webHidden/>
                <w:color w:val="000000" w:themeColor="text1"/>
                <w:szCs w:val="20"/>
              </w:rPr>
              <w:fldChar w:fldCharType="end"/>
            </w:r>
          </w:hyperlink>
        </w:p>
        <w:p w14:paraId="3FBDFE91" w14:textId="69D69C96" w:rsidR="009D683D" w:rsidRPr="009D683D" w:rsidRDefault="00D32AD3" w:rsidP="00782640">
          <w:pPr>
            <w:numPr>
              <w:ilvl w:val="0"/>
              <w:numId w:val="70"/>
            </w:numPr>
            <w:tabs>
              <w:tab w:val="left" w:pos="1100"/>
              <w:tab w:val="right" w:leader="dot" w:pos="9016"/>
            </w:tabs>
            <w:spacing w:after="0"/>
            <w:ind w:left="440" w:firstLine="0"/>
            <w:rPr>
              <w:rFonts w:ascii="Calibri" w:eastAsia="Times New Roman" w:hAnsi="Calibri" w:cs="Times New Roman"/>
              <w:noProof/>
              <w:color w:val="000000" w:themeColor="text1"/>
              <w:sz w:val="22"/>
              <w:lang w:eastAsia="en-AU"/>
            </w:rPr>
          </w:pPr>
          <w:hyperlink w:anchor="_Toc2585809" w:history="1">
            <w:r w:rsidR="009D683D" w:rsidRPr="009D683D">
              <w:rPr>
                <w:rFonts w:ascii="Calibri" w:eastAsia="Calibri" w:hAnsi="Calibri" w:cs="Times New Roman"/>
                <w:i/>
                <w:iCs/>
                <w:noProof/>
                <w:color w:val="000000" w:themeColor="text1"/>
                <w:szCs w:val="20"/>
                <w14:scene3d>
                  <w14:camera w14:prst="orthographicFront"/>
                  <w14:lightRig w14:rig="threePt" w14:dir="t">
                    <w14:rot w14:lat="0" w14:lon="0" w14:rev="0"/>
                  </w14:lightRig>
                </w14:scene3d>
              </w:rPr>
              <w:t>2.2.1</w:t>
            </w:r>
            <w:r w:rsidR="0010384B">
              <w:rPr>
                <w:rFonts w:ascii="Calibri" w:eastAsia="Times New Roman" w:hAnsi="Calibri" w:cs="Times New Roman"/>
                <w:noProof/>
                <w:color w:val="000000" w:themeColor="text1"/>
                <w:sz w:val="22"/>
                <w:lang w:eastAsia="en-AU"/>
              </w:rPr>
              <w:t xml:space="preserve"> </w:t>
            </w:r>
            <w:r w:rsidR="009D683D" w:rsidRPr="009D683D">
              <w:rPr>
                <w:rFonts w:ascii="Calibri" w:eastAsia="Calibri" w:hAnsi="Calibri" w:cs="Times New Roman"/>
                <w:i/>
                <w:iCs/>
                <w:noProof/>
                <w:color w:val="000000" w:themeColor="text1"/>
                <w:szCs w:val="20"/>
              </w:rPr>
              <w:t>Information sharing and understanding the transplantation process</w:t>
            </w:r>
            <w:r w:rsidR="009D683D" w:rsidRPr="009D683D">
              <w:rPr>
                <w:rFonts w:ascii="Calibri" w:eastAsia="Calibri" w:hAnsi="Calibri" w:cs="Times New Roman"/>
                <w:i/>
                <w:iCs/>
                <w:noProof/>
                <w:webHidden/>
                <w:color w:val="000000" w:themeColor="text1"/>
                <w:szCs w:val="20"/>
              </w:rPr>
              <w:tab/>
            </w:r>
            <w:r w:rsidR="009D683D" w:rsidRPr="009D683D">
              <w:rPr>
                <w:rFonts w:ascii="Calibri" w:eastAsia="Calibri" w:hAnsi="Calibri" w:cs="Times New Roman"/>
                <w:i/>
                <w:iCs/>
                <w:noProof/>
                <w:webHidden/>
                <w:color w:val="000000" w:themeColor="text1"/>
                <w:szCs w:val="20"/>
              </w:rPr>
              <w:fldChar w:fldCharType="begin"/>
            </w:r>
            <w:r w:rsidR="009D683D" w:rsidRPr="009D683D">
              <w:rPr>
                <w:rFonts w:ascii="Calibri" w:eastAsia="Calibri" w:hAnsi="Calibri" w:cs="Times New Roman"/>
                <w:i/>
                <w:iCs/>
                <w:noProof/>
                <w:webHidden/>
                <w:color w:val="000000" w:themeColor="text1"/>
                <w:szCs w:val="20"/>
              </w:rPr>
              <w:instrText xml:space="preserve"> PAGEREF _Toc2585809 \h </w:instrText>
            </w:r>
            <w:r w:rsidR="009D683D" w:rsidRPr="009D683D">
              <w:rPr>
                <w:rFonts w:ascii="Calibri" w:eastAsia="Calibri" w:hAnsi="Calibri" w:cs="Times New Roman"/>
                <w:i/>
                <w:iCs/>
                <w:noProof/>
                <w:webHidden/>
                <w:color w:val="000000" w:themeColor="text1"/>
                <w:szCs w:val="20"/>
              </w:rPr>
            </w:r>
            <w:r w:rsidR="009D683D" w:rsidRPr="009D683D">
              <w:rPr>
                <w:rFonts w:ascii="Calibri" w:eastAsia="Calibri" w:hAnsi="Calibri" w:cs="Times New Roman"/>
                <w:i/>
                <w:iCs/>
                <w:noProof/>
                <w:webHidden/>
                <w:color w:val="000000" w:themeColor="text1"/>
                <w:szCs w:val="20"/>
              </w:rPr>
              <w:fldChar w:fldCharType="separate"/>
            </w:r>
            <w:r w:rsidR="009D683D" w:rsidRPr="009D683D">
              <w:rPr>
                <w:rFonts w:ascii="Calibri" w:eastAsia="Calibri" w:hAnsi="Calibri" w:cs="Times New Roman"/>
                <w:i/>
                <w:iCs/>
                <w:noProof/>
                <w:webHidden/>
                <w:color w:val="000000" w:themeColor="text1"/>
                <w:szCs w:val="20"/>
              </w:rPr>
              <w:t>12</w:t>
            </w:r>
            <w:r w:rsidR="009D683D" w:rsidRPr="009D683D">
              <w:rPr>
                <w:rFonts w:ascii="Calibri" w:eastAsia="Calibri" w:hAnsi="Calibri" w:cs="Times New Roman"/>
                <w:i/>
                <w:iCs/>
                <w:noProof/>
                <w:webHidden/>
                <w:color w:val="000000" w:themeColor="text1"/>
                <w:szCs w:val="20"/>
              </w:rPr>
              <w:fldChar w:fldCharType="end"/>
            </w:r>
          </w:hyperlink>
        </w:p>
        <w:p w14:paraId="76DBD15F" w14:textId="254720B7" w:rsidR="009D683D" w:rsidRPr="009D683D" w:rsidRDefault="00D32AD3" w:rsidP="00782640">
          <w:pPr>
            <w:numPr>
              <w:ilvl w:val="0"/>
              <w:numId w:val="70"/>
            </w:numPr>
            <w:tabs>
              <w:tab w:val="left" w:pos="1100"/>
              <w:tab w:val="right" w:leader="dot" w:pos="9016"/>
            </w:tabs>
            <w:spacing w:after="0"/>
            <w:ind w:left="440" w:firstLine="0"/>
            <w:rPr>
              <w:rFonts w:ascii="Calibri" w:eastAsia="Times New Roman" w:hAnsi="Calibri" w:cs="Times New Roman"/>
              <w:noProof/>
              <w:color w:val="000000" w:themeColor="text1"/>
              <w:sz w:val="22"/>
              <w:lang w:eastAsia="en-AU"/>
            </w:rPr>
          </w:pPr>
          <w:hyperlink w:anchor="_Toc2585810" w:history="1">
            <w:r w:rsidR="009D683D" w:rsidRPr="009D683D">
              <w:rPr>
                <w:rFonts w:ascii="Calibri" w:eastAsia="Calibri" w:hAnsi="Calibri" w:cs="Times New Roman"/>
                <w:i/>
                <w:iCs/>
                <w:noProof/>
                <w:color w:val="000000" w:themeColor="text1"/>
                <w:szCs w:val="20"/>
                <w14:scene3d>
                  <w14:camera w14:prst="orthographicFront"/>
                  <w14:lightRig w14:rig="threePt" w14:dir="t">
                    <w14:rot w14:lat="0" w14:lon="0" w14:rev="0"/>
                  </w14:lightRig>
                </w14:scene3d>
              </w:rPr>
              <w:t>2.2.2</w:t>
            </w:r>
            <w:r w:rsidR="0010384B">
              <w:rPr>
                <w:rFonts w:ascii="Calibri" w:eastAsia="Times New Roman" w:hAnsi="Calibri" w:cs="Times New Roman"/>
                <w:noProof/>
                <w:color w:val="000000" w:themeColor="text1"/>
                <w:sz w:val="22"/>
                <w:lang w:eastAsia="en-AU"/>
              </w:rPr>
              <w:t xml:space="preserve"> </w:t>
            </w:r>
            <w:r w:rsidR="009D683D" w:rsidRPr="009D683D">
              <w:rPr>
                <w:rFonts w:ascii="Calibri" w:eastAsia="Calibri" w:hAnsi="Calibri" w:cs="Times New Roman"/>
                <w:i/>
                <w:iCs/>
                <w:noProof/>
                <w:color w:val="000000" w:themeColor="text1"/>
                <w:szCs w:val="20"/>
              </w:rPr>
              <w:t>Completing transplant workup tests and formal assessment</w:t>
            </w:r>
            <w:r w:rsidR="009D683D" w:rsidRPr="009D683D">
              <w:rPr>
                <w:rFonts w:ascii="Calibri" w:eastAsia="Calibri" w:hAnsi="Calibri" w:cs="Times New Roman"/>
                <w:i/>
                <w:iCs/>
                <w:noProof/>
                <w:webHidden/>
                <w:color w:val="000000" w:themeColor="text1"/>
                <w:szCs w:val="20"/>
              </w:rPr>
              <w:tab/>
            </w:r>
            <w:r w:rsidR="009D683D" w:rsidRPr="009D683D">
              <w:rPr>
                <w:rFonts w:ascii="Calibri" w:eastAsia="Calibri" w:hAnsi="Calibri" w:cs="Times New Roman"/>
                <w:i/>
                <w:iCs/>
                <w:noProof/>
                <w:webHidden/>
                <w:color w:val="000000" w:themeColor="text1"/>
                <w:szCs w:val="20"/>
              </w:rPr>
              <w:fldChar w:fldCharType="begin"/>
            </w:r>
            <w:r w:rsidR="009D683D" w:rsidRPr="009D683D">
              <w:rPr>
                <w:rFonts w:ascii="Calibri" w:eastAsia="Calibri" w:hAnsi="Calibri" w:cs="Times New Roman"/>
                <w:i/>
                <w:iCs/>
                <w:noProof/>
                <w:webHidden/>
                <w:color w:val="000000" w:themeColor="text1"/>
                <w:szCs w:val="20"/>
              </w:rPr>
              <w:instrText xml:space="preserve"> PAGEREF _Toc2585810 \h </w:instrText>
            </w:r>
            <w:r w:rsidR="009D683D" w:rsidRPr="009D683D">
              <w:rPr>
                <w:rFonts w:ascii="Calibri" w:eastAsia="Calibri" w:hAnsi="Calibri" w:cs="Times New Roman"/>
                <w:i/>
                <w:iCs/>
                <w:noProof/>
                <w:webHidden/>
                <w:color w:val="000000" w:themeColor="text1"/>
                <w:szCs w:val="20"/>
              </w:rPr>
            </w:r>
            <w:r w:rsidR="009D683D" w:rsidRPr="009D683D">
              <w:rPr>
                <w:rFonts w:ascii="Calibri" w:eastAsia="Calibri" w:hAnsi="Calibri" w:cs="Times New Roman"/>
                <w:i/>
                <w:iCs/>
                <w:noProof/>
                <w:webHidden/>
                <w:color w:val="000000" w:themeColor="text1"/>
                <w:szCs w:val="20"/>
              </w:rPr>
              <w:fldChar w:fldCharType="separate"/>
            </w:r>
            <w:r w:rsidR="009D683D" w:rsidRPr="009D683D">
              <w:rPr>
                <w:rFonts w:ascii="Calibri" w:eastAsia="Calibri" w:hAnsi="Calibri" w:cs="Times New Roman"/>
                <w:i/>
                <w:iCs/>
                <w:noProof/>
                <w:webHidden/>
                <w:color w:val="000000" w:themeColor="text1"/>
                <w:szCs w:val="20"/>
              </w:rPr>
              <w:t>15</w:t>
            </w:r>
            <w:r w:rsidR="009D683D" w:rsidRPr="009D683D">
              <w:rPr>
                <w:rFonts w:ascii="Calibri" w:eastAsia="Calibri" w:hAnsi="Calibri" w:cs="Times New Roman"/>
                <w:i/>
                <w:iCs/>
                <w:noProof/>
                <w:webHidden/>
                <w:color w:val="000000" w:themeColor="text1"/>
                <w:szCs w:val="20"/>
              </w:rPr>
              <w:fldChar w:fldCharType="end"/>
            </w:r>
          </w:hyperlink>
        </w:p>
        <w:p w14:paraId="69FC1B67" w14:textId="17AE2AF6" w:rsidR="009D683D" w:rsidRPr="009D683D" w:rsidRDefault="00D32AD3" w:rsidP="00782640">
          <w:pPr>
            <w:numPr>
              <w:ilvl w:val="0"/>
              <w:numId w:val="70"/>
            </w:numPr>
            <w:tabs>
              <w:tab w:val="left" w:pos="1100"/>
              <w:tab w:val="right" w:leader="dot" w:pos="9016"/>
            </w:tabs>
            <w:spacing w:after="0"/>
            <w:ind w:left="440" w:firstLine="0"/>
            <w:rPr>
              <w:rFonts w:ascii="Calibri" w:eastAsia="Times New Roman" w:hAnsi="Calibri" w:cs="Times New Roman"/>
              <w:noProof/>
              <w:color w:val="000000" w:themeColor="text1"/>
              <w:sz w:val="22"/>
              <w:lang w:eastAsia="en-AU"/>
            </w:rPr>
          </w:pPr>
          <w:hyperlink w:anchor="_Toc2585811" w:history="1">
            <w:r w:rsidR="009D683D" w:rsidRPr="009D683D">
              <w:rPr>
                <w:rFonts w:ascii="Calibri" w:eastAsia="Calibri" w:hAnsi="Calibri" w:cs="Times New Roman"/>
                <w:i/>
                <w:iCs/>
                <w:noProof/>
                <w:color w:val="000000" w:themeColor="text1"/>
                <w:szCs w:val="20"/>
                <w14:scene3d>
                  <w14:camera w14:prst="orthographicFront"/>
                  <w14:lightRig w14:rig="threePt" w14:dir="t">
                    <w14:rot w14:lat="0" w14:lon="0" w14:rev="0"/>
                  </w14:lightRig>
                </w14:scene3d>
              </w:rPr>
              <w:t>2.2.3</w:t>
            </w:r>
            <w:r w:rsidR="0010384B">
              <w:rPr>
                <w:rFonts w:ascii="Calibri" w:eastAsia="Times New Roman" w:hAnsi="Calibri" w:cs="Times New Roman"/>
                <w:noProof/>
                <w:color w:val="000000" w:themeColor="text1"/>
                <w:sz w:val="22"/>
                <w:lang w:eastAsia="en-AU"/>
              </w:rPr>
              <w:t xml:space="preserve"> </w:t>
            </w:r>
            <w:r w:rsidR="009D683D" w:rsidRPr="009D683D">
              <w:rPr>
                <w:rFonts w:ascii="Calibri" w:eastAsia="Calibri" w:hAnsi="Calibri" w:cs="Times New Roman"/>
                <w:i/>
                <w:iCs/>
                <w:noProof/>
                <w:color w:val="000000" w:themeColor="text1"/>
                <w:szCs w:val="20"/>
              </w:rPr>
              <w:t>Staying healthy on the list</w:t>
            </w:r>
            <w:r w:rsidR="009D683D" w:rsidRPr="009D683D">
              <w:rPr>
                <w:rFonts w:ascii="Calibri" w:eastAsia="Calibri" w:hAnsi="Calibri" w:cs="Times New Roman"/>
                <w:i/>
                <w:iCs/>
                <w:noProof/>
                <w:webHidden/>
                <w:color w:val="000000" w:themeColor="text1"/>
                <w:szCs w:val="20"/>
              </w:rPr>
              <w:tab/>
            </w:r>
            <w:r w:rsidR="009D683D" w:rsidRPr="009D683D">
              <w:rPr>
                <w:rFonts w:ascii="Calibri" w:eastAsia="Calibri" w:hAnsi="Calibri" w:cs="Times New Roman"/>
                <w:i/>
                <w:iCs/>
                <w:noProof/>
                <w:webHidden/>
                <w:color w:val="000000" w:themeColor="text1"/>
                <w:szCs w:val="20"/>
              </w:rPr>
              <w:fldChar w:fldCharType="begin"/>
            </w:r>
            <w:r w:rsidR="009D683D" w:rsidRPr="009D683D">
              <w:rPr>
                <w:rFonts w:ascii="Calibri" w:eastAsia="Calibri" w:hAnsi="Calibri" w:cs="Times New Roman"/>
                <w:i/>
                <w:iCs/>
                <w:noProof/>
                <w:webHidden/>
                <w:color w:val="000000" w:themeColor="text1"/>
                <w:szCs w:val="20"/>
              </w:rPr>
              <w:instrText xml:space="preserve"> PAGEREF _Toc2585811 \h </w:instrText>
            </w:r>
            <w:r w:rsidR="009D683D" w:rsidRPr="009D683D">
              <w:rPr>
                <w:rFonts w:ascii="Calibri" w:eastAsia="Calibri" w:hAnsi="Calibri" w:cs="Times New Roman"/>
                <w:i/>
                <w:iCs/>
                <w:noProof/>
                <w:webHidden/>
                <w:color w:val="000000" w:themeColor="text1"/>
                <w:szCs w:val="20"/>
              </w:rPr>
            </w:r>
            <w:r w:rsidR="009D683D" w:rsidRPr="009D683D">
              <w:rPr>
                <w:rFonts w:ascii="Calibri" w:eastAsia="Calibri" w:hAnsi="Calibri" w:cs="Times New Roman"/>
                <w:i/>
                <w:iCs/>
                <w:noProof/>
                <w:webHidden/>
                <w:color w:val="000000" w:themeColor="text1"/>
                <w:szCs w:val="20"/>
              </w:rPr>
              <w:fldChar w:fldCharType="separate"/>
            </w:r>
            <w:r w:rsidR="009D683D" w:rsidRPr="009D683D">
              <w:rPr>
                <w:rFonts w:ascii="Calibri" w:eastAsia="Calibri" w:hAnsi="Calibri" w:cs="Times New Roman"/>
                <w:i/>
                <w:iCs/>
                <w:noProof/>
                <w:webHidden/>
                <w:color w:val="000000" w:themeColor="text1"/>
                <w:szCs w:val="20"/>
              </w:rPr>
              <w:t>19</w:t>
            </w:r>
            <w:r w:rsidR="009D683D" w:rsidRPr="009D683D">
              <w:rPr>
                <w:rFonts w:ascii="Calibri" w:eastAsia="Calibri" w:hAnsi="Calibri" w:cs="Times New Roman"/>
                <w:i/>
                <w:iCs/>
                <w:noProof/>
                <w:webHidden/>
                <w:color w:val="000000" w:themeColor="text1"/>
                <w:szCs w:val="20"/>
              </w:rPr>
              <w:fldChar w:fldCharType="end"/>
            </w:r>
          </w:hyperlink>
        </w:p>
        <w:p w14:paraId="07B41BDB" w14:textId="5938A6AF" w:rsidR="009D683D" w:rsidRPr="009D683D" w:rsidRDefault="00D32AD3" w:rsidP="00782640">
          <w:pPr>
            <w:numPr>
              <w:ilvl w:val="0"/>
              <w:numId w:val="70"/>
            </w:numPr>
            <w:tabs>
              <w:tab w:val="left" w:pos="1100"/>
              <w:tab w:val="right" w:leader="dot" w:pos="9016"/>
            </w:tabs>
            <w:spacing w:after="0"/>
            <w:ind w:left="440" w:firstLine="0"/>
            <w:rPr>
              <w:rFonts w:ascii="Calibri" w:eastAsia="Times New Roman" w:hAnsi="Calibri" w:cs="Times New Roman"/>
              <w:noProof/>
              <w:color w:val="000000" w:themeColor="text1"/>
              <w:sz w:val="22"/>
              <w:lang w:eastAsia="en-AU"/>
            </w:rPr>
          </w:pPr>
          <w:hyperlink w:anchor="_Toc2585812" w:history="1">
            <w:r w:rsidR="009D683D" w:rsidRPr="009D683D">
              <w:rPr>
                <w:rFonts w:ascii="Calibri" w:eastAsia="Calibri" w:hAnsi="Calibri" w:cs="Times New Roman"/>
                <w:i/>
                <w:iCs/>
                <w:noProof/>
                <w:color w:val="000000" w:themeColor="text1"/>
                <w:szCs w:val="20"/>
                <w14:scene3d>
                  <w14:camera w14:prst="orthographicFront"/>
                  <w14:lightRig w14:rig="threePt" w14:dir="t">
                    <w14:rot w14:lat="0" w14:lon="0" w14:rev="0"/>
                  </w14:lightRig>
                </w14:scene3d>
              </w:rPr>
              <w:t>2.2.4</w:t>
            </w:r>
            <w:r w:rsidR="0010384B">
              <w:rPr>
                <w:rFonts w:ascii="Calibri" w:eastAsia="Times New Roman" w:hAnsi="Calibri" w:cs="Times New Roman"/>
                <w:noProof/>
                <w:color w:val="000000" w:themeColor="text1"/>
                <w:sz w:val="22"/>
                <w:lang w:eastAsia="en-AU"/>
              </w:rPr>
              <w:t xml:space="preserve"> </w:t>
            </w:r>
            <w:r w:rsidR="009D683D" w:rsidRPr="009D683D">
              <w:rPr>
                <w:rFonts w:ascii="Calibri" w:eastAsia="Calibri" w:hAnsi="Calibri" w:cs="Times New Roman"/>
                <w:i/>
                <w:iCs/>
                <w:noProof/>
                <w:color w:val="000000" w:themeColor="text1"/>
                <w:szCs w:val="20"/>
              </w:rPr>
              <w:t>Surgical assessment</w:t>
            </w:r>
            <w:r w:rsidR="009D683D" w:rsidRPr="009D683D">
              <w:rPr>
                <w:rFonts w:ascii="Calibri" w:eastAsia="Calibri" w:hAnsi="Calibri" w:cs="Times New Roman"/>
                <w:i/>
                <w:iCs/>
                <w:noProof/>
                <w:webHidden/>
                <w:color w:val="000000" w:themeColor="text1"/>
                <w:szCs w:val="20"/>
              </w:rPr>
              <w:tab/>
            </w:r>
            <w:r w:rsidR="009D683D" w:rsidRPr="009D683D">
              <w:rPr>
                <w:rFonts w:ascii="Calibri" w:eastAsia="Calibri" w:hAnsi="Calibri" w:cs="Times New Roman"/>
                <w:i/>
                <w:iCs/>
                <w:noProof/>
                <w:webHidden/>
                <w:color w:val="000000" w:themeColor="text1"/>
                <w:szCs w:val="20"/>
              </w:rPr>
              <w:fldChar w:fldCharType="begin"/>
            </w:r>
            <w:r w:rsidR="009D683D" w:rsidRPr="009D683D">
              <w:rPr>
                <w:rFonts w:ascii="Calibri" w:eastAsia="Calibri" w:hAnsi="Calibri" w:cs="Times New Roman"/>
                <w:i/>
                <w:iCs/>
                <w:noProof/>
                <w:webHidden/>
                <w:color w:val="000000" w:themeColor="text1"/>
                <w:szCs w:val="20"/>
              </w:rPr>
              <w:instrText xml:space="preserve"> PAGEREF _Toc2585812 \h </w:instrText>
            </w:r>
            <w:r w:rsidR="009D683D" w:rsidRPr="009D683D">
              <w:rPr>
                <w:rFonts w:ascii="Calibri" w:eastAsia="Calibri" w:hAnsi="Calibri" w:cs="Times New Roman"/>
                <w:i/>
                <w:iCs/>
                <w:noProof/>
                <w:webHidden/>
                <w:color w:val="000000" w:themeColor="text1"/>
                <w:szCs w:val="20"/>
              </w:rPr>
            </w:r>
            <w:r w:rsidR="009D683D" w:rsidRPr="009D683D">
              <w:rPr>
                <w:rFonts w:ascii="Calibri" w:eastAsia="Calibri" w:hAnsi="Calibri" w:cs="Times New Roman"/>
                <w:i/>
                <w:iCs/>
                <w:noProof/>
                <w:webHidden/>
                <w:color w:val="000000" w:themeColor="text1"/>
                <w:szCs w:val="20"/>
              </w:rPr>
              <w:fldChar w:fldCharType="separate"/>
            </w:r>
            <w:r w:rsidR="009D683D" w:rsidRPr="009D683D">
              <w:rPr>
                <w:rFonts w:ascii="Calibri" w:eastAsia="Calibri" w:hAnsi="Calibri" w:cs="Times New Roman"/>
                <w:i/>
                <w:iCs/>
                <w:noProof/>
                <w:webHidden/>
                <w:color w:val="000000" w:themeColor="text1"/>
                <w:szCs w:val="20"/>
              </w:rPr>
              <w:t>19</w:t>
            </w:r>
            <w:r w:rsidR="009D683D" w:rsidRPr="009D683D">
              <w:rPr>
                <w:rFonts w:ascii="Calibri" w:eastAsia="Calibri" w:hAnsi="Calibri" w:cs="Times New Roman"/>
                <w:i/>
                <w:iCs/>
                <w:noProof/>
                <w:webHidden/>
                <w:color w:val="000000" w:themeColor="text1"/>
                <w:szCs w:val="20"/>
              </w:rPr>
              <w:fldChar w:fldCharType="end"/>
            </w:r>
          </w:hyperlink>
        </w:p>
        <w:p w14:paraId="239D6771" w14:textId="77777777" w:rsidR="009D683D" w:rsidRPr="009D683D" w:rsidRDefault="00D32AD3" w:rsidP="009D683D">
          <w:pPr>
            <w:tabs>
              <w:tab w:val="left" w:pos="880"/>
              <w:tab w:val="right" w:leader="dot" w:pos="9016"/>
            </w:tabs>
            <w:spacing w:after="0"/>
            <w:ind w:left="220"/>
            <w:rPr>
              <w:rFonts w:ascii="Calibri" w:eastAsia="Times New Roman" w:hAnsi="Calibri" w:cs="Times New Roman"/>
              <w:noProof/>
              <w:color w:val="000000" w:themeColor="text1"/>
              <w:sz w:val="22"/>
              <w:lang w:eastAsia="en-AU"/>
            </w:rPr>
          </w:pPr>
          <w:hyperlink w:anchor="_Toc2585813" w:history="1">
            <w:r w:rsidR="009D683D" w:rsidRPr="009D683D">
              <w:rPr>
                <w:rFonts w:ascii="Calibri" w:eastAsia="Calibri" w:hAnsi="Calibri" w:cs="Times New Roman"/>
                <w:smallCaps/>
                <w:noProof/>
                <w:color w:val="000000" w:themeColor="text1"/>
                <w:szCs w:val="20"/>
                <w14:scene3d>
                  <w14:camera w14:prst="orthographicFront"/>
                  <w14:lightRig w14:rig="threePt" w14:dir="t">
                    <w14:rot w14:lat="0" w14:lon="0" w14:rev="0"/>
                  </w14:lightRig>
                </w14:scene3d>
              </w:rPr>
              <w:t>2.3</w:t>
            </w:r>
            <w:r w:rsidR="009D683D" w:rsidRPr="009D683D">
              <w:rPr>
                <w:rFonts w:ascii="Calibri" w:eastAsia="Times New Roman" w:hAnsi="Calibri" w:cs="Times New Roman"/>
                <w:noProof/>
                <w:color w:val="000000" w:themeColor="text1"/>
                <w:sz w:val="22"/>
                <w:lang w:eastAsia="en-AU"/>
              </w:rPr>
              <w:tab/>
            </w:r>
            <w:r w:rsidR="009D683D" w:rsidRPr="009D683D">
              <w:rPr>
                <w:rFonts w:ascii="Calibri" w:eastAsia="Calibri" w:hAnsi="Calibri" w:cs="Times New Roman"/>
                <w:smallCaps/>
                <w:noProof/>
                <w:color w:val="000000" w:themeColor="text1"/>
                <w:szCs w:val="20"/>
              </w:rPr>
              <w:t>Post-Transplant Requirements</w:t>
            </w:r>
            <w:r w:rsidR="009D683D" w:rsidRPr="009D683D">
              <w:rPr>
                <w:rFonts w:ascii="Calibri" w:eastAsia="Calibri" w:hAnsi="Calibri" w:cs="Times New Roman"/>
                <w:smallCaps/>
                <w:noProof/>
                <w:webHidden/>
                <w:color w:val="000000" w:themeColor="text1"/>
                <w:szCs w:val="20"/>
              </w:rPr>
              <w:tab/>
            </w:r>
            <w:r w:rsidR="009D683D" w:rsidRPr="009D683D">
              <w:rPr>
                <w:rFonts w:ascii="Calibri" w:eastAsia="Calibri" w:hAnsi="Calibri" w:cs="Times New Roman"/>
                <w:smallCaps/>
                <w:noProof/>
                <w:webHidden/>
                <w:color w:val="000000" w:themeColor="text1"/>
                <w:szCs w:val="20"/>
              </w:rPr>
              <w:fldChar w:fldCharType="begin"/>
            </w:r>
            <w:r w:rsidR="009D683D" w:rsidRPr="009D683D">
              <w:rPr>
                <w:rFonts w:ascii="Calibri" w:eastAsia="Calibri" w:hAnsi="Calibri" w:cs="Times New Roman"/>
                <w:smallCaps/>
                <w:noProof/>
                <w:webHidden/>
                <w:color w:val="000000" w:themeColor="text1"/>
                <w:szCs w:val="20"/>
              </w:rPr>
              <w:instrText xml:space="preserve"> PAGEREF _Toc2585813 \h </w:instrText>
            </w:r>
            <w:r w:rsidR="009D683D" w:rsidRPr="009D683D">
              <w:rPr>
                <w:rFonts w:ascii="Calibri" w:eastAsia="Calibri" w:hAnsi="Calibri" w:cs="Times New Roman"/>
                <w:smallCaps/>
                <w:noProof/>
                <w:webHidden/>
                <w:color w:val="000000" w:themeColor="text1"/>
                <w:szCs w:val="20"/>
              </w:rPr>
            </w:r>
            <w:r w:rsidR="009D683D" w:rsidRPr="009D683D">
              <w:rPr>
                <w:rFonts w:ascii="Calibri" w:eastAsia="Calibri" w:hAnsi="Calibri" w:cs="Times New Roman"/>
                <w:smallCaps/>
                <w:noProof/>
                <w:webHidden/>
                <w:color w:val="000000" w:themeColor="text1"/>
                <w:szCs w:val="20"/>
              </w:rPr>
              <w:fldChar w:fldCharType="separate"/>
            </w:r>
            <w:r w:rsidR="009D683D" w:rsidRPr="009D683D">
              <w:rPr>
                <w:rFonts w:ascii="Calibri" w:eastAsia="Calibri" w:hAnsi="Calibri" w:cs="Times New Roman"/>
                <w:smallCaps/>
                <w:noProof/>
                <w:webHidden/>
                <w:color w:val="000000" w:themeColor="text1"/>
                <w:szCs w:val="20"/>
              </w:rPr>
              <w:t>25</w:t>
            </w:r>
            <w:r w:rsidR="009D683D" w:rsidRPr="009D683D">
              <w:rPr>
                <w:rFonts w:ascii="Calibri" w:eastAsia="Calibri" w:hAnsi="Calibri" w:cs="Times New Roman"/>
                <w:smallCaps/>
                <w:noProof/>
                <w:webHidden/>
                <w:color w:val="000000" w:themeColor="text1"/>
                <w:szCs w:val="20"/>
              </w:rPr>
              <w:fldChar w:fldCharType="end"/>
            </w:r>
          </w:hyperlink>
        </w:p>
        <w:p w14:paraId="68962D72" w14:textId="0181B628" w:rsidR="009D683D" w:rsidRPr="009D683D" w:rsidRDefault="00D32AD3" w:rsidP="00782640">
          <w:pPr>
            <w:numPr>
              <w:ilvl w:val="0"/>
              <w:numId w:val="70"/>
            </w:numPr>
            <w:tabs>
              <w:tab w:val="left" w:pos="1100"/>
              <w:tab w:val="right" w:leader="dot" w:pos="9016"/>
            </w:tabs>
            <w:spacing w:after="0"/>
            <w:ind w:left="440" w:firstLine="0"/>
            <w:rPr>
              <w:rFonts w:ascii="Calibri" w:eastAsia="Times New Roman" w:hAnsi="Calibri" w:cs="Times New Roman"/>
              <w:noProof/>
              <w:color w:val="000000" w:themeColor="text1"/>
              <w:sz w:val="22"/>
              <w:lang w:eastAsia="en-AU"/>
            </w:rPr>
          </w:pPr>
          <w:hyperlink w:anchor="_Toc2585814" w:history="1">
            <w:r w:rsidR="009D683D" w:rsidRPr="009D683D">
              <w:rPr>
                <w:rFonts w:ascii="Calibri" w:eastAsia="Calibri" w:hAnsi="Calibri" w:cs="Times New Roman"/>
                <w:i/>
                <w:iCs/>
                <w:noProof/>
                <w:color w:val="000000" w:themeColor="text1"/>
                <w:szCs w:val="20"/>
                <w14:scene3d>
                  <w14:camera w14:prst="orthographicFront"/>
                  <w14:lightRig w14:rig="threePt" w14:dir="t">
                    <w14:rot w14:lat="0" w14:lon="0" w14:rev="0"/>
                  </w14:lightRig>
                </w14:scene3d>
              </w:rPr>
              <w:t>2.3.1</w:t>
            </w:r>
            <w:r w:rsidR="0010384B">
              <w:rPr>
                <w:rFonts w:ascii="Calibri" w:eastAsia="Times New Roman" w:hAnsi="Calibri" w:cs="Times New Roman"/>
                <w:noProof/>
                <w:color w:val="000000" w:themeColor="text1"/>
                <w:sz w:val="22"/>
                <w:lang w:eastAsia="en-AU"/>
              </w:rPr>
              <w:t xml:space="preserve"> </w:t>
            </w:r>
            <w:r w:rsidR="009D683D" w:rsidRPr="009D683D">
              <w:rPr>
                <w:rFonts w:ascii="Calibri" w:eastAsia="Calibri" w:hAnsi="Calibri" w:cs="Times New Roman"/>
                <w:i/>
                <w:iCs/>
                <w:noProof/>
                <w:color w:val="000000" w:themeColor="text1"/>
                <w:szCs w:val="20"/>
              </w:rPr>
              <w:t>Models of Care</w:t>
            </w:r>
            <w:r w:rsidR="009D683D" w:rsidRPr="009D683D">
              <w:rPr>
                <w:rFonts w:ascii="Calibri" w:eastAsia="Calibri" w:hAnsi="Calibri" w:cs="Times New Roman"/>
                <w:i/>
                <w:iCs/>
                <w:noProof/>
                <w:webHidden/>
                <w:color w:val="000000" w:themeColor="text1"/>
                <w:szCs w:val="20"/>
              </w:rPr>
              <w:tab/>
            </w:r>
            <w:r w:rsidR="009D683D" w:rsidRPr="009D683D">
              <w:rPr>
                <w:rFonts w:ascii="Calibri" w:eastAsia="Calibri" w:hAnsi="Calibri" w:cs="Times New Roman"/>
                <w:i/>
                <w:iCs/>
                <w:noProof/>
                <w:webHidden/>
                <w:color w:val="000000" w:themeColor="text1"/>
                <w:szCs w:val="20"/>
              </w:rPr>
              <w:fldChar w:fldCharType="begin"/>
            </w:r>
            <w:r w:rsidR="009D683D" w:rsidRPr="009D683D">
              <w:rPr>
                <w:rFonts w:ascii="Calibri" w:eastAsia="Calibri" w:hAnsi="Calibri" w:cs="Times New Roman"/>
                <w:i/>
                <w:iCs/>
                <w:noProof/>
                <w:webHidden/>
                <w:color w:val="000000" w:themeColor="text1"/>
                <w:szCs w:val="20"/>
              </w:rPr>
              <w:instrText xml:space="preserve"> PAGEREF _Toc2585814 \h </w:instrText>
            </w:r>
            <w:r w:rsidR="009D683D" w:rsidRPr="009D683D">
              <w:rPr>
                <w:rFonts w:ascii="Calibri" w:eastAsia="Calibri" w:hAnsi="Calibri" w:cs="Times New Roman"/>
                <w:i/>
                <w:iCs/>
                <w:noProof/>
                <w:webHidden/>
                <w:color w:val="000000" w:themeColor="text1"/>
                <w:szCs w:val="20"/>
              </w:rPr>
            </w:r>
            <w:r w:rsidR="009D683D" w:rsidRPr="009D683D">
              <w:rPr>
                <w:rFonts w:ascii="Calibri" w:eastAsia="Calibri" w:hAnsi="Calibri" w:cs="Times New Roman"/>
                <w:i/>
                <w:iCs/>
                <w:noProof/>
                <w:webHidden/>
                <w:color w:val="000000" w:themeColor="text1"/>
                <w:szCs w:val="20"/>
              </w:rPr>
              <w:fldChar w:fldCharType="separate"/>
            </w:r>
            <w:r w:rsidR="009D683D" w:rsidRPr="009D683D">
              <w:rPr>
                <w:rFonts w:ascii="Calibri" w:eastAsia="Calibri" w:hAnsi="Calibri" w:cs="Times New Roman"/>
                <w:i/>
                <w:iCs/>
                <w:noProof/>
                <w:webHidden/>
                <w:color w:val="000000" w:themeColor="text1"/>
                <w:szCs w:val="20"/>
              </w:rPr>
              <w:t>26</w:t>
            </w:r>
            <w:r w:rsidR="009D683D" w:rsidRPr="009D683D">
              <w:rPr>
                <w:rFonts w:ascii="Calibri" w:eastAsia="Calibri" w:hAnsi="Calibri" w:cs="Times New Roman"/>
                <w:i/>
                <w:iCs/>
                <w:noProof/>
                <w:webHidden/>
                <w:color w:val="000000" w:themeColor="text1"/>
                <w:szCs w:val="20"/>
              </w:rPr>
              <w:fldChar w:fldCharType="end"/>
            </w:r>
          </w:hyperlink>
        </w:p>
        <w:p w14:paraId="645A4E9F" w14:textId="70D34CEB" w:rsidR="009D683D" w:rsidRPr="009D683D" w:rsidRDefault="00D32AD3" w:rsidP="00782640">
          <w:pPr>
            <w:numPr>
              <w:ilvl w:val="0"/>
              <w:numId w:val="70"/>
            </w:numPr>
            <w:tabs>
              <w:tab w:val="left" w:pos="1100"/>
              <w:tab w:val="right" w:leader="dot" w:pos="9016"/>
            </w:tabs>
            <w:spacing w:after="0"/>
            <w:ind w:left="440" w:firstLine="0"/>
            <w:rPr>
              <w:rFonts w:ascii="Calibri" w:eastAsia="Times New Roman" w:hAnsi="Calibri" w:cs="Times New Roman"/>
              <w:noProof/>
              <w:color w:val="000000" w:themeColor="text1"/>
              <w:sz w:val="22"/>
              <w:lang w:eastAsia="en-AU"/>
            </w:rPr>
          </w:pPr>
          <w:hyperlink w:anchor="_Toc2585815" w:history="1">
            <w:r w:rsidR="009D683D" w:rsidRPr="009D683D">
              <w:rPr>
                <w:rFonts w:ascii="Calibri" w:eastAsia="Calibri" w:hAnsi="Calibri" w:cs="Times New Roman"/>
                <w:i/>
                <w:iCs/>
                <w:noProof/>
                <w:color w:val="000000" w:themeColor="text1"/>
                <w:szCs w:val="20"/>
                <w14:scene3d>
                  <w14:camera w14:prst="orthographicFront"/>
                  <w14:lightRig w14:rig="threePt" w14:dir="t">
                    <w14:rot w14:lat="0" w14:lon="0" w14:rev="0"/>
                  </w14:lightRig>
                </w14:scene3d>
              </w:rPr>
              <w:t>2.3.2</w:t>
            </w:r>
            <w:r w:rsidR="0010384B">
              <w:rPr>
                <w:rFonts w:ascii="Calibri" w:eastAsia="Times New Roman" w:hAnsi="Calibri" w:cs="Times New Roman"/>
                <w:noProof/>
                <w:color w:val="000000" w:themeColor="text1"/>
                <w:sz w:val="22"/>
                <w:lang w:eastAsia="en-AU"/>
              </w:rPr>
              <w:t xml:space="preserve"> </w:t>
            </w:r>
            <w:r w:rsidR="009D683D" w:rsidRPr="009D683D">
              <w:rPr>
                <w:rFonts w:ascii="Calibri" w:eastAsia="Calibri" w:hAnsi="Calibri" w:cs="Times New Roman"/>
                <w:i/>
                <w:iCs/>
                <w:noProof/>
                <w:color w:val="000000" w:themeColor="text1"/>
                <w:szCs w:val="20"/>
              </w:rPr>
              <w:t>Immunosuppression</w:t>
            </w:r>
            <w:r w:rsidR="009D683D" w:rsidRPr="009D683D">
              <w:rPr>
                <w:rFonts w:ascii="Calibri" w:eastAsia="Calibri" w:hAnsi="Calibri" w:cs="Times New Roman"/>
                <w:i/>
                <w:iCs/>
                <w:noProof/>
                <w:webHidden/>
                <w:color w:val="000000" w:themeColor="text1"/>
                <w:szCs w:val="20"/>
              </w:rPr>
              <w:tab/>
            </w:r>
            <w:r w:rsidR="009D683D" w:rsidRPr="009D683D">
              <w:rPr>
                <w:rFonts w:ascii="Calibri" w:eastAsia="Calibri" w:hAnsi="Calibri" w:cs="Times New Roman"/>
                <w:i/>
                <w:iCs/>
                <w:noProof/>
                <w:webHidden/>
                <w:color w:val="000000" w:themeColor="text1"/>
                <w:szCs w:val="20"/>
              </w:rPr>
              <w:fldChar w:fldCharType="begin"/>
            </w:r>
            <w:r w:rsidR="009D683D" w:rsidRPr="009D683D">
              <w:rPr>
                <w:rFonts w:ascii="Calibri" w:eastAsia="Calibri" w:hAnsi="Calibri" w:cs="Times New Roman"/>
                <w:i/>
                <w:iCs/>
                <w:noProof/>
                <w:webHidden/>
                <w:color w:val="000000" w:themeColor="text1"/>
                <w:szCs w:val="20"/>
              </w:rPr>
              <w:instrText xml:space="preserve"> PAGEREF _Toc2585815 \h </w:instrText>
            </w:r>
            <w:r w:rsidR="009D683D" w:rsidRPr="009D683D">
              <w:rPr>
                <w:rFonts w:ascii="Calibri" w:eastAsia="Calibri" w:hAnsi="Calibri" w:cs="Times New Roman"/>
                <w:i/>
                <w:iCs/>
                <w:noProof/>
                <w:webHidden/>
                <w:color w:val="000000" w:themeColor="text1"/>
                <w:szCs w:val="20"/>
              </w:rPr>
            </w:r>
            <w:r w:rsidR="009D683D" w:rsidRPr="009D683D">
              <w:rPr>
                <w:rFonts w:ascii="Calibri" w:eastAsia="Calibri" w:hAnsi="Calibri" w:cs="Times New Roman"/>
                <w:i/>
                <w:iCs/>
                <w:noProof/>
                <w:webHidden/>
                <w:color w:val="000000" w:themeColor="text1"/>
                <w:szCs w:val="20"/>
              </w:rPr>
              <w:fldChar w:fldCharType="separate"/>
            </w:r>
            <w:r w:rsidR="009D683D" w:rsidRPr="009D683D">
              <w:rPr>
                <w:rFonts w:ascii="Calibri" w:eastAsia="Calibri" w:hAnsi="Calibri" w:cs="Times New Roman"/>
                <w:i/>
                <w:iCs/>
                <w:noProof/>
                <w:webHidden/>
                <w:color w:val="000000" w:themeColor="text1"/>
                <w:szCs w:val="20"/>
              </w:rPr>
              <w:t>33</w:t>
            </w:r>
            <w:r w:rsidR="009D683D" w:rsidRPr="009D683D">
              <w:rPr>
                <w:rFonts w:ascii="Calibri" w:eastAsia="Calibri" w:hAnsi="Calibri" w:cs="Times New Roman"/>
                <w:i/>
                <w:iCs/>
                <w:noProof/>
                <w:webHidden/>
                <w:color w:val="000000" w:themeColor="text1"/>
                <w:szCs w:val="20"/>
              </w:rPr>
              <w:fldChar w:fldCharType="end"/>
            </w:r>
          </w:hyperlink>
        </w:p>
        <w:p w14:paraId="77870C4A" w14:textId="6ABFB826" w:rsidR="009D683D" w:rsidRPr="009D683D" w:rsidRDefault="00D32AD3" w:rsidP="00782640">
          <w:pPr>
            <w:numPr>
              <w:ilvl w:val="0"/>
              <w:numId w:val="70"/>
            </w:numPr>
            <w:tabs>
              <w:tab w:val="left" w:pos="1100"/>
              <w:tab w:val="right" w:leader="dot" w:pos="9016"/>
            </w:tabs>
            <w:spacing w:after="0"/>
            <w:ind w:left="440" w:firstLine="0"/>
            <w:rPr>
              <w:rFonts w:ascii="Calibri" w:eastAsia="Times New Roman" w:hAnsi="Calibri" w:cs="Times New Roman"/>
              <w:noProof/>
              <w:color w:val="000000" w:themeColor="text1"/>
              <w:sz w:val="22"/>
              <w:lang w:eastAsia="en-AU"/>
            </w:rPr>
          </w:pPr>
          <w:hyperlink w:anchor="_Toc2585816" w:history="1">
            <w:r w:rsidR="009D683D" w:rsidRPr="009D683D">
              <w:rPr>
                <w:rFonts w:ascii="Calibri" w:eastAsia="Calibri" w:hAnsi="Calibri" w:cs="Times New Roman"/>
                <w:i/>
                <w:iCs/>
                <w:noProof/>
                <w:color w:val="000000" w:themeColor="text1"/>
                <w:szCs w:val="20"/>
                <w14:scene3d>
                  <w14:camera w14:prst="orthographicFront"/>
                  <w14:lightRig w14:rig="threePt" w14:dir="t">
                    <w14:rot w14:lat="0" w14:lon="0" w14:rev="0"/>
                  </w14:lightRig>
                </w14:scene3d>
              </w:rPr>
              <w:t>2.3.3</w:t>
            </w:r>
            <w:r w:rsidR="0010384B">
              <w:rPr>
                <w:rFonts w:ascii="Calibri" w:eastAsia="Times New Roman" w:hAnsi="Calibri" w:cs="Times New Roman"/>
                <w:noProof/>
                <w:color w:val="000000" w:themeColor="text1"/>
                <w:sz w:val="22"/>
                <w:lang w:eastAsia="en-AU"/>
              </w:rPr>
              <w:t xml:space="preserve"> </w:t>
            </w:r>
            <w:r w:rsidR="009D683D" w:rsidRPr="009D683D">
              <w:rPr>
                <w:rFonts w:ascii="Calibri" w:eastAsia="Calibri" w:hAnsi="Calibri" w:cs="Times New Roman"/>
                <w:i/>
                <w:iCs/>
                <w:noProof/>
                <w:color w:val="000000" w:themeColor="text1"/>
                <w:szCs w:val="20"/>
              </w:rPr>
              <w:t>Infective Prophylaxis</w:t>
            </w:r>
            <w:r w:rsidR="009D683D" w:rsidRPr="009D683D">
              <w:rPr>
                <w:rFonts w:ascii="Calibri" w:eastAsia="Calibri" w:hAnsi="Calibri" w:cs="Times New Roman"/>
                <w:i/>
                <w:iCs/>
                <w:noProof/>
                <w:webHidden/>
                <w:color w:val="000000" w:themeColor="text1"/>
                <w:szCs w:val="20"/>
              </w:rPr>
              <w:tab/>
            </w:r>
            <w:r w:rsidR="009D683D" w:rsidRPr="009D683D">
              <w:rPr>
                <w:rFonts w:ascii="Calibri" w:eastAsia="Calibri" w:hAnsi="Calibri" w:cs="Times New Roman"/>
                <w:i/>
                <w:iCs/>
                <w:noProof/>
                <w:webHidden/>
                <w:color w:val="000000" w:themeColor="text1"/>
                <w:szCs w:val="20"/>
              </w:rPr>
              <w:fldChar w:fldCharType="begin"/>
            </w:r>
            <w:r w:rsidR="009D683D" w:rsidRPr="009D683D">
              <w:rPr>
                <w:rFonts w:ascii="Calibri" w:eastAsia="Calibri" w:hAnsi="Calibri" w:cs="Times New Roman"/>
                <w:i/>
                <w:iCs/>
                <w:noProof/>
                <w:webHidden/>
                <w:color w:val="000000" w:themeColor="text1"/>
                <w:szCs w:val="20"/>
              </w:rPr>
              <w:instrText xml:space="preserve"> PAGEREF _Toc2585816 \h </w:instrText>
            </w:r>
            <w:r w:rsidR="009D683D" w:rsidRPr="009D683D">
              <w:rPr>
                <w:rFonts w:ascii="Calibri" w:eastAsia="Calibri" w:hAnsi="Calibri" w:cs="Times New Roman"/>
                <w:i/>
                <w:iCs/>
                <w:noProof/>
                <w:webHidden/>
                <w:color w:val="000000" w:themeColor="text1"/>
                <w:szCs w:val="20"/>
              </w:rPr>
            </w:r>
            <w:r w:rsidR="009D683D" w:rsidRPr="009D683D">
              <w:rPr>
                <w:rFonts w:ascii="Calibri" w:eastAsia="Calibri" w:hAnsi="Calibri" w:cs="Times New Roman"/>
                <w:i/>
                <w:iCs/>
                <w:noProof/>
                <w:webHidden/>
                <w:color w:val="000000" w:themeColor="text1"/>
                <w:szCs w:val="20"/>
              </w:rPr>
              <w:fldChar w:fldCharType="separate"/>
            </w:r>
            <w:r w:rsidR="009D683D" w:rsidRPr="009D683D">
              <w:rPr>
                <w:rFonts w:ascii="Calibri" w:eastAsia="Calibri" w:hAnsi="Calibri" w:cs="Times New Roman"/>
                <w:i/>
                <w:iCs/>
                <w:noProof/>
                <w:webHidden/>
                <w:color w:val="000000" w:themeColor="text1"/>
                <w:szCs w:val="20"/>
              </w:rPr>
              <w:t>38</w:t>
            </w:r>
            <w:r w:rsidR="009D683D" w:rsidRPr="009D683D">
              <w:rPr>
                <w:rFonts w:ascii="Calibri" w:eastAsia="Calibri" w:hAnsi="Calibri" w:cs="Times New Roman"/>
                <w:i/>
                <w:iCs/>
                <w:noProof/>
                <w:webHidden/>
                <w:color w:val="000000" w:themeColor="text1"/>
                <w:szCs w:val="20"/>
              </w:rPr>
              <w:fldChar w:fldCharType="end"/>
            </w:r>
          </w:hyperlink>
        </w:p>
        <w:p w14:paraId="12EF6D9E" w14:textId="77777777" w:rsidR="009D683D" w:rsidRPr="009D683D" w:rsidRDefault="00D32AD3" w:rsidP="009D683D">
          <w:pPr>
            <w:tabs>
              <w:tab w:val="left" w:pos="880"/>
              <w:tab w:val="right" w:leader="dot" w:pos="9016"/>
            </w:tabs>
            <w:spacing w:after="0"/>
            <w:ind w:left="220"/>
            <w:rPr>
              <w:rFonts w:ascii="Calibri" w:eastAsia="Times New Roman" w:hAnsi="Calibri" w:cs="Times New Roman"/>
              <w:noProof/>
              <w:color w:val="000000" w:themeColor="text1"/>
              <w:sz w:val="22"/>
              <w:lang w:eastAsia="en-AU"/>
            </w:rPr>
          </w:pPr>
          <w:hyperlink w:anchor="_Toc2585817" w:history="1">
            <w:r w:rsidR="009D683D" w:rsidRPr="009D683D">
              <w:rPr>
                <w:rFonts w:ascii="Calibri" w:eastAsia="Calibri" w:hAnsi="Calibri" w:cs="Times New Roman"/>
                <w:smallCaps/>
                <w:noProof/>
                <w:color w:val="000000" w:themeColor="text1"/>
                <w:szCs w:val="20"/>
                <w14:scene3d>
                  <w14:camera w14:prst="orthographicFront"/>
                  <w14:lightRig w14:rig="threePt" w14:dir="t">
                    <w14:rot w14:lat="0" w14:lon="0" w14:rev="0"/>
                  </w14:lightRig>
                </w14:scene3d>
              </w:rPr>
              <w:t>2.4</w:t>
            </w:r>
            <w:r w:rsidR="009D683D" w:rsidRPr="009D683D">
              <w:rPr>
                <w:rFonts w:ascii="Calibri" w:eastAsia="Times New Roman" w:hAnsi="Calibri" w:cs="Times New Roman"/>
                <w:noProof/>
                <w:color w:val="000000" w:themeColor="text1"/>
                <w:sz w:val="22"/>
                <w:lang w:eastAsia="en-AU"/>
              </w:rPr>
              <w:tab/>
            </w:r>
            <w:r w:rsidR="009D683D" w:rsidRPr="009D683D">
              <w:rPr>
                <w:rFonts w:ascii="Calibri" w:eastAsia="Calibri" w:hAnsi="Calibri" w:cs="Times New Roman"/>
                <w:smallCaps/>
                <w:noProof/>
                <w:color w:val="000000" w:themeColor="text1"/>
                <w:szCs w:val="20"/>
              </w:rPr>
              <w:t>Critique of current evidence</w:t>
            </w:r>
            <w:r w:rsidR="009D683D" w:rsidRPr="009D683D">
              <w:rPr>
                <w:rFonts w:ascii="Calibri" w:eastAsia="Calibri" w:hAnsi="Calibri" w:cs="Times New Roman"/>
                <w:smallCaps/>
                <w:noProof/>
                <w:webHidden/>
                <w:color w:val="000000" w:themeColor="text1"/>
                <w:szCs w:val="20"/>
              </w:rPr>
              <w:tab/>
            </w:r>
            <w:r w:rsidR="009D683D" w:rsidRPr="009D683D">
              <w:rPr>
                <w:rFonts w:ascii="Calibri" w:eastAsia="Calibri" w:hAnsi="Calibri" w:cs="Times New Roman"/>
                <w:smallCaps/>
                <w:noProof/>
                <w:webHidden/>
                <w:color w:val="000000" w:themeColor="text1"/>
                <w:szCs w:val="20"/>
              </w:rPr>
              <w:fldChar w:fldCharType="begin"/>
            </w:r>
            <w:r w:rsidR="009D683D" w:rsidRPr="009D683D">
              <w:rPr>
                <w:rFonts w:ascii="Calibri" w:eastAsia="Calibri" w:hAnsi="Calibri" w:cs="Times New Roman"/>
                <w:smallCaps/>
                <w:noProof/>
                <w:webHidden/>
                <w:color w:val="000000" w:themeColor="text1"/>
                <w:szCs w:val="20"/>
              </w:rPr>
              <w:instrText xml:space="preserve"> PAGEREF _Toc2585817 \h </w:instrText>
            </w:r>
            <w:r w:rsidR="009D683D" w:rsidRPr="009D683D">
              <w:rPr>
                <w:rFonts w:ascii="Calibri" w:eastAsia="Calibri" w:hAnsi="Calibri" w:cs="Times New Roman"/>
                <w:smallCaps/>
                <w:noProof/>
                <w:webHidden/>
                <w:color w:val="000000" w:themeColor="text1"/>
                <w:szCs w:val="20"/>
              </w:rPr>
            </w:r>
            <w:r w:rsidR="009D683D" w:rsidRPr="009D683D">
              <w:rPr>
                <w:rFonts w:ascii="Calibri" w:eastAsia="Calibri" w:hAnsi="Calibri" w:cs="Times New Roman"/>
                <w:smallCaps/>
                <w:noProof/>
                <w:webHidden/>
                <w:color w:val="000000" w:themeColor="text1"/>
                <w:szCs w:val="20"/>
              </w:rPr>
              <w:fldChar w:fldCharType="separate"/>
            </w:r>
            <w:r w:rsidR="009D683D" w:rsidRPr="009D683D">
              <w:rPr>
                <w:rFonts w:ascii="Calibri" w:eastAsia="Calibri" w:hAnsi="Calibri" w:cs="Times New Roman"/>
                <w:smallCaps/>
                <w:noProof/>
                <w:webHidden/>
                <w:color w:val="000000" w:themeColor="text1"/>
                <w:szCs w:val="20"/>
              </w:rPr>
              <w:t>39</w:t>
            </w:r>
            <w:r w:rsidR="009D683D" w:rsidRPr="009D683D">
              <w:rPr>
                <w:rFonts w:ascii="Calibri" w:eastAsia="Calibri" w:hAnsi="Calibri" w:cs="Times New Roman"/>
                <w:smallCaps/>
                <w:noProof/>
                <w:webHidden/>
                <w:color w:val="000000" w:themeColor="text1"/>
                <w:szCs w:val="20"/>
              </w:rPr>
              <w:fldChar w:fldCharType="end"/>
            </w:r>
          </w:hyperlink>
        </w:p>
        <w:p w14:paraId="064D0E42" w14:textId="77777777" w:rsidR="009D683D" w:rsidRPr="009D683D" w:rsidRDefault="00D32AD3" w:rsidP="009D683D">
          <w:pPr>
            <w:tabs>
              <w:tab w:val="left" w:pos="880"/>
              <w:tab w:val="right" w:leader="dot" w:pos="9016"/>
            </w:tabs>
            <w:spacing w:after="0"/>
            <w:ind w:left="220"/>
            <w:rPr>
              <w:rFonts w:ascii="Calibri" w:eastAsia="Times New Roman" w:hAnsi="Calibri" w:cs="Times New Roman"/>
              <w:noProof/>
              <w:color w:val="000000" w:themeColor="text1"/>
              <w:sz w:val="22"/>
              <w:lang w:eastAsia="en-AU"/>
            </w:rPr>
          </w:pPr>
          <w:hyperlink w:anchor="_Toc2585818" w:history="1">
            <w:r w:rsidR="009D683D" w:rsidRPr="009D683D">
              <w:rPr>
                <w:rFonts w:ascii="Calibri" w:eastAsia="Calibri" w:hAnsi="Calibri" w:cs="Times New Roman"/>
                <w:smallCaps/>
                <w:noProof/>
                <w:color w:val="000000" w:themeColor="text1"/>
                <w:szCs w:val="20"/>
                <w14:scene3d>
                  <w14:camera w14:prst="orthographicFront"/>
                  <w14:lightRig w14:rig="threePt" w14:dir="t">
                    <w14:rot w14:lat="0" w14:lon="0" w14:rev="0"/>
                  </w14:lightRig>
                </w14:scene3d>
              </w:rPr>
              <w:t>2.5</w:t>
            </w:r>
            <w:r w:rsidR="009D683D" w:rsidRPr="009D683D">
              <w:rPr>
                <w:rFonts w:ascii="Calibri" w:eastAsia="Times New Roman" w:hAnsi="Calibri" w:cs="Times New Roman"/>
                <w:noProof/>
                <w:color w:val="000000" w:themeColor="text1"/>
                <w:sz w:val="22"/>
                <w:lang w:eastAsia="en-AU"/>
              </w:rPr>
              <w:tab/>
            </w:r>
            <w:r w:rsidR="009D683D" w:rsidRPr="009D683D">
              <w:rPr>
                <w:rFonts w:ascii="Calibri" w:eastAsia="Calibri" w:hAnsi="Calibri" w:cs="Times New Roman"/>
                <w:smallCaps/>
                <w:noProof/>
                <w:color w:val="000000" w:themeColor="text1"/>
                <w:szCs w:val="20"/>
              </w:rPr>
              <w:t>Enhancing data collection &amp; reporting</w:t>
            </w:r>
            <w:r w:rsidR="009D683D" w:rsidRPr="009D683D">
              <w:rPr>
                <w:rFonts w:ascii="Calibri" w:eastAsia="Calibri" w:hAnsi="Calibri" w:cs="Times New Roman"/>
                <w:smallCaps/>
                <w:noProof/>
                <w:webHidden/>
                <w:color w:val="000000" w:themeColor="text1"/>
                <w:szCs w:val="20"/>
              </w:rPr>
              <w:tab/>
            </w:r>
            <w:r w:rsidR="009D683D" w:rsidRPr="009D683D">
              <w:rPr>
                <w:rFonts w:ascii="Calibri" w:eastAsia="Calibri" w:hAnsi="Calibri" w:cs="Times New Roman"/>
                <w:smallCaps/>
                <w:noProof/>
                <w:webHidden/>
                <w:color w:val="000000" w:themeColor="text1"/>
                <w:szCs w:val="20"/>
              </w:rPr>
              <w:fldChar w:fldCharType="begin"/>
            </w:r>
            <w:r w:rsidR="009D683D" w:rsidRPr="009D683D">
              <w:rPr>
                <w:rFonts w:ascii="Calibri" w:eastAsia="Calibri" w:hAnsi="Calibri" w:cs="Times New Roman"/>
                <w:smallCaps/>
                <w:noProof/>
                <w:webHidden/>
                <w:color w:val="000000" w:themeColor="text1"/>
                <w:szCs w:val="20"/>
              </w:rPr>
              <w:instrText xml:space="preserve"> PAGEREF _Toc2585818 \h </w:instrText>
            </w:r>
            <w:r w:rsidR="009D683D" w:rsidRPr="009D683D">
              <w:rPr>
                <w:rFonts w:ascii="Calibri" w:eastAsia="Calibri" w:hAnsi="Calibri" w:cs="Times New Roman"/>
                <w:smallCaps/>
                <w:noProof/>
                <w:webHidden/>
                <w:color w:val="000000" w:themeColor="text1"/>
                <w:szCs w:val="20"/>
              </w:rPr>
            </w:r>
            <w:r w:rsidR="009D683D" w:rsidRPr="009D683D">
              <w:rPr>
                <w:rFonts w:ascii="Calibri" w:eastAsia="Calibri" w:hAnsi="Calibri" w:cs="Times New Roman"/>
                <w:smallCaps/>
                <w:noProof/>
                <w:webHidden/>
                <w:color w:val="000000" w:themeColor="text1"/>
                <w:szCs w:val="20"/>
              </w:rPr>
              <w:fldChar w:fldCharType="separate"/>
            </w:r>
            <w:r w:rsidR="009D683D" w:rsidRPr="009D683D">
              <w:rPr>
                <w:rFonts w:ascii="Calibri" w:eastAsia="Calibri" w:hAnsi="Calibri" w:cs="Times New Roman"/>
                <w:smallCaps/>
                <w:noProof/>
                <w:webHidden/>
                <w:color w:val="000000" w:themeColor="text1"/>
                <w:szCs w:val="20"/>
              </w:rPr>
              <w:t>40</w:t>
            </w:r>
            <w:r w:rsidR="009D683D" w:rsidRPr="009D683D">
              <w:rPr>
                <w:rFonts w:ascii="Calibri" w:eastAsia="Calibri" w:hAnsi="Calibri" w:cs="Times New Roman"/>
                <w:smallCaps/>
                <w:noProof/>
                <w:webHidden/>
                <w:color w:val="000000" w:themeColor="text1"/>
                <w:szCs w:val="20"/>
              </w:rPr>
              <w:fldChar w:fldCharType="end"/>
            </w:r>
          </w:hyperlink>
        </w:p>
        <w:p w14:paraId="5528B4DF" w14:textId="5630F39C" w:rsidR="009D683D" w:rsidRPr="009D683D" w:rsidRDefault="00D32AD3" w:rsidP="00782640">
          <w:pPr>
            <w:numPr>
              <w:ilvl w:val="0"/>
              <w:numId w:val="70"/>
            </w:numPr>
            <w:tabs>
              <w:tab w:val="left" w:pos="1100"/>
              <w:tab w:val="right" w:leader="dot" w:pos="9016"/>
            </w:tabs>
            <w:spacing w:after="0"/>
            <w:ind w:left="440" w:firstLine="0"/>
            <w:rPr>
              <w:rFonts w:ascii="Calibri" w:eastAsia="Times New Roman" w:hAnsi="Calibri" w:cs="Times New Roman"/>
              <w:noProof/>
              <w:color w:val="000000" w:themeColor="text1"/>
              <w:sz w:val="22"/>
              <w:lang w:eastAsia="en-AU"/>
            </w:rPr>
          </w:pPr>
          <w:hyperlink w:anchor="_Toc2585819" w:history="1">
            <w:r w:rsidR="009D683D" w:rsidRPr="009D683D">
              <w:rPr>
                <w:rFonts w:ascii="Calibri" w:eastAsia="Calibri" w:hAnsi="Calibri" w:cs="Times New Roman"/>
                <w:i/>
                <w:iCs/>
                <w:noProof/>
                <w:color w:val="000000" w:themeColor="text1"/>
                <w:szCs w:val="20"/>
                <w14:scene3d>
                  <w14:camera w14:prst="orthographicFront"/>
                  <w14:lightRig w14:rig="threePt" w14:dir="t">
                    <w14:rot w14:lat="0" w14:lon="0" w14:rev="0"/>
                  </w14:lightRig>
                </w14:scene3d>
              </w:rPr>
              <w:t>2.5.1</w:t>
            </w:r>
            <w:r w:rsidR="0010384B">
              <w:rPr>
                <w:rFonts w:ascii="Calibri" w:eastAsia="Times New Roman" w:hAnsi="Calibri" w:cs="Times New Roman"/>
                <w:noProof/>
                <w:color w:val="000000" w:themeColor="text1"/>
                <w:sz w:val="22"/>
                <w:lang w:eastAsia="en-AU"/>
              </w:rPr>
              <w:t xml:space="preserve"> </w:t>
            </w:r>
            <w:r w:rsidR="009D683D" w:rsidRPr="009D683D">
              <w:rPr>
                <w:rFonts w:ascii="Calibri" w:eastAsia="Calibri" w:hAnsi="Calibri" w:cs="Times New Roman"/>
                <w:i/>
                <w:iCs/>
                <w:noProof/>
                <w:color w:val="000000" w:themeColor="text1"/>
                <w:szCs w:val="20"/>
              </w:rPr>
              <w:t>Facility selection</w:t>
            </w:r>
            <w:r w:rsidR="009D683D" w:rsidRPr="009D683D">
              <w:rPr>
                <w:rFonts w:ascii="Calibri" w:eastAsia="Calibri" w:hAnsi="Calibri" w:cs="Times New Roman"/>
                <w:i/>
                <w:iCs/>
                <w:noProof/>
                <w:webHidden/>
                <w:color w:val="000000" w:themeColor="text1"/>
                <w:szCs w:val="20"/>
              </w:rPr>
              <w:tab/>
            </w:r>
            <w:r w:rsidR="009D683D" w:rsidRPr="009D683D">
              <w:rPr>
                <w:rFonts w:ascii="Calibri" w:eastAsia="Calibri" w:hAnsi="Calibri" w:cs="Times New Roman"/>
                <w:i/>
                <w:iCs/>
                <w:noProof/>
                <w:webHidden/>
                <w:color w:val="000000" w:themeColor="text1"/>
                <w:szCs w:val="20"/>
              </w:rPr>
              <w:fldChar w:fldCharType="begin"/>
            </w:r>
            <w:r w:rsidR="009D683D" w:rsidRPr="009D683D">
              <w:rPr>
                <w:rFonts w:ascii="Calibri" w:eastAsia="Calibri" w:hAnsi="Calibri" w:cs="Times New Roman"/>
                <w:i/>
                <w:iCs/>
                <w:noProof/>
                <w:webHidden/>
                <w:color w:val="000000" w:themeColor="text1"/>
                <w:szCs w:val="20"/>
              </w:rPr>
              <w:instrText xml:space="preserve"> PAGEREF _Toc2585819 \h </w:instrText>
            </w:r>
            <w:r w:rsidR="009D683D" w:rsidRPr="009D683D">
              <w:rPr>
                <w:rFonts w:ascii="Calibri" w:eastAsia="Calibri" w:hAnsi="Calibri" w:cs="Times New Roman"/>
                <w:i/>
                <w:iCs/>
                <w:noProof/>
                <w:webHidden/>
                <w:color w:val="000000" w:themeColor="text1"/>
                <w:szCs w:val="20"/>
              </w:rPr>
            </w:r>
            <w:r w:rsidR="009D683D" w:rsidRPr="009D683D">
              <w:rPr>
                <w:rFonts w:ascii="Calibri" w:eastAsia="Calibri" w:hAnsi="Calibri" w:cs="Times New Roman"/>
                <w:i/>
                <w:iCs/>
                <w:noProof/>
                <w:webHidden/>
                <w:color w:val="000000" w:themeColor="text1"/>
                <w:szCs w:val="20"/>
              </w:rPr>
              <w:fldChar w:fldCharType="separate"/>
            </w:r>
            <w:r w:rsidR="009D683D" w:rsidRPr="009D683D">
              <w:rPr>
                <w:rFonts w:ascii="Calibri" w:eastAsia="Calibri" w:hAnsi="Calibri" w:cs="Times New Roman"/>
                <w:i/>
                <w:iCs/>
                <w:noProof/>
                <w:webHidden/>
                <w:color w:val="000000" w:themeColor="text1"/>
                <w:szCs w:val="20"/>
              </w:rPr>
              <w:t>41</w:t>
            </w:r>
            <w:r w:rsidR="009D683D" w:rsidRPr="009D683D">
              <w:rPr>
                <w:rFonts w:ascii="Calibri" w:eastAsia="Calibri" w:hAnsi="Calibri" w:cs="Times New Roman"/>
                <w:i/>
                <w:iCs/>
                <w:noProof/>
                <w:webHidden/>
                <w:color w:val="000000" w:themeColor="text1"/>
                <w:szCs w:val="20"/>
              </w:rPr>
              <w:fldChar w:fldCharType="end"/>
            </w:r>
          </w:hyperlink>
        </w:p>
        <w:p w14:paraId="15AFA003" w14:textId="77C36D57" w:rsidR="009D683D" w:rsidRPr="009D683D" w:rsidRDefault="00D32AD3" w:rsidP="00782640">
          <w:pPr>
            <w:numPr>
              <w:ilvl w:val="0"/>
              <w:numId w:val="70"/>
            </w:numPr>
            <w:tabs>
              <w:tab w:val="left" w:pos="1100"/>
              <w:tab w:val="right" w:leader="dot" w:pos="9016"/>
            </w:tabs>
            <w:spacing w:after="0"/>
            <w:ind w:left="440" w:firstLine="0"/>
            <w:rPr>
              <w:rFonts w:ascii="Calibri" w:eastAsia="Times New Roman" w:hAnsi="Calibri" w:cs="Times New Roman"/>
              <w:noProof/>
              <w:color w:val="000000" w:themeColor="text1"/>
              <w:sz w:val="22"/>
              <w:lang w:eastAsia="en-AU"/>
            </w:rPr>
          </w:pPr>
          <w:hyperlink w:anchor="_Toc2585820" w:history="1">
            <w:r w:rsidR="009D683D" w:rsidRPr="009D683D">
              <w:rPr>
                <w:rFonts w:ascii="Calibri" w:eastAsia="Calibri" w:hAnsi="Calibri" w:cs="Times New Roman"/>
                <w:i/>
                <w:iCs/>
                <w:noProof/>
                <w:color w:val="000000" w:themeColor="text1"/>
                <w:szCs w:val="20"/>
                <w14:scene3d>
                  <w14:camera w14:prst="orthographicFront"/>
                  <w14:lightRig w14:rig="threePt" w14:dir="t">
                    <w14:rot w14:lat="0" w14:lon="0" w14:rev="0"/>
                  </w14:lightRig>
                </w14:scene3d>
              </w:rPr>
              <w:t>2.5.2</w:t>
            </w:r>
            <w:r w:rsidR="0010384B">
              <w:rPr>
                <w:rFonts w:ascii="Calibri" w:eastAsia="Times New Roman" w:hAnsi="Calibri" w:cs="Times New Roman"/>
                <w:noProof/>
                <w:color w:val="000000" w:themeColor="text1"/>
                <w:sz w:val="22"/>
                <w:lang w:eastAsia="en-AU"/>
              </w:rPr>
              <w:t xml:space="preserve"> </w:t>
            </w:r>
            <w:r w:rsidR="009D683D" w:rsidRPr="009D683D">
              <w:rPr>
                <w:rFonts w:ascii="Calibri" w:eastAsia="Calibri" w:hAnsi="Calibri" w:cs="Times New Roman"/>
                <w:i/>
                <w:iCs/>
                <w:noProof/>
                <w:color w:val="000000" w:themeColor="text1"/>
                <w:szCs w:val="20"/>
              </w:rPr>
              <w:t>Patient selection</w:t>
            </w:r>
            <w:r w:rsidR="009D683D" w:rsidRPr="009D683D">
              <w:rPr>
                <w:rFonts w:ascii="Calibri" w:eastAsia="Calibri" w:hAnsi="Calibri" w:cs="Times New Roman"/>
                <w:i/>
                <w:iCs/>
                <w:noProof/>
                <w:webHidden/>
                <w:color w:val="000000" w:themeColor="text1"/>
                <w:szCs w:val="20"/>
              </w:rPr>
              <w:tab/>
            </w:r>
            <w:r w:rsidR="009D683D" w:rsidRPr="009D683D">
              <w:rPr>
                <w:rFonts w:ascii="Calibri" w:eastAsia="Calibri" w:hAnsi="Calibri" w:cs="Times New Roman"/>
                <w:i/>
                <w:iCs/>
                <w:noProof/>
                <w:webHidden/>
                <w:color w:val="000000" w:themeColor="text1"/>
                <w:szCs w:val="20"/>
              </w:rPr>
              <w:fldChar w:fldCharType="begin"/>
            </w:r>
            <w:r w:rsidR="009D683D" w:rsidRPr="009D683D">
              <w:rPr>
                <w:rFonts w:ascii="Calibri" w:eastAsia="Calibri" w:hAnsi="Calibri" w:cs="Times New Roman"/>
                <w:i/>
                <w:iCs/>
                <w:noProof/>
                <w:webHidden/>
                <w:color w:val="000000" w:themeColor="text1"/>
                <w:szCs w:val="20"/>
              </w:rPr>
              <w:instrText xml:space="preserve"> PAGEREF _Toc2585820 \h </w:instrText>
            </w:r>
            <w:r w:rsidR="009D683D" w:rsidRPr="009D683D">
              <w:rPr>
                <w:rFonts w:ascii="Calibri" w:eastAsia="Calibri" w:hAnsi="Calibri" w:cs="Times New Roman"/>
                <w:i/>
                <w:iCs/>
                <w:noProof/>
                <w:webHidden/>
                <w:color w:val="000000" w:themeColor="text1"/>
                <w:szCs w:val="20"/>
              </w:rPr>
            </w:r>
            <w:r w:rsidR="009D683D" w:rsidRPr="009D683D">
              <w:rPr>
                <w:rFonts w:ascii="Calibri" w:eastAsia="Calibri" w:hAnsi="Calibri" w:cs="Times New Roman"/>
                <w:i/>
                <w:iCs/>
                <w:noProof/>
                <w:webHidden/>
                <w:color w:val="000000" w:themeColor="text1"/>
                <w:szCs w:val="20"/>
              </w:rPr>
              <w:fldChar w:fldCharType="separate"/>
            </w:r>
            <w:r w:rsidR="009D683D" w:rsidRPr="009D683D">
              <w:rPr>
                <w:rFonts w:ascii="Calibri" w:eastAsia="Calibri" w:hAnsi="Calibri" w:cs="Times New Roman"/>
                <w:i/>
                <w:iCs/>
                <w:noProof/>
                <w:webHidden/>
                <w:color w:val="000000" w:themeColor="text1"/>
                <w:szCs w:val="20"/>
              </w:rPr>
              <w:t>42</w:t>
            </w:r>
            <w:r w:rsidR="009D683D" w:rsidRPr="009D683D">
              <w:rPr>
                <w:rFonts w:ascii="Calibri" w:eastAsia="Calibri" w:hAnsi="Calibri" w:cs="Times New Roman"/>
                <w:i/>
                <w:iCs/>
                <w:noProof/>
                <w:webHidden/>
                <w:color w:val="000000" w:themeColor="text1"/>
                <w:szCs w:val="20"/>
              </w:rPr>
              <w:fldChar w:fldCharType="end"/>
            </w:r>
          </w:hyperlink>
        </w:p>
        <w:p w14:paraId="0D9A5422" w14:textId="73C9B1FA" w:rsidR="009D683D" w:rsidRPr="009D683D" w:rsidRDefault="00D32AD3" w:rsidP="00782640">
          <w:pPr>
            <w:numPr>
              <w:ilvl w:val="0"/>
              <w:numId w:val="70"/>
            </w:numPr>
            <w:tabs>
              <w:tab w:val="left" w:pos="1100"/>
              <w:tab w:val="right" w:leader="dot" w:pos="9016"/>
            </w:tabs>
            <w:spacing w:after="0"/>
            <w:ind w:left="440" w:firstLine="0"/>
            <w:rPr>
              <w:rFonts w:ascii="Calibri" w:eastAsia="Times New Roman" w:hAnsi="Calibri" w:cs="Times New Roman"/>
              <w:noProof/>
              <w:color w:val="000000" w:themeColor="text1"/>
              <w:sz w:val="22"/>
              <w:lang w:eastAsia="en-AU"/>
            </w:rPr>
          </w:pPr>
          <w:hyperlink w:anchor="_Toc2585821" w:history="1">
            <w:r w:rsidR="009D683D" w:rsidRPr="009D683D">
              <w:rPr>
                <w:rFonts w:ascii="Calibri" w:eastAsia="Calibri" w:hAnsi="Calibri" w:cs="Times New Roman"/>
                <w:i/>
                <w:iCs/>
                <w:noProof/>
                <w:color w:val="000000" w:themeColor="text1"/>
                <w:szCs w:val="20"/>
                <w14:scene3d>
                  <w14:camera w14:prst="orthographicFront"/>
                  <w14:lightRig w14:rig="threePt" w14:dir="t">
                    <w14:rot w14:lat="0" w14:lon="0" w14:rev="0"/>
                  </w14:lightRig>
                </w14:scene3d>
              </w:rPr>
              <w:t>2.5.3</w:t>
            </w:r>
            <w:r w:rsidR="0010384B">
              <w:rPr>
                <w:rFonts w:ascii="Calibri" w:eastAsia="Times New Roman" w:hAnsi="Calibri" w:cs="Times New Roman"/>
                <w:noProof/>
                <w:color w:val="000000" w:themeColor="text1"/>
                <w:sz w:val="22"/>
                <w:lang w:eastAsia="en-AU"/>
              </w:rPr>
              <w:t xml:space="preserve"> </w:t>
            </w:r>
            <w:r w:rsidR="009D683D" w:rsidRPr="009D683D">
              <w:rPr>
                <w:rFonts w:ascii="Calibri" w:eastAsia="Calibri" w:hAnsi="Calibri" w:cs="Times New Roman"/>
                <w:i/>
                <w:iCs/>
                <w:noProof/>
                <w:color w:val="000000" w:themeColor="text1"/>
                <w:szCs w:val="20"/>
              </w:rPr>
              <w:t>Data collection</w:t>
            </w:r>
            <w:r w:rsidR="009D683D" w:rsidRPr="009D683D">
              <w:rPr>
                <w:rFonts w:ascii="Calibri" w:eastAsia="Calibri" w:hAnsi="Calibri" w:cs="Times New Roman"/>
                <w:i/>
                <w:iCs/>
                <w:noProof/>
                <w:webHidden/>
                <w:color w:val="000000" w:themeColor="text1"/>
                <w:szCs w:val="20"/>
              </w:rPr>
              <w:tab/>
            </w:r>
            <w:r w:rsidR="009D683D" w:rsidRPr="009D683D">
              <w:rPr>
                <w:rFonts w:ascii="Calibri" w:eastAsia="Calibri" w:hAnsi="Calibri" w:cs="Times New Roman"/>
                <w:i/>
                <w:iCs/>
                <w:noProof/>
                <w:webHidden/>
                <w:color w:val="000000" w:themeColor="text1"/>
                <w:szCs w:val="20"/>
              </w:rPr>
              <w:fldChar w:fldCharType="begin"/>
            </w:r>
            <w:r w:rsidR="009D683D" w:rsidRPr="009D683D">
              <w:rPr>
                <w:rFonts w:ascii="Calibri" w:eastAsia="Calibri" w:hAnsi="Calibri" w:cs="Times New Roman"/>
                <w:i/>
                <w:iCs/>
                <w:noProof/>
                <w:webHidden/>
                <w:color w:val="000000" w:themeColor="text1"/>
                <w:szCs w:val="20"/>
              </w:rPr>
              <w:instrText xml:space="preserve"> PAGEREF _Toc2585821 \h </w:instrText>
            </w:r>
            <w:r w:rsidR="009D683D" w:rsidRPr="009D683D">
              <w:rPr>
                <w:rFonts w:ascii="Calibri" w:eastAsia="Calibri" w:hAnsi="Calibri" w:cs="Times New Roman"/>
                <w:i/>
                <w:iCs/>
                <w:noProof/>
                <w:webHidden/>
                <w:color w:val="000000" w:themeColor="text1"/>
                <w:szCs w:val="20"/>
              </w:rPr>
            </w:r>
            <w:r w:rsidR="009D683D" w:rsidRPr="009D683D">
              <w:rPr>
                <w:rFonts w:ascii="Calibri" w:eastAsia="Calibri" w:hAnsi="Calibri" w:cs="Times New Roman"/>
                <w:i/>
                <w:iCs/>
                <w:noProof/>
                <w:webHidden/>
                <w:color w:val="000000" w:themeColor="text1"/>
                <w:szCs w:val="20"/>
              </w:rPr>
              <w:fldChar w:fldCharType="separate"/>
            </w:r>
            <w:r w:rsidR="009D683D" w:rsidRPr="009D683D">
              <w:rPr>
                <w:rFonts w:ascii="Calibri" w:eastAsia="Calibri" w:hAnsi="Calibri" w:cs="Times New Roman"/>
                <w:i/>
                <w:iCs/>
                <w:noProof/>
                <w:webHidden/>
                <w:color w:val="000000" w:themeColor="text1"/>
                <w:szCs w:val="20"/>
              </w:rPr>
              <w:t>42</w:t>
            </w:r>
            <w:r w:rsidR="009D683D" w:rsidRPr="009D683D">
              <w:rPr>
                <w:rFonts w:ascii="Calibri" w:eastAsia="Calibri" w:hAnsi="Calibri" w:cs="Times New Roman"/>
                <w:i/>
                <w:iCs/>
                <w:noProof/>
                <w:webHidden/>
                <w:color w:val="000000" w:themeColor="text1"/>
                <w:szCs w:val="20"/>
              </w:rPr>
              <w:fldChar w:fldCharType="end"/>
            </w:r>
          </w:hyperlink>
        </w:p>
        <w:p w14:paraId="749A42F0" w14:textId="5A410A0F" w:rsidR="009D683D" w:rsidRPr="009D683D" w:rsidRDefault="00D32AD3" w:rsidP="00782640">
          <w:pPr>
            <w:numPr>
              <w:ilvl w:val="0"/>
              <w:numId w:val="70"/>
            </w:numPr>
            <w:tabs>
              <w:tab w:val="left" w:pos="1100"/>
              <w:tab w:val="right" w:leader="dot" w:pos="9016"/>
            </w:tabs>
            <w:spacing w:after="0"/>
            <w:ind w:left="440" w:firstLine="0"/>
            <w:rPr>
              <w:rFonts w:ascii="Calibri" w:eastAsia="Times New Roman" w:hAnsi="Calibri" w:cs="Times New Roman"/>
              <w:noProof/>
              <w:color w:val="000000" w:themeColor="text1"/>
              <w:sz w:val="22"/>
              <w:lang w:eastAsia="en-AU"/>
            </w:rPr>
          </w:pPr>
          <w:hyperlink w:anchor="_Toc2585822" w:history="1">
            <w:r w:rsidR="009D683D" w:rsidRPr="009D683D">
              <w:rPr>
                <w:rFonts w:ascii="Calibri" w:eastAsia="Calibri" w:hAnsi="Calibri" w:cs="Times New Roman"/>
                <w:i/>
                <w:iCs/>
                <w:noProof/>
                <w:color w:val="000000" w:themeColor="text1"/>
                <w:szCs w:val="20"/>
                <w14:scene3d>
                  <w14:camera w14:prst="orthographicFront"/>
                  <w14:lightRig w14:rig="threePt" w14:dir="t">
                    <w14:rot w14:lat="0" w14:lon="0" w14:rev="0"/>
                  </w14:lightRig>
                </w14:scene3d>
              </w:rPr>
              <w:t>2.5.4</w:t>
            </w:r>
            <w:r w:rsidR="0010384B">
              <w:rPr>
                <w:rFonts w:ascii="Calibri" w:eastAsia="Times New Roman" w:hAnsi="Calibri" w:cs="Times New Roman"/>
                <w:noProof/>
                <w:color w:val="000000" w:themeColor="text1"/>
                <w:sz w:val="22"/>
                <w:lang w:eastAsia="en-AU"/>
              </w:rPr>
              <w:t xml:space="preserve"> </w:t>
            </w:r>
            <w:r w:rsidR="009D683D" w:rsidRPr="009D683D">
              <w:rPr>
                <w:rFonts w:ascii="Calibri" w:eastAsia="Calibri" w:hAnsi="Calibri" w:cs="Times New Roman"/>
                <w:i/>
                <w:iCs/>
                <w:noProof/>
                <w:color w:val="000000" w:themeColor="text1"/>
                <w:szCs w:val="20"/>
              </w:rPr>
              <w:t>Feasibility and resourcing</w:t>
            </w:r>
            <w:r w:rsidR="009D683D" w:rsidRPr="009D683D">
              <w:rPr>
                <w:rFonts w:ascii="Calibri" w:eastAsia="Calibri" w:hAnsi="Calibri" w:cs="Times New Roman"/>
                <w:i/>
                <w:iCs/>
                <w:noProof/>
                <w:webHidden/>
                <w:color w:val="000000" w:themeColor="text1"/>
                <w:szCs w:val="20"/>
              </w:rPr>
              <w:tab/>
            </w:r>
            <w:r w:rsidR="009D683D" w:rsidRPr="009D683D">
              <w:rPr>
                <w:rFonts w:ascii="Calibri" w:eastAsia="Calibri" w:hAnsi="Calibri" w:cs="Times New Roman"/>
                <w:i/>
                <w:iCs/>
                <w:noProof/>
                <w:webHidden/>
                <w:color w:val="000000" w:themeColor="text1"/>
                <w:szCs w:val="20"/>
              </w:rPr>
              <w:fldChar w:fldCharType="begin"/>
            </w:r>
            <w:r w:rsidR="009D683D" w:rsidRPr="009D683D">
              <w:rPr>
                <w:rFonts w:ascii="Calibri" w:eastAsia="Calibri" w:hAnsi="Calibri" w:cs="Times New Roman"/>
                <w:i/>
                <w:iCs/>
                <w:noProof/>
                <w:webHidden/>
                <w:color w:val="000000" w:themeColor="text1"/>
                <w:szCs w:val="20"/>
              </w:rPr>
              <w:instrText xml:space="preserve"> PAGEREF _Toc2585822 \h </w:instrText>
            </w:r>
            <w:r w:rsidR="009D683D" w:rsidRPr="009D683D">
              <w:rPr>
                <w:rFonts w:ascii="Calibri" w:eastAsia="Calibri" w:hAnsi="Calibri" w:cs="Times New Roman"/>
                <w:i/>
                <w:iCs/>
                <w:noProof/>
                <w:webHidden/>
                <w:color w:val="000000" w:themeColor="text1"/>
                <w:szCs w:val="20"/>
              </w:rPr>
            </w:r>
            <w:r w:rsidR="009D683D" w:rsidRPr="009D683D">
              <w:rPr>
                <w:rFonts w:ascii="Calibri" w:eastAsia="Calibri" w:hAnsi="Calibri" w:cs="Times New Roman"/>
                <w:i/>
                <w:iCs/>
                <w:noProof/>
                <w:webHidden/>
                <w:color w:val="000000" w:themeColor="text1"/>
                <w:szCs w:val="20"/>
              </w:rPr>
              <w:fldChar w:fldCharType="separate"/>
            </w:r>
            <w:r w:rsidR="009D683D" w:rsidRPr="009D683D">
              <w:rPr>
                <w:rFonts w:ascii="Calibri" w:eastAsia="Calibri" w:hAnsi="Calibri" w:cs="Times New Roman"/>
                <w:i/>
                <w:iCs/>
                <w:noProof/>
                <w:webHidden/>
                <w:color w:val="000000" w:themeColor="text1"/>
                <w:szCs w:val="20"/>
              </w:rPr>
              <w:t>43</w:t>
            </w:r>
            <w:r w:rsidR="009D683D" w:rsidRPr="009D683D">
              <w:rPr>
                <w:rFonts w:ascii="Calibri" w:eastAsia="Calibri" w:hAnsi="Calibri" w:cs="Times New Roman"/>
                <w:i/>
                <w:iCs/>
                <w:noProof/>
                <w:webHidden/>
                <w:color w:val="000000" w:themeColor="text1"/>
                <w:szCs w:val="20"/>
              </w:rPr>
              <w:fldChar w:fldCharType="end"/>
            </w:r>
          </w:hyperlink>
        </w:p>
        <w:p w14:paraId="5D06DFEE" w14:textId="08FE468B" w:rsidR="009D683D" w:rsidRPr="009D683D" w:rsidRDefault="00D32AD3" w:rsidP="00782640">
          <w:pPr>
            <w:numPr>
              <w:ilvl w:val="0"/>
              <w:numId w:val="70"/>
            </w:numPr>
            <w:tabs>
              <w:tab w:val="left" w:pos="1100"/>
              <w:tab w:val="right" w:leader="dot" w:pos="9016"/>
            </w:tabs>
            <w:spacing w:after="0"/>
            <w:ind w:left="440" w:firstLine="0"/>
            <w:rPr>
              <w:rFonts w:ascii="Calibri" w:eastAsia="Times New Roman" w:hAnsi="Calibri" w:cs="Times New Roman"/>
              <w:noProof/>
              <w:color w:val="000000" w:themeColor="text1"/>
              <w:sz w:val="22"/>
              <w:lang w:eastAsia="en-AU"/>
            </w:rPr>
          </w:pPr>
          <w:hyperlink w:anchor="_Toc2585823" w:history="1">
            <w:r w:rsidR="009D683D" w:rsidRPr="009D683D">
              <w:rPr>
                <w:rFonts w:ascii="Calibri" w:eastAsia="Calibri" w:hAnsi="Calibri" w:cs="Times New Roman"/>
                <w:i/>
                <w:iCs/>
                <w:noProof/>
                <w:color w:val="000000" w:themeColor="text1"/>
                <w:szCs w:val="20"/>
                <w14:scene3d>
                  <w14:camera w14:prst="orthographicFront"/>
                  <w14:lightRig w14:rig="threePt" w14:dir="t">
                    <w14:rot w14:lat="0" w14:lon="0" w14:rev="0"/>
                  </w14:lightRig>
                </w14:scene3d>
              </w:rPr>
              <w:t>2.5.5</w:t>
            </w:r>
            <w:r w:rsidR="0010384B">
              <w:rPr>
                <w:rFonts w:ascii="Calibri" w:eastAsia="Times New Roman" w:hAnsi="Calibri" w:cs="Times New Roman"/>
                <w:noProof/>
                <w:color w:val="000000" w:themeColor="text1"/>
                <w:sz w:val="22"/>
                <w:lang w:eastAsia="en-AU"/>
              </w:rPr>
              <w:t xml:space="preserve"> </w:t>
            </w:r>
            <w:r w:rsidR="009D683D" w:rsidRPr="009D683D">
              <w:rPr>
                <w:rFonts w:ascii="Calibri" w:eastAsia="Calibri" w:hAnsi="Calibri" w:cs="Times New Roman"/>
                <w:i/>
                <w:iCs/>
                <w:noProof/>
                <w:color w:val="000000" w:themeColor="text1"/>
                <w:szCs w:val="20"/>
              </w:rPr>
              <w:t>Other data linkage and research projects</w:t>
            </w:r>
            <w:r w:rsidR="009D683D" w:rsidRPr="009D683D">
              <w:rPr>
                <w:rFonts w:ascii="Calibri" w:eastAsia="Calibri" w:hAnsi="Calibri" w:cs="Times New Roman"/>
                <w:i/>
                <w:iCs/>
                <w:noProof/>
                <w:webHidden/>
                <w:color w:val="000000" w:themeColor="text1"/>
                <w:szCs w:val="20"/>
              </w:rPr>
              <w:tab/>
            </w:r>
            <w:r w:rsidR="009D683D" w:rsidRPr="009D683D">
              <w:rPr>
                <w:rFonts w:ascii="Calibri" w:eastAsia="Calibri" w:hAnsi="Calibri" w:cs="Times New Roman"/>
                <w:i/>
                <w:iCs/>
                <w:noProof/>
                <w:webHidden/>
                <w:color w:val="000000" w:themeColor="text1"/>
                <w:szCs w:val="20"/>
              </w:rPr>
              <w:fldChar w:fldCharType="begin"/>
            </w:r>
            <w:r w:rsidR="009D683D" w:rsidRPr="009D683D">
              <w:rPr>
                <w:rFonts w:ascii="Calibri" w:eastAsia="Calibri" w:hAnsi="Calibri" w:cs="Times New Roman"/>
                <w:i/>
                <w:iCs/>
                <w:noProof/>
                <w:webHidden/>
                <w:color w:val="000000" w:themeColor="text1"/>
                <w:szCs w:val="20"/>
              </w:rPr>
              <w:instrText xml:space="preserve"> PAGEREF _Toc2585823 \h </w:instrText>
            </w:r>
            <w:r w:rsidR="009D683D" w:rsidRPr="009D683D">
              <w:rPr>
                <w:rFonts w:ascii="Calibri" w:eastAsia="Calibri" w:hAnsi="Calibri" w:cs="Times New Roman"/>
                <w:i/>
                <w:iCs/>
                <w:noProof/>
                <w:webHidden/>
                <w:color w:val="000000" w:themeColor="text1"/>
                <w:szCs w:val="20"/>
              </w:rPr>
            </w:r>
            <w:r w:rsidR="009D683D" w:rsidRPr="009D683D">
              <w:rPr>
                <w:rFonts w:ascii="Calibri" w:eastAsia="Calibri" w:hAnsi="Calibri" w:cs="Times New Roman"/>
                <w:i/>
                <w:iCs/>
                <w:noProof/>
                <w:webHidden/>
                <w:color w:val="000000" w:themeColor="text1"/>
                <w:szCs w:val="20"/>
              </w:rPr>
              <w:fldChar w:fldCharType="separate"/>
            </w:r>
            <w:r w:rsidR="009D683D" w:rsidRPr="009D683D">
              <w:rPr>
                <w:rFonts w:ascii="Calibri" w:eastAsia="Calibri" w:hAnsi="Calibri" w:cs="Times New Roman"/>
                <w:i/>
                <w:iCs/>
                <w:noProof/>
                <w:webHidden/>
                <w:color w:val="000000" w:themeColor="text1"/>
                <w:szCs w:val="20"/>
              </w:rPr>
              <w:t>44</w:t>
            </w:r>
            <w:r w:rsidR="009D683D" w:rsidRPr="009D683D">
              <w:rPr>
                <w:rFonts w:ascii="Calibri" w:eastAsia="Calibri" w:hAnsi="Calibri" w:cs="Times New Roman"/>
                <w:i/>
                <w:iCs/>
                <w:noProof/>
                <w:webHidden/>
                <w:color w:val="000000" w:themeColor="text1"/>
                <w:szCs w:val="20"/>
              </w:rPr>
              <w:fldChar w:fldCharType="end"/>
            </w:r>
          </w:hyperlink>
        </w:p>
        <w:p w14:paraId="6BC99948" w14:textId="77777777" w:rsidR="009D683D" w:rsidRPr="009D683D" w:rsidRDefault="00D32AD3" w:rsidP="009D683D">
          <w:pPr>
            <w:tabs>
              <w:tab w:val="left" w:pos="440"/>
              <w:tab w:val="right" w:leader="dot" w:pos="9016"/>
            </w:tabs>
            <w:spacing w:before="120" w:after="120" w:line="240" w:lineRule="auto"/>
            <w:rPr>
              <w:rFonts w:ascii="Calibri" w:eastAsia="Times New Roman" w:hAnsi="Calibri" w:cs="Times New Roman"/>
              <w:noProof/>
              <w:color w:val="000000" w:themeColor="text1"/>
              <w:sz w:val="22"/>
              <w:lang w:eastAsia="en-AU"/>
            </w:rPr>
          </w:pPr>
          <w:hyperlink w:anchor="_Toc2585824" w:history="1">
            <w:r w:rsidR="009D683D" w:rsidRPr="009D683D">
              <w:rPr>
                <w:rFonts w:ascii="Calibri" w:eastAsia="Calibri" w:hAnsi="Calibri" w:cs="Times New Roman"/>
                <w:b/>
                <w:bCs/>
                <w:caps/>
                <w:noProof/>
                <w:color w:val="000000" w:themeColor="text1"/>
                <w:szCs w:val="20"/>
                <w14:scene3d>
                  <w14:camera w14:prst="orthographicFront"/>
                  <w14:lightRig w14:rig="threePt" w14:dir="t">
                    <w14:rot w14:lat="0" w14:lon="0" w14:rev="0"/>
                  </w14:lightRig>
                </w14:scene3d>
              </w:rPr>
              <w:t>3.</w:t>
            </w:r>
            <w:r w:rsidR="009D683D" w:rsidRPr="009D683D">
              <w:rPr>
                <w:rFonts w:ascii="Calibri" w:eastAsia="Times New Roman" w:hAnsi="Calibri" w:cs="Times New Roman"/>
                <w:noProof/>
                <w:color w:val="000000" w:themeColor="text1"/>
                <w:sz w:val="22"/>
                <w:lang w:eastAsia="en-AU"/>
              </w:rPr>
              <w:tab/>
            </w:r>
            <w:r w:rsidR="009D683D" w:rsidRPr="009D683D">
              <w:rPr>
                <w:rFonts w:ascii="Calibri" w:eastAsia="Calibri" w:hAnsi="Calibri" w:cs="Times New Roman"/>
                <w:b/>
                <w:bCs/>
                <w:caps/>
                <w:noProof/>
                <w:color w:val="000000" w:themeColor="text1"/>
                <w:szCs w:val="20"/>
              </w:rPr>
              <w:t>Pre-Transplant Knowledge Gaps and Recommendations</w:t>
            </w:r>
            <w:r w:rsidR="009D683D" w:rsidRPr="009D683D">
              <w:rPr>
                <w:rFonts w:ascii="Calibri" w:eastAsia="Calibri" w:hAnsi="Calibri" w:cs="Times New Roman"/>
                <w:b/>
                <w:bCs/>
                <w:caps/>
                <w:noProof/>
                <w:webHidden/>
                <w:color w:val="000000" w:themeColor="text1"/>
                <w:szCs w:val="20"/>
              </w:rPr>
              <w:tab/>
            </w:r>
            <w:r w:rsidR="009D683D" w:rsidRPr="009D683D">
              <w:rPr>
                <w:rFonts w:ascii="Calibri" w:eastAsia="Calibri" w:hAnsi="Calibri" w:cs="Times New Roman"/>
                <w:b/>
                <w:bCs/>
                <w:caps/>
                <w:noProof/>
                <w:webHidden/>
                <w:color w:val="000000" w:themeColor="text1"/>
                <w:szCs w:val="20"/>
              </w:rPr>
              <w:fldChar w:fldCharType="begin"/>
            </w:r>
            <w:r w:rsidR="009D683D" w:rsidRPr="009D683D">
              <w:rPr>
                <w:rFonts w:ascii="Calibri" w:eastAsia="Calibri" w:hAnsi="Calibri" w:cs="Times New Roman"/>
                <w:b/>
                <w:bCs/>
                <w:caps/>
                <w:noProof/>
                <w:webHidden/>
                <w:color w:val="000000" w:themeColor="text1"/>
                <w:szCs w:val="20"/>
              </w:rPr>
              <w:instrText xml:space="preserve"> PAGEREF _Toc2585824 \h </w:instrText>
            </w:r>
            <w:r w:rsidR="009D683D" w:rsidRPr="009D683D">
              <w:rPr>
                <w:rFonts w:ascii="Calibri" w:eastAsia="Calibri" w:hAnsi="Calibri" w:cs="Times New Roman"/>
                <w:b/>
                <w:bCs/>
                <w:caps/>
                <w:noProof/>
                <w:webHidden/>
                <w:color w:val="000000" w:themeColor="text1"/>
                <w:szCs w:val="20"/>
              </w:rPr>
            </w:r>
            <w:r w:rsidR="009D683D" w:rsidRPr="009D683D">
              <w:rPr>
                <w:rFonts w:ascii="Calibri" w:eastAsia="Calibri" w:hAnsi="Calibri" w:cs="Times New Roman"/>
                <w:b/>
                <w:bCs/>
                <w:caps/>
                <w:noProof/>
                <w:webHidden/>
                <w:color w:val="000000" w:themeColor="text1"/>
                <w:szCs w:val="20"/>
              </w:rPr>
              <w:fldChar w:fldCharType="separate"/>
            </w:r>
            <w:r w:rsidR="009D683D" w:rsidRPr="009D683D">
              <w:rPr>
                <w:rFonts w:ascii="Calibri" w:eastAsia="Calibri" w:hAnsi="Calibri" w:cs="Times New Roman"/>
                <w:b/>
                <w:bCs/>
                <w:caps/>
                <w:noProof/>
                <w:webHidden/>
                <w:color w:val="000000" w:themeColor="text1"/>
                <w:szCs w:val="20"/>
              </w:rPr>
              <w:t>45</w:t>
            </w:r>
            <w:r w:rsidR="009D683D" w:rsidRPr="009D683D">
              <w:rPr>
                <w:rFonts w:ascii="Calibri" w:eastAsia="Calibri" w:hAnsi="Calibri" w:cs="Times New Roman"/>
                <w:b/>
                <w:bCs/>
                <w:caps/>
                <w:noProof/>
                <w:webHidden/>
                <w:color w:val="000000" w:themeColor="text1"/>
                <w:szCs w:val="20"/>
              </w:rPr>
              <w:fldChar w:fldCharType="end"/>
            </w:r>
          </w:hyperlink>
        </w:p>
        <w:p w14:paraId="300A479C" w14:textId="77777777" w:rsidR="009D683D" w:rsidRPr="009D683D" w:rsidRDefault="00D32AD3" w:rsidP="009D683D">
          <w:pPr>
            <w:tabs>
              <w:tab w:val="left" w:pos="880"/>
              <w:tab w:val="right" w:leader="dot" w:pos="9016"/>
            </w:tabs>
            <w:spacing w:after="0"/>
            <w:ind w:left="220"/>
            <w:rPr>
              <w:rFonts w:ascii="Calibri" w:eastAsia="Times New Roman" w:hAnsi="Calibri" w:cs="Times New Roman"/>
              <w:noProof/>
              <w:color w:val="000000" w:themeColor="text1"/>
              <w:sz w:val="22"/>
              <w:lang w:eastAsia="en-AU"/>
            </w:rPr>
          </w:pPr>
          <w:hyperlink w:anchor="_Toc2585825" w:history="1">
            <w:r w:rsidR="009D683D" w:rsidRPr="009D683D">
              <w:rPr>
                <w:rFonts w:ascii="Calibri" w:eastAsia="Calibri" w:hAnsi="Calibri" w:cs="Times New Roman"/>
                <w:smallCaps/>
                <w:noProof/>
                <w:color w:val="000000" w:themeColor="text1"/>
                <w:szCs w:val="20"/>
                <w14:scene3d>
                  <w14:camera w14:prst="orthographicFront"/>
                  <w14:lightRig w14:rig="threePt" w14:dir="t">
                    <w14:rot w14:lat="0" w14:lon="0" w14:rev="0"/>
                  </w14:lightRig>
                </w14:scene3d>
              </w:rPr>
              <w:t>3.1</w:t>
            </w:r>
            <w:r w:rsidR="009D683D" w:rsidRPr="009D683D">
              <w:rPr>
                <w:rFonts w:ascii="Calibri" w:eastAsia="Times New Roman" w:hAnsi="Calibri" w:cs="Times New Roman"/>
                <w:noProof/>
                <w:color w:val="000000" w:themeColor="text1"/>
                <w:sz w:val="22"/>
                <w:lang w:eastAsia="en-AU"/>
              </w:rPr>
              <w:tab/>
            </w:r>
            <w:r w:rsidR="009D683D" w:rsidRPr="009D683D">
              <w:rPr>
                <w:rFonts w:ascii="Calibri" w:eastAsia="Calibri" w:hAnsi="Calibri" w:cs="Times New Roman"/>
                <w:smallCaps/>
                <w:noProof/>
                <w:color w:val="000000" w:themeColor="text1"/>
                <w:szCs w:val="20"/>
              </w:rPr>
              <w:t>Knowledge and data gaps</w:t>
            </w:r>
            <w:r w:rsidR="009D683D" w:rsidRPr="009D683D">
              <w:rPr>
                <w:rFonts w:ascii="Calibri" w:eastAsia="Calibri" w:hAnsi="Calibri" w:cs="Times New Roman"/>
                <w:smallCaps/>
                <w:noProof/>
                <w:webHidden/>
                <w:color w:val="000000" w:themeColor="text1"/>
                <w:szCs w:val="20"/>
              </w:rPr>
              <w:tab/>
            </w:r>
            <w:r w:rsidR="009D683D" w:rsidRPr="009D683D">
              <w:rPr>
                <w:rFonts w:ascii="Calibri" w:eastAsia="Calibri" w:hAnsi="Calibri" w:cs="Times New Roman"/>
                <w:smallCaps/>
                <w:noProof/>
                <w:webHidden/>
                <w:color w:val="000000" w:themeColor="text1"/>
                <w:szCs w:val="20"/>
              </w:rPr>
              <w:fldChar w:fldCharType="begin"/>
            </w:r>
            <w:r w:rsidR="009D683D" w:rsidRPr="009D683D">
              <w:rPr>
                <w:rFonts w:ascii="Calibri" w:eastAsia="Calibri" w:hAnsi="Calibri" w:cs="Times New Roman"/>
                <w:smallCaps/>
                <w:noProof/>
                <w:webHidden/>
                <w:color w:val="000000" w:themeColor="text1"/>
                <w:szCs w:val="20"/>
              </w:rPr>
              <w:instrText xml:space="preserve"> PAGEREF _Toc2585825 \h </w:instrText>
            </w:r>
            <w:r w:rsidR="009D683D" w:rsidRPr="009D683D">
              <w:rPr>
                <w:rFonts w:ascii="Calibri" w:eastAsia="Calibri" w:hAnsi="Calibri" w:cs="Times New Roman"/>
                <w:smallCaps/>
                <w:noProof/>
                <w:webHidden/>
                <w:color w:val="000000" w:themeColor="text1"/>
                <w:szCs w:val="20"/>
              </w:rPr>
            </w:r>
            <w:r w:rsidR="009D683D" w:rsidRPr="009D683D">
              <w:rPr>
                <w:rFonts w:ascii="Calibri" w:eastAsia="Calibri" w:hAnsi="Calibri" w:cs="Times New Roman"/>
                <w:smallCaps/>
                <w:noProof/>
                <w:webHidden/>
                <w:color w:val="000000" w:themeColor="text1"/>
                <w:szCs w:val="20"/>
              </w:rPr>
              <w:fldChar w:fldCharType="separate"/>
            </w:r>
            <w:r w:rsidR="009D683D" w:rsidRPr="009D683D">
              <w:rPr>
                <w:rFonts w:ascii="Calibri" w:eastAsia="Calibri" w:hAnsi="Calibri" w:cs="Times New Roman"/>
                <w:smallCaps/>
                <w:noProof/>
                <w:webHidden/>
                <w:color w:val="000000" w:themeColor="text1"/>
                <w:szCs w:val="20"/>
              </w:rPr>
              <w:t>45</w:t>
            </w:r>
            <w:r w:rsidR="009D683D" w:rsidRPr="009D683D">
              <w:rPr>
                <w:rFonts w:ascii="Calibri" w:eastAsia="Calibri" w:hAnsi="Calibri" w:cs="Times New Roman"/>
                <w:smallCaps/>
                <w:noProof/>
                <w:webHidden/>
                <w:color w:val="000000" w:themeColor="text1"/>
                <w:szCs w:val="20"/>
              </w:rPr>
              <w:fldChar w:fldCharType="end"/>
            </w:r>
          </w:hyperlink>
        </w:p>
        <w:p w14:paraId="1569E73E" w14:textId="755270E4" w:rsidR="009D683D" w:rsidRPr="009D683D" w:rsidRDefault="00D32AD3" w:rsidP="00782640">
          <w:pPr>
            <w:numPr>
              <w:ilvl w:val="0"/>
              <w:numId w:val="70"/>
            </w:numPr>
            <w:tabs>
              <w:tab w:val="left" w:pos="1100"/>
              <w:tab w:val="right" w:leader="dot" w:pos="9016"/>
            </w:tabs>
            <w:spacing w:after="0"/>
            <w:ind w:left="440" w:firstLine="0"/>
            <w:rPr>
              <w:rFonts w:ascii="Calibri" w:eastAsia="Times New Roman" w:hAnsi="Calibri" w:cs="Times New Roman"/>
              <w:noProof/>
              <w:color w:val="000000" w:themeColor="text1"/>
              <w:sz w:val="22"/>
              <w:lang w:eastAsia="en-AU"/>
            </w:rPr>
          </w:pPr>
          <w:hyperlink w:anchor="_Toc2585826" w:history="1">
            <w:r w:rsidR="009D683D" w:rsidRPr="009D683D">
              <w:rPr>
                <w:rFonts w:ascii="Calibri" w:eastAsia="Calibri" w:hAnsi="Calibri" w:cs="Times New Roman"/>
                <w:i/>
                <w:iCs/>
                <w:noProof/>
                <w:color w:val="000000" w:themeColor="text1"/>
                <w:szCs w:val="20"/>
                <w14:scene3d>
                  <w14:camera w14:prst="orthographicFront"/>
                  <w14:lightRig w14:rig="threePt" w14:dir="t">
                    <w14:rot w14:lat="0" w14:lon="0" w14:rev="0"/>
                  </w14:lightRig>
                </w14:scene3d>
              </w:rPr>
              <w:t>3.1.1</w:t>
            </w:r>
            <w:r w:rsidR="0010384B">
              <w:rPr>
                <w:rFonts w:ascii="Calibri" w:eastAsia="Times New Roman" w:hAnsi="Calibri" w:cs="Times New Roman"/>
                <w:noProof/>
                <w:color w:val="000000" w:themeColor="text1"/>
                <w:sz w:val="22"/>
                <w:lang w:eastAsia="en-AU"/>
              </w:rPr>
              <w:t xml:space="preserve"> </w:t>
            </w:r>
            <w:r w:rsidR="009D683D" w:rsidRPr="009D683D">
              <w:rPr>
                <w:rFonts w:ascii="Calibri" w:eastAsia="Calibri" w:hAnsi="Calibri" w:cs="Times New Roman"/>
                <w:i/>
                <w:iCs/>
                <w:noProof/>
                <w:color w:val="000000" w:themeColor="text1"/>
                <w:szCs w:val="20"/>
              </w:rPr>
              <w:t>Informing patients</w:t>
            </w:r>
            <w:r w:rsidR="009D683D" w:rsidRPr="009D683D">
              <w:rPr>
                <w:rFonts w:ascii="Calibri" w:eastAsia="Calibri" w:hAnsi="Calibri" w:cs="Times New Roman"/>
                <w:i/>
                <w:iCs/>
                <w:noProof/>
                <w:webHidden/>
                <w:color w:val="000000" w:themeColor="text1"/>
                <w:szCs w:val="20"/>
              </w:rPr>
              <w:tab/>
            </w:r>
            <w:r w:rsidR="009D683D" w:rsidRPr="009D683D">
              <w:rPr>
                <w:rFonts w:ascii="Calibri" w:eastAsia="Calibri" w:hAnsi="Calibri" w:cs="Times New Roman"/>
                <w:i/>
                <w:iCs/>
                <w:noProof/>
                <w:webHidden/>
                <w:color w:val="000000" w:themeColor="text1"/>
                <w:szCs w:val="20"/>
              </w:rPr>
              <w:fldChar w:fldCharType="begin"/>
            </w:r>
            <w:r w:rsidR="009D683D" w:rsidRPr="009D683D">
              <w:rPr>
                <w:rFonts w:ascii="Calibri" w:eastAsia="Calibri" w:hAnsi="Calibri" w:cs="Times New Roman"/>
                <w:i/>
                <w:iCs/>
                <w:noProof/>
                <w:webHidden/>
                <w:color w:val="000000" w:themeColor="text1"/>
                <w:szCs w:val="20"/>
              </w:rPr>
              <w:instrText xml:space="preserve"> PAGEREF _Toc2585826 \h </w:instrText>
            </w:r>
            <w:r w:rsidR="009D683D" w:rsidRPr="009D683D">
              <w:rPr>
                <w:rFonts w:ascii="Calibri" w:eastAsia="Calibri" w:hAnsi="Calibri" w:cs="Times New Roman"/>
                <w:i/>
                <w:iCs/>
                <w:noProof/>
                <w:webHidden/>
                <w:color w:val="000000" w:themeColor="text1"/>
                <w:szCs w:val="20"/>
              </w:rPr>
            </w:r>
            <w:r w:rsidR="009D683D" w:rsidRPr="009D683D">
              <w:rPr>
                <w:rFonts w:ascii="Calibri" w:eastAsia="Calibri" w:hAnsi="Calibri" w:cs="Times New Roman"/>
                <w:i/>
                <w:iCs/>
                <w:noProof/>
                <w:webHidden/>
                <w:color w:val="000000" w:themeColor="text1"/>
                <w:szCs w:val="20"/>
              </w:rPr>
              <w:fldChar w:fldCharType="separate"/>
            </w:r>
            <w:r w:rsidR="009D683D" w:rsidRPr="009D683D">
              <w:rPr>
                <w:rFonts w:ascii="Calibri" w:eastAsia="Calibri" w:hAnsi="Calibri" w:cs="Times New Roman"/>
                <w:i/>
                <w:iCs/>
                <w:noProof/>
                <w:webHidden/>
                <w:color w:val="000000" w:themeColor="text1"/>
                <w:szCs w:val="20"/>
              </w:rPr>
              <w:t>45</w:t>
            </w:r>
            <w:r w:rsidR="009D683D" w:rsidRPr="009D683D">
              <w:rPr>
                <w:rFonts w:ascii="Calibri" w:eastAsia="Calibri" w:hAnsi="Calibri" w:cs="Times New Roman"/>
                <w:i/>
                <w:iCs/>
                <w:noProof/>
                <w:webHidden/>
                <w:color w:val="000000" w:themeColor="text1"/>
                <w:szCs w:val="20"/>
              </w:rPr>
              <w:fldChar w:fldCharType="end"/>
            </w:r>
          </w:hyperlink>
        </w:p>
        <w:p w14:paraId="1AD8F883" w14:textId="0513BE35" w:rsidR="009D683D" w:rsidRPr="009D683D" w:rsidRDefault="00D32AD3" w:rsidP="00782640">
          <w:pPr>
            <w:numPr>
              <w:ilvl w:val="0"/>
              <w:numId w:val="70"/>
            </w:numPr>
            <w:tabs>
              <w:tab w:val="left" w:pos="1100"/>
              <w:tab w:val="right" w:leader="dot" w:pos="9016"/>
            </w:tabs>
            <w:spacing w:after="0"/>
            <w:ind w:left="440" w:firstLine="0"/>
            <w:rPr>
              <w:rFonts w:ascii="Calibri" w:eastAsia="Times New Roman" w:hAnsi="Calibri" w:cs="Times New Roman"/>
              <w:noProof/>
              <w:color w:val="000000" w:themeColor="text1"/>
              <w:sz w:val="22"/>
              <w:lang w:eastAsia="en-AU"/>
            </w:rPr>
          </w:pPr>
          <w:hyperlink w:anchor="_Toc2585827" w:history="1">
            <w:r w:rsidR="009D683D" w:rsidRPr="009D683D">
              <w:rPr>
                <w:rFonts w:ascii="Calibri" w:eastAsia="Calibri" w:hAnsi="Calibri" w:cs="Times New Roman"/>
                <w:i/>
                <w:iCs/>
                <w:noProof/>
                <w:color w:val="000000" w:themeColor="text1"/>
                <w:szCs w:val="20"/>
                <w14:scene3d>
                  <w14:camera w14:prst="orthographicFront"/>
                  <w14:lightRig w14:rig="threePt" w14:dir="t">
                    <w14:rot w14:lat="0" w14:lon="0" w14:rev="0"/>
                  </w14:lightRig>
                </w14:scene3d>
              </w:rPr>
              <w:t>3.1.2</w:t>
            </w:r>
            <w:r w:rsidR="0010384B">
              <w:rPr>
                <w:rFonts w:ascii="Calibri" w:eastAsia="Times New Roman" w:hAnsi="Calibri" w:cs="Times New Roman"/>
                <w:noProof/>
                <w:color w:val="000000" w:themeColor="text1"/>
                <w:sz w:val="22"/>
                <w:lang w:eastAsia="en-AU"/>
              </w:rPr>
              <w:t xml:space="preserve"> </w:t>
            </w:r>
            <w:r w:rsidR="009D683D" w:rsidRPr="009D683D">
              <w:rPr>
                <w:rFonts w:ascii="Calibri" w:eastAsia="Calibri" w:hAnsi="Calibri" w:cs="Times New Roman"/>
                <w:i/>
                <w:iCs/>
                <w:noProof/>
                <w:color w:val="000000" w:themeColor="text1"/>
                <w:szCs w:val="20"/>
              </w:rPr>
              <w:t>Completing workup and assessment</w:t>
            </w:r>
            <w:r w:rsidR="009D683D" w:rsidRPr="009D683D">
              <w:rPr>
                <w:rFonts w:ascii="Calibri" w:eastAsia="Calibri" w:hAnsi="Calibri" w:cs="Times New Roman"/>
                <w:i/>
                <w:iCs/>
                <w:noProof/>
                <w:webHidden/>
                <w:color w:val="000000" w:themeColor="text1"/>
                <w:szCs w:val="20"/>
              </w:rPr>
              <w:tab/>
            </w:r>
            <w:r w:rsidR="009D683D" w:rsidRPr="009D683D">
              <w:rPr>
                <w:rFonts w:ascii="Calibri" w:eastAsia="Calibri" w:hAnsi="Calibri" w:cs="Times New Roman"/>
                <w:i/>
                <w:iCs/>
                <w:noProof/>
                <w:webHidden/>
                <w:color w:val="000000" w:themeColor="text1"/>
                <w:szCs w:val="20"/>
              </w:rPr>
              <w:fldChar w:fldCharType="begin"/>
            </w:r>
            <w:r w:rsidR="009D683D" w:rsidRPr="009D683D">
              <w:rPr>
                <w:rFonts w:ascii="Calibri" w:eastAsia="Calibri" w:hAnsi="Calibri" w:cs="Times New Roman"/>
                <w:i/>
                <w:iCs/>
                <w:noProof/>
                <w:webHidden/>
                <w:color w:val="000000" w:themeColor="text1"/>
                <w:szCs w:val="20"/>
              </w:rPr>
              <w:instrText xml:space="preserve"> PAGEREF _Toc2585827 \h </w:instrText>
            </w:r>
            <w:r w:rsidR="009D683D" w:rsidRPr="009D683D">
              <w:rPr>
                <w:rFonts w:ascii="Calibri" w:eastAsia="Calibri" w:hAnsi="Calibri" w:cs="Times New Roman"/>
                <w:i/>
                <w:iCs/>
                <w:noProof/>
                <w:webHidden/>
                <w:color w:val="000000" w:themeColor="text1"/>
                <w:szCs w:val="20"/>
              </w:rPr>
            </w:r>
            <w:r w:rsidR="009D683D" w:rsidRPr="009D683D">
              <w:rPr>
                <w:rFonts w:ascii="Calibri" w:eastAsia="Calibri" w:hAnsi="Calibri" w:cs="Times New Roman"/>
                <w:i/>
                <w:iCs/>
                <w:noProof/>
                <w:webHidden/>
                <w:color w:val="000000" w:themeColor="text1"/>
                <w:szCs w:val="20"/>
              </w:rPr>
              <w:fldChar w:fldCharType="separate"/>
            </w:r>
            <w:r w:rsidR="009D683D" w:rsidRPr="009D683D">
              <w:rPr>
                <w:rFonts w:ascii="Calibri" w:eastAsia="Calibri" w:hAnsi="Calibri" w:cs="Times New Roman"/>
                <w:i/>
                <w:iCs/>
                <w:noProof/>
                <w:webHidden/>
                <w:color w:val="000000" w:themeColor="text1"/>
                <w:szCs w:val="20"/>
              </w:rPr>
              <w:t>45</w:t>
            </w:r>
            <w:r w:rsidR="009D683D" w:rsidRPr="009D683D">
              <w:rPr>
                <w:rFonts w:ascii="Calibri" w:eastAsia="Calibri" w:hAnsi="Calibri" w:cs="Times New Roman"/>
                <w:i/>
                <w:iCs/>
                <w:noProof/>
                <w:webHidden/>
                <w:color w:val="000000" w:themeColor="text1"/>
                <w:szCs w:val="20"/>
              </w:rPr>
              <w:fldChar w:fldCharType="end"/>
            </w:r>
          </w:hyperlink>
        </w:p>
        <w:p w14:paraId="10C27BE8" w14:textId="541715FC" w:rsidR="009D683D" w:rsidRPr="009D683D" w:rsidRDefault="00D32AD3" w:rsidP="00782640">
          <w:pPr>
            <w:numPr>
              <w:ilvl w:val="0"/>
              <w:numId w:val="70"/>
            </w:numPr>
            <w:tabs>
              <w:tab w:val="left" w:pos="1100"/>
              <w:tab w:val="right" w:leader="dot" w:pos="9016"/>
            </w:tabs>
            <w:spacing w:after="0"/>
            <w:ind w:left="440" w:firstLine="0"/>
            <w:rPr>
              <w:rFonts w:ascii="Calibri" w:eastAsia="Times New Roman" w:hAnsi="Calibri" w:cs="Times New Roman"/>
              <w:noProof/>
              <w:color w:val="000000" w:themeColor="text1"/>
              <w:sz w:val="22"/>
              <w:lang w:eastAsia="en-AU"/>
            </w:rPr>
          </w:pPr>
          <w:hyperlink w:anchor="_Toc2585828" w:history="1">
            <w:r w:rsidR="009D683D" w:rsidRPr="009D683D">
              <w:rPr>
                <w:rFonts w:ascii="Calibri" w:eastAsia="Calibri" w:hAnsi="Calibri" w:cs="Times New Roman"/>
                <w:i/>
                <w:iCs/>
                <w:noProof/>
                <w:color w:val="000000" w:themeColor="text1"/>
                <w:szCs w:val="20"/>
                <w14:scene3d>
                  <w14:camera w14:prst="orthographicFront"/>
                  <w14:lightRig w14:rig="threePt" w14:dir="t">
                    <w14:rot w14:lat="0" w14:lon="0" w14:rev="0"/>
                  </w14:lightRig>
                </w14:scene3d>
              </w:rPr>
              <w:t>3.1.3</w:t>
            </w:r>
            <w:r w:rsidR="0010384B">
              <w:rPr>
                <w:rFonts w:ascii="Calibri" w:eastAsia="Times New Roman" w:hAnsi="Calibri" w:cs="Times New Roman"/>
                <w:noProof/>
                <w:color w:val="000000" w:themeColor="text1"/>
                <w:sz w:val="22"/>
                <w:lang w:eastAsia="en-AU"/>
              </w:rPr>
              <w:t xml:space="preserve"> </w:t>
            </w:r>
            <w:r w:rsidR="009D683D" w:rsidRPr="009D683D">
              <w:rPr>
                <w:rFonts w:ascii="Calibri" w:eastAsia="Calibri" w:hAnsi="Calibri" w:cs="Times New Roman"/>
                <w:i/>
                <w:iCs/>
                <w:noProof/>
                <w:color w:val="000000" w:themeColor="text1"/>
                <w:szCs w:val="20"/>
              </w:rPr>
              <w:t>Surgical assessment</w:t>
            </w:r>
            <w:r w:rsidR="009D683D" w:rsidRPr="009D683D">
              <w:rPr>
                <w:rFonts w:ascii="Calibri" w:eastAsia="Calibri" w:hAnsi="Calibri" w:cs="Times New Roman"/>
                <w:i/>
                <w:iCs/>
                <w:noProof/>
                <w:webHidden/>
                <w:color w:val="000000" w:themeColor="text1"/>
                <w:szCs w:val="20"/>
              </w:rPr>
              <w:tab/>
            </w:r>
            <w:r w:rsidR="009D683D" w:rsidRPr="009D683D">
              <w:rPr>
                <w:rFonts w:ascii="Calibri" w:eastAsia="Calibri" w:hAnsi="Calibri" w:cs="Times New Roman"/>
                <w:i/>
                <w:iCs/>
                <w:noProof/>
                <w:webHidden/>
                <w:color w:val="000000" w:themeColor="text1"/>
                <w:szCs w:val="20"/>
              </w:rPr>
              <w:fldChar w:fldCharType="begin"/>
            </w:r>
            <w:r w:rsidR="009D683D" w:rsidRPr="009D683D">
              <w:rPr>
                <w:rFonts w:ascii="Calibri" w:eastAsia="Calibri" w:hAnsi="Calibri" w:cs="Times New Roman"/>
                <w:i/>
                <w:iCs/>
                <w:noProof/>
                <w:webHidden/>
                <w:color w:val="000000" w:themeColor="text1"/>
                <w:szCs w:val="20"/>
              </w:rPr>
              <w:instrText xml:space="preserve"> PAGEREF _Toc2585828 \h </w:instrText>
            </w:r>
            <w:r w:rsidR="009D683D" w:rsidRPr="009D683D">
              <w:rPr>
                <w:rFonts w:ascii="Calibri" w:eastAsia="Calibri" w:hAnsi="Calibri" w:cs="Times New Roman"/>
                <w:i/>
                <w:iCs/>
                <w:noProof/>
                <w:webHidden/>
                <w:color w:val="000000" w:themeColor="text1"/>
                <w:szCs w:val="20"/>
              </w:rPr>
            </w:r>
            <w:r w:rsidR="009D683D" w:rsidRPr="009D683D">
              <w:rPr>
                <w:rFonts w:ascii="Calibri" w:eastAsia="Calibri" w:hAnsi="Calibri" w:cs="Times New Roman"/>
                <w:i/>
                <w:iCs/>
                <w:noProof/>
                <w:webHidden/>
                <w:color w:val="000000" w:themeColor="text1"/>
                <w:szCs w:val="20"/>
              </w:rPr>
              <w:fldChar w:fldCharType="separate"/>
            </w:r>
            <w:r w:rsidR="009D683D" w:rsidRPr="009D683D">
              <w:rPr>
                <w:rFonts w:ascii="Calibri" w:eastAsia="Calibri" w:hAnsi="Calibri" w:cs="Times New Roman"/>
                <w:i/>
                <w:iCs/>
                <w:noProof/>
                <w:webHidden/>
                <w:color w:val="000000" w:themeColor="text1"/>
                <w:szCs w:val="20"/>
              </w:rPr>
              <w:t>46</w:t>
            </w:r>
            <w:r w:rsidR="009D683D" w:rsidRPr="009D683D">
              <w:rPr>
                <w:rFonts w:ascii="Calibri" w:eastAsia="Calibri" w:hAnsi="Calibri" w:cs="Times New Roman"/>
                <w:i/>
                <w:iCs/>
                <w:noProof/>
                <w:webHidden/>
                <w:color w:val="000000" w:themeColor="text1"/>
                <w:szCs w:val="20"/>
              </w:rPr>
              <w:fldChar w:fldCharType="end"/>
            </w:r>
          </w:hyperlink>
        </w:p>
        <w:p w14:paraId="10181D3F" w14:textId="77777777" w:rsidR="009D683D" w:rsidRPr="009D683D" w:rsidRDefault="00D32AD3" w:rsidP="009D683D">
          <w:pPr>
            <w:tabs>
              <w:tab w:val="left" w:pos="880"/>
              <w:tab w:val="right" w:leader="dot" w:pos="9016"/>
            </w:tabs>
            <w:spacing w:after="0"/>
            <w:ind w:left="220"/>
            <w:rPr>
              <w:rFonts w:ascii="Calibri" w:eastAsia="Times New Roman" w:hAnsi="Calibri" w:cs="Times New Roman"/>
              <w:noProof/>
              <w:color w:val="000000" w:themeColor="text1"/>
              <w:sz w:val="22"/>
              <w:lang w:eastAsia="en-AU"/>
            </w:rPr>
          </w:pPr>
          <w:hyperlink w:anchor="_Toc2585829" w:history="1">
            <w:r w:rsidR="009D683D" w:rsidRPr="009D683D">
              <w:rPr>
                <w:rFonts w:ascii="Calibri" w:eastAsia="Calibri" w:hAnsi="Calibri" w:cs="Times New Roman"/>
                <w:smallCaps/>
                <w:noProof/>
                <w:color w:val="000000" w:themeColor="text1"/>
                <w:szCs w:val="20"/>
                <w14:scene3d>
                  <w14:camera w14:prst="orthographicFront"/>
                  <w14:lightRig w14:rig="threePt" w14:dir="t">
                    <w14:rot w14:lat="0" w14:lon="0" w14:rev="0"/>
                  </w14:lightRig>
                </w14:scene3d>
              </w:rPr>
              <w:t>3.2</w:t>
            </w:r>
            <w:r w:rsidR="009D683D" w:rsidRPr="009D683D">
              <w:rPr>
                <w:rFonts w:ascii="Calibri" w:eastAsia="Times New Roman" w:hAnsi="Calibri" w:cs="Times New Roman"/>
                <w:noProof/>
                <w:color w:val="000000" w:themeColor="text1"/>
                <w:sz w:val="22"/>
                <w:lang w:eastAsia="en-AU"/>
              </w:rPr>
              <w:tab/>
            </w:r>
            <w:r w:rsidR="009D683D" w:rsidRPr="009D683D">
              <w:rPr>
                <w:rFonts w:ascii="Calibri" w:eastAsia="Calibri" w:hAnsi="Calibri" w:cs="Times New Roman"/>
                <w:smallCaps/>
                <w:noProof/>
                <w:color w:val="000000" w:themeColor="text1"/>
                <w:szCs w:val="20"/>
              </w:rPr>
              <w:t>Next steps and recommendations for research, practice and policy</w:t>
            </w:r>
            <w:r w:rsidR="009D683D" w:rsidRPr="009D683D">
              <w:rPr>
                <w:rFonts w:ascii="Calibri" w:eastAsia="Calibri" w:hAnsi="Calibri" w:cs="Times New Roman"/>
                <w:smallCaps/>
                <w:noProof/>
                <w:webHidden/>
                <w:color w:val="000000" w:themeColor="text1"/>
                <w:szCs w:val="20"/>
              </w:rPr>
              <w:tab/>
            </w:r>
            <w:r w:rsidR="009D683D" w:rsidRPr="009D683D">
              <w:rPr>
                <w:rFonts w:ascii="Calibri" w:eastAsia="Calibri" w:hAnsi="Calibri" w:cs="Times New Roman"/>
                <w:smallCaps/>
                <w:noProof/>
                <w:webHidden/>
                <w:color w:val="000000" w:themeColor="text1"/>
                <w:szCs w:val="20"/>
              </w:rPr>
              <w:fldChar w:fldCharType="begin"/>
            </w:r>
            <w:r w:rsidR="009D683D" w:rsidRPr="009D683D">
              <w:rPr>
                <w:rFonts w:ascii="Calibri" w:eastAsia="Calibri" w:hAnsi="Calibri" w:cs="Times New Roman"/>
                <w:smallCaps/>
                <w:noProof/>
                <w:webHidden/>
                <w:color w:val="000000" w:themeColor="text1"/>
                <w:szCs w:val="20"/>
              </w:rPr>
              <w:instrText xml:space="preserve"> PAGEREF _Toc2585829 \h </w:instrText>
            </w:r>
            <w:r w:rsidR="009D683D" w:rsidRPr="009D683D">
              <w:rPr>
                <w:rFonts w:ascii="Calibri" w:eastAsia="Calibri" w:hAnsi="Calibri" w:cs="Times New Roman"/>
                <w:smallCaps/>
                <w:noProof/>
                <w:webHidden/>
                <w:color w:val="000000" w:themeColor="text1"/>
                <w:szCs w:val="20"/>
              </w:rPr>
            </w:r>
            <w:r w:rsidR="009D683D" w:rsidRPr="009D683D">
              <w:rPr>
                <w:rFonts w:ascii="Calibri" w:eastAsia="Calibri" w:hAnsi="Calibri" w:cs="Times New Roman"/>
                <w:smallCaps/>
                <w:noProof/>
                <w:webHidden/>
                <w:color w:val="000000" w:themeColor="text1"/>
                <w:szCs w:val="20"/>
              </w:rPr>
              <w:fldChar w:fldCharType="separate"/>
            </w:r>
            <w:r w:rsidR="009D683D" w:rsidRPr="009D683D">
              <w:rPr>
                <w:rFonts w:ascii="Calibri" w:eastAsia="Calibri" w:hAnsi="Calibri" w:cs="Times New Roman"/>
                <w:smallCaps/>
                <w:noProof/>
                <w:webHidden/>
                <w:color w:val="000000" w:themeColor="text1"/>
                <w:szCs w:val="20"/>
              </w:rPr>
              <w:t>47</w:t>
            </w:r>
            <w:r w:rsidR="009D683D" w:rsidRPr="009D683D">
              <w:rPr>
                <w:rFonts w:ascii="Calibri" w:eastAsia="Calibri" w:hAnsi="Calibri" w:cs="Times New Roman"/>
                <w:smallCaps/>
                <w:noProof/>
                <w:webHidden/>
                <w:color w:val="000000" w:themeColor="text1"/>
                <w:szCs w:val="20"/>
              </w:rPr>
              <w:fldChar w:fldCharType="end"/>
            </w:r>
          </w:hyperlink>
        </w:p>
        <w:p w14:paraId="0826A294" w14:textId="3B506EEE" w:rsidR="009D683D" w:rsidRPr="009D683D" w:rsidRDefault="00D32AD3" w:rsidP="00782640">
          <w:pPr>
            <w:numPr>
              <w:ilvl w:val="0"/>
              <w:numId w:val="70"/>
            </w:numPr>
            <w:tabs>
              <w:tab w:val="left" w:pos="1100"/>
              <w:tab w:val="right" w:leader="dot" w:pos="9016"/>
            </w:tabs>
            <w:spacing w:after="0"/>
            <w:ind w:left="440" w:firstLine="0"/>
            <w:rPr>
              <w:rFonts w:ascii="Calibri" w:eastAsia="Times New Roman" w:hAnsi="Calibri" w:cs="Times New Roman"/>
              <w:noProof/>
              <w:color w:val="000000" w:themeColor="text1"/>
              <w:sz w:val="22"/>
              <w:lang w:eastAsia="en-AU"/>
            </w:rPr>
          </w:pPr>
          <w:hyperlink w:anchor="_Toc2585830" w:history="1">
            <w:r w:rsidR="009D683D" w:rsidRPr="009D683D">
              <w:rPr>
                <w:rFonts w:ascii="Calibri" w:eastAsia="Calibri" w:hAnsi="Calibri" w:cs="Times New Roman"/>
                <w:i/>
                <w:iCs/>
                <w:noProof/>
                <w:color w:val="000000" w:themeColor="text1"/>
                <w:szCs w:val="20"/>
                <w14:scene3d>
                  <w14:camera w14:prst="orthographicFront"/>
                  <w14:lightRig w14:rig="threePt" w14:dir="t">
                    <w14:rot w14:lat="0" w14:lon="0" w14:rev="0"/>
                  </w14:lightRig>
                </w14:scene3d>
              </w:rPr>
              <w:t>3.2.1</w:t>
            </w:r>
            <w:r w:rsidR="0010384B">
              <w:rPr>
                <w:rFonts w:ascii="Calibri" w:eastAsia="Times New Roman" w:hAnsi="Calibri" w:cs="Times New Roman"/>
                <w:noProof/>
                <w:color w:val="000000" w:themeColor="text1"/>
                <w:sz w:val="22"/>
                <w:lang w:eastAsia="en-AU"/>
              </w:rPr>
              <w:t xml:space="preserve"> </w:t>
            </w:r>
            <w:r w:rsidR="009D683D" w:rsidRPr="009D683D">
              <w:rPr>
                <w:rFonts w:ascii="Calibri" w:eastAsia="Calibri" w:hAnsi="Calibri" w:cs="Times New Roman"/>
                <w:i/>
                <w:iCs/>
                <w:noProof/>
                <w:color w:val="000000" w:themeColor="text1"/>
                <w:szCs w:val="20"/>
              </w:rPr>
              <w:t>Consumer Engagement and Education</w:t>
            </w:r>
            <w:r w:rsidR="009D683D" w:rsidRPr="009D683D">
              <w:rPr>
                <w:rFonts w:ascii="Calibri" w:eastAsia="Calibri" w:hAnsi="Calibri" w:cs="Times New Roman"/>
                <w:i/>
                <w:iCs/>
                <w:noProof/>
                <w:webHidden/>
                <w:color w:val="000000" w:themeColor="text1"/>
                <w:szCs w:val="20"/>
              </w:rPr>
              <w:tab/>
            </w:r>
            <w:r w:rsidR="009D683D" w:rsidRPr="009D683D">
              <w:rPr>
                <w:rFonts w:ascii="Calibri" w:eastAsia="Calibri" w:hAnsi="Calibri" w:cs="Times New Roman"/>
                <w:i/>
                <w:iCs/>
                <w:noProof/>
                <w:webHidden/>
                <w:color w:val="000000" w:themeColor="text1"/>
                <w:szCs w:val="20"/>
              </w:rPr>
              <w:fldChar w:fldCharType="begin"/>
            </w:r>
            <w:r w:rsidR="009D683D" w:rsidRPr="009D683D">
              <w:rPr>
                <w:rFonts w:ascii="Calibri" w:eastAsia="Calibri" w:hAnsi="Calibri" w:cs="Times New Roman"/>
                <w:i/>
                <w:iCs/>
                <w:noProof/>
                <w:webHidden/>
                <w:color w:val="000000" w:themeColor="text1"/>
                <w:szCs w:val="20"/>
              </w:rPr>
              <w:instrText xml:space="preserve"> PAGEREF _Toc2585830 \h </w:instrText>
            </w:r>
            <w:r w:rsidR="009D683D" w:rsidRPr="009D683D">
              <w:rPr>
                <w:rFonts w:ascii="Calibri" w:eastAsia="Calibri" w:hAnsi="Calibri" w:cs="Times New Roman"/>
                <w:i/>
                <w:iCs/>
                <w:noProof/>
                <w:webHidden/>
                <w:color w:val="000000" w:themeColor="text1"/>
                <w:szCs w:val="20"/>
              </w:rPr>
            </w:r>
            <w:r w:rsidR="009D683D" w:rsidRPr="009D683D">
              <w:rPr>
                <w:rFonts w:ascii="Calibri" w:eastAsia="Calibri" w:hAnsi="Calibri" w:cs="Times New Roman"/>
                <w:i/>
                <w:iCs/>
                <w:noProof/>
                <w:webHidden/>
                <w:color w:val="000000" w:themeColor="text1"/>
                <w:szCs w:val="20"/>
              </w:rPr>
              <w:fldChar w:fldCharType="separate"/>
            </w:r>
            <w:r w:rsidR="009D683D" w:rsidRPr="009D683D">
              <w:rPr>
                <w:rFonts w:ascii="Calibri" w:eastAsia="Calibri" w:hAnsi="Calibri" w:cs="Times New Roman"/>
                <w:i/>
                <w:iCs/>
                <w:noProof/>
                <w:webHidden/>
                <w:color w:val="000000" w:themeColor="text1"/>
                <w:szCs w:val="20"/>
              </w:rPr>
              <w:t>47</w:t>
            </w:r>
            <w:r w:rsidR="009D683D" w:rsidRPr="009D683D">
              <w:rPr>
                <w:rFonts w:ascii="Calibri" w:eastAsia="Calibri" w:hAnsi="Calibri" w:cs="Times New Roman"/>
                <w:i/>
                <w:iCs/>
                <w:noProof/>
                <w:webHidden/>
                <w:color w:val="000000" w:themeColor="text1"/>
                <w:szCs w:val="20"/>
              </w:rPr>
              <w:fldChar w:fldCharType="end"/>
            </w:r>
          </w:hyperlink>
        </w:p>
        <w:p w14:paraId="4D37AD14" w14:textId="3508A982" w:rsidR="009D683D" w:rsidRPr="009D683D" w:rsidRDefault="00D32AD3" w:rsidP="00782640">
          <w:pPr>
            <w:numPr>
              <w:ilvl w:val="0"/>
              <w:numId w:val="70"/>
            </w:numPr>
            <w:tabs>
              <w:tab w:val="left" w:pos="1100"/>
              <w:tab w:val="right" w:leader="dot" w:pos="9016"/>
            </w:tabs>
            <w:spacing w:after="0"/>
            <w:ind w:left="440" w:firstLine="0"/>
            <w:rPr>
              <w:rFonts w:ascii="Calibri" w:eastAsia="Times New Roman" w:hAnsi="Calibri" w:cs="Times New Roman"/>
              <w:noProof/>
              <w:color w:val="000000" w:themeColor="text1"/>
              <w:sz w:val="22"/>
              <w:lang w:eastAsia="en-AU"/>
            </w:rPr>
          </w:pPr>
          <w:hyperlink w:anchor="_Toc2585831" w:history="1">
            <w:r w:rsidR="009D683D" w:rsidRPr="009D683D">
              <w:rPr>
                <w:rFonts w:ascii="Calibri" w:eastAsia="Calibri" w:hAnsi="Calibri" w:cs="Times New Roman"/>
                <w:i/>
                <w:iCs/>
                <w:noProof/>
                <w:color w:val="000000" w:themeColor="text1"/>
                <w:szCs w:val="20"/>
                <w14:scene3d>
                  <w14:camera w14:prst="orthographicFront"/>
                  <w14:lightRig w14:rig="threePt" w14:dir="t">
                    <w14:rot w14:lat="0" w14:lon="0" w14:rev="0"/>
                  </w14:lightRig>
                </w14:scene3d>
              </w:rPr>
              <w:t>3.2.2</w:t>
            </w:r>
            <w:r w:rsidR="0010384B">
              <w:rPr>
                <w:rFonts w:ascii="Calibri" w:eastAsia="Times New Roman" w:hAnsi="Calibri" w:cs="Times New Roman"/>
                <w:noProof/>
                <w:color w:val="000000" w:themeColor="text1"/>
                <w:sz w:val="22"/>
                <w:lang w:eastAsia="en-AU"/>
              </w:rPr>
              <w:t xml:space="preserve"> </w:t>
            </w:r>
            <w:r w:rsidR="009D683D" w:rsidRPr="009D683D">
              <w:rPr>
                <w:rFonts w:ascii="Calibri" w:eastAsia="Calibri" w:hAnsi="Calibri" w:cs="Times New Roman"/>
                <w:i/>
                <w:iCs/>
                <w:noProof/>
                <w:color w:val="000000" w:themeColor="text1"/>
                <w:szCs w:val="20"/>
              </w:rPr>
              <w:t>Improving Equity and Access to Transplant Services</w:t>
            </w:r>
            <w:r w:rsidR="009D683D" w:rsidRPr="009D683D">
              <w:rPr>
                <w:rFonts w:ascii="Calibri" w:eastAsia="Calibri" w:hAnsi="Calibri" w:cs="Times New Roman"/>
                <w:i/>
                <w:iCs/>
                <w:noProof/>
                <w:webHidden/>
                <w:color w:val="000000" w:themeColor="text1"/>
                <w:szCs w:val="20"/>
              </w:rPr>
              <w:tab/>
            </w:r>
            <w:r w:rsidR="009D683D" w:rsidRPr="009D683D">
              <w:rPr>
                <w:rFonts w:ascii="Calibri" w:eastAsia="Calibri" w:hAnsi="Calibri" w:cs="Times New Roman"/>
                <w:i/>
                <w:iCs/>
                <w:noProof/>
                <w:webHidden/>
                <w:color w:val="000000" w:themeColor="text1"/>
                <w:szCs w:val="20"/>
              </w:rPr>
              <w:fldChar w:fldCharType="begin"/>
            </w:r>
            <w:r w:rsidR="009D683D" w:rsidRPr="009D683D">
              <w:rPr>
                <w:rFonts w:ascii="Calibri" w:eastAsia="Calibri" w:hAnsi="Calibri" w:cs="Times New Roman"/>
                <w:i/>
                <w:iCs/>
                <w:noProof/>
                <w:webHidden/>
                <w:color w:val="000000" w:themeColor="text1"/>
                <w:szCs w:val="20"/>
              </w:rPr>
              <w:instrText xml:space="preserve"> PAGEREF _Toc2585831 \h </w:instrText>
            </w:r>
            <w:r w:rsidR="009D683D" w:rsidRPr="009D683D">
              <w:rPr>
                <w:rFonts w:ascii="Calibri" w:eastAsia="Calibri" w:hAnsi="Calibri" w:cs="Times New Roman"/>
                <w:i/>
                <w:iCs/>
                <w:noProof/>
                <w:webHidden/>
                <w:color w:val="000000" w:themeColor="text1"/>
                <w:szCs w:val="20"/>
              </w:rPr>
            </w:r>
            <w:r w:rsidR="009D683D" w:rsidRPr="009D683D">
              <w:rPr>
                <w:rFonts w:ascii="Calibri" w:eastAsia="Calibri" w:hAnsi="Calibri" w:cs="Times New Roman"/>
                <w:i/>
                <w:iCs/>
                <w:noProof/>
                <w:webHidden/>
                <w:color w:val="000000" w:themeColor="text1"/>
                <w:szCs w:val="20"/>
              </w:rPr>
              <w:fldChar w:fldCharType="separate"/>
            </w:r>
            <w:r w:rsidR="009D683D" w:rsidRPr="009D683D">
              <w:rPr>
                <w:rFonts w:ascii="Calibri" w:eastAsia="Calibri" w:hAnsi="Calibri" w:cs="Times New Roman"/>
                <w:i/>
                <w:iCs/>
                <w:noProof/>
                <w:webHidden/>
                <w:color w:val="000000" w:themeColor="text1"/>
                <w:szCs w:val="20"/>
              </w:rPr>
              <w:t>48</w:t>
            </w:r>
            <w:r w:rsidR="009D683D" w:rsidRPr="009D683D">
              <w:rPr>
                <w:rFonts w:ascii="Calibri" w:eastAsia="Calibri" w:hAnsi="Calibri" w:cs="Times New Roman"/>
                <w:i/>
                <w:iCs/>
                <w:noProof/>
                <w:webHidden/>
                <w:color w:val="000000" w:themeColor="text1"/>
                <w:szCs w:val="20"/>
              </w:rPr>
              <w:fldChar w:fldCharType="end"/>
            </w:r>
          </w:hyperlink>
        </w:p>
        <w:p w14:paraId="6BF7C3A3" w14:textId="5F68CD97" w:rsidR="009D683D" w:rsidRPr="009D683D" w:rsidRDefault="00D32AD3" w:rsidP="00782640">
          <w:pPr>
            <w:numPr>
              <w:ilvl w:val="0"/>
              <w:numId w:val="70"/>
            </w:numPr>
            <w:tabs>
              <w:tab w:val="left" w:pos="1100"/>
              <w:tab w:val="right" w:leader="dot" w:pos="9016"/>
            </w:tabs>
            <w:spacing w:after="0"/>
            <w:ind w:left="440" w:firstLine="0"/>
            <w:rPr>
              <w:rFonts w:ascii="Calibri" w:eastAsia="Times New Roman" w:hAnsi="Calibri" w:cs="Times New Roman"/>
              <w:noProof/>
              <w:color w:val="000000" w:themeColor="text1"/>
              <w:sz w:val="22"/>
              <w:lang w:eastAsia="en-AU"/>
            </w:rPr>
          </w:pPr>
          <w:hyperlink w:anchor="_Toc2585832" w:history="1">
            <w:r w:rsidR="009D683D" w:rsidRPr="009D683D">
              <w:rPr>
                <w:rFonts w:ascii="Calibri" w:eastAsia="Calibri" w:hAnsi="Calibri" w:cs="Times New Roman"/>
                <w:i/>
                <w:iCs/>
                <w:noProof/>
                <w:color w:val="000000" w:themeColor="text1"/>
                <w:szCs w:val="20"/>
                <w14:scene3d>
                  <w14:camera w14:prst="orthographicFront"/>
                  <w14:lightRig w14:rig="threePt" w14:dir="t">
                    <w14:rot w14:lat="0" w14:lon="0" w14:rev="0"/>
                  </w14:lightRig>
                </w14:scene3d>
              </w:rPr>
              <w:t>3.2.3</w:t>
            </w:r>
            <w:r w:rsidR="0010384B">
              <w:rPr>
                <w:rFonts w:ascii="Calibri" w:eastAsia="Times New Roman" w:hAnsi="Calibri" w:cs="Times New Roman"/>
                <w:noProof/>
                <w:color w:val="000000" w:themeColor="text1"/>
                <w:sz w:val="22"/>
                <w:lang w:eastAsia="en-AU"/>
              </w:rPr>
              <w:t xml:space="preserve"> </w:t>
            </w:r>
            <w:r w:rsidR="009D683D" w:rsidRPr="009D683D">
              <w:rPr>
                <w:rFonts w:ascii="Calibri" w:eastAsia="Calibri" w:hAnsi="Calibri" w:cs="Times New Roman"/>
                <w:i/>
                <w:iCs/>
                <w:noProof/>
                <w:color w:val="000000" w:themeColor="text1"/>
                <w:szCs w:val="20"/>
              </w:rPr>
              <w:t>Researching, Developing and Implementing Clinical Guidelines and Protocols</w:t>
            </w:r>
            <w:r w:rsidR="009D683D" w:rsidRPr="009D683D">
              <w:rPr>
                <w:rFonts w:ascii="Calibri" w:eastAsia="Calibri" w:hAnsi="Calibri" w:cs="Times New Roman"/>
                <w:i/>
                <w:iCs/>
                <w:noProof/>
                <w:webHidden/>
                <w:color w:val="000000" w:themeColor="text1"/>
                <w:szCs w:val="20"/>
              </w:rPr>
              <w:tab/>
            </w:r>
            <w:r w:rsidR="009D683D" w:rsidRPr="009D683D">
              <w:rPr>
                <w:rFonts w:ascii="Calibri" w:eastAsia="Calibri" w:hAnsi="Calibri" w:cs="Times New Roman"/>
                <w:i/>
                <w:iCs/>
                <w:noProof/>
                <w:webHidden/>
                <w:color w:val="000000" w:themeColor="text1"/>
                <w:szCs w:val="20"/>
              </w:rPr>
              <w:fldChar w:fldCharType="begin"/>
            </w:r>
            <w:r w:rsidR="009D683D" w:rsidRPr="009D683D">
              <w:rPr>
                <w:rFonts w:ascii="Calibri" w:eastAsia="Calibri" w:hAnsi="Calibri" w:cs="Times New Roman"/>
                <w:i/>
                <w:iCs/>
                <w:noProof/>
                <w:webHidden/>
                <w:color w:val="000000" w:themeColor="text1"/>
                <w:szCs w:val="20"/>
              </w:rPr>
              <w:instrText xml:space="preserve"> PAGEREF _Toc2585832 \h </w:instrText>
            </w:r>
            <w:r w:rsidR="009D683D" w:rsidRPr="009D683D">
              <w:rPr>
                <w:rFonts w:ascii="Calibri" w:eastAsia="Calibri" w:hAnsi="Calibri" w:cs="Times New Roman"/>
                <w:i/>
                <w:iCs/>
                <w:noProof/>
                <w:webHidden/>
                <w:color w:val="000000" w:themeColor="text1"/>
                <w:szCs w:val="20"/>
              </w:rPr>
            </w:r>
            <w:r w:rsidR="009D683D" w:rsidRPr="009D683D">
              <w:rPr>
                <w:rFonts w:ascii="Calibri" w:eastAsia="Calibri" w:hAnsi="Calibri" w:cs="Times New Roman"/>
                <w:i/>
                <w:iCs/>
                <w:noProof/>
                <w:webHidden/>
                <w:color w:val="000000" w:themeColor="text1"/>
                <w:szCs w:val="20"/>
              </w:rPr>
              <w:fldChar w:fldCharType="separate"/>
            </w:r>
            <w:r w:rsidR="009D683D" w:rsidRPr="009D683D">
              <w:rPr>
                <w:rFonts w:ascii="Calibri" w:eastAsia="Calibri" w:hAnsi="Calibri" w:cs="Times New Roman"/>
                <w:i/>
                <w:iCs/>
                <w:noProof/>
                <w:webHidden/>
                <w:color w:val="000000" w:themeColor="text1"/>
                <w:szCs w:val="20"/>
              </w:rPr>
              <w:t>51</w:t>
            </w:r>
            <w:r w:rsidR="009D683D" w:rsidRPr="009D683D">
              <w:rPr>
                <w:rFonts w:ascii="Calibri" w:eastAsia="Calibri" w:hAnsi="Calibri" w:cs="Times New Roman"/>
                <w:i/>
                <w:iCs/>
                <w:noProof/>
                <w:webHidden/>
                <w:color w:val="000000" w:themeColor="text1"/>
                <w:szCs w:val="20"/>
              </w:rPr>
              <w:fldChar w:fldCharType="end"/>
            </w:r>
          </w:hyperlink>
        </w:p>
        <w:p w14:paraId="1B192939" w14:textId="7AC8174B" w:rsidR="009D683D" w:rsidRPr="009D683D" w:rsidRDefault="00D32AD3" w:rsidP="00782640">
          <w:pPr>
            <w:numPr>
              <w:ilvl w:val="0"/>
              <w:numId w:val="70"/>
            </w:numPr>
            <w:tabs>
              <w:tab w:val="left" w:pos="1100"/>
              <w:tab w:val="right" w:leader="dot" w:pos="9016"/>
            </w:tabs>
            <w:spacing w:after="0"/>
            <w:ind w:left="440" w:firstLine="0"/>
            <w:rPr>
              <w:rFonts w:ascii="Calibri" w:eastAsia="Times New Roman" w:hAnsi="Calibri" w:cs="Times New Roman"/>
              <w:noProof/>
              <w:color w:val="000000" w:themeColor="text1"/>
              <w:sz w:val="22"/>
              <w:lang w:eastAsia="en-AU"/>
            </w:rPr>
          </w:pPr>
          <w:hyperlink w:anchor="_Toc2585833" w:history="1">
            <w:r w:rsidR="009D683D" w:rsidRPr="009D683D">
              <w:rPr>
                <w:rFonts w:ascii="Calibri" w:eastAsia="Calibri" w:hAnsi="Calibri" w:cs="Times New Roman"/>
                <w:i/>
                <w:iCs/>
                <w:noProof/>
                <w:color w:val="000000" w:themeColor="text1"/>
                <w:szCs w:val="20"/>
                <w14:scene3d>
                  <w14:camera w14:prst="orthographicFront"/>
                  <w14:lightRig w14:rig="threePt" w14:dir="t">
                    <w14:rot w14:lat="0" w14:lon="0" w14:rev="0"/>
                  </w14:lightRig>
                </w14:scene3d>
              </w:rPr>
              <w:t>3.2.4</w:t>
            </w:r>
            <w:r w:rsidR="0010384B">
              <w:rPr>
                <w:rFonts w:ascii="Calibri" w:eastAsia="Times New Roman" w:hAnsi="Calibri" w:cs="Times New Roman"/>
                <w:noProof/>
                <w:color w:val="000000" w:themeColor="text1"/>
                <w:sz w:val="22"/>
                <w:lang w:eastAsia="en-AU"/>
              </w:rPr>
              <w:t xml:space="preserve"> </w:t>
            </w:r>
            <w:r w:rsidR="009D683D" w:rsidRPr="009D683D">
              <w:rPr>
                <w:rFonts w:ascii="Calibri" w:eastAsia="Calibri" w:hAnsi="Calibri" w:cs="Times New Roman"/>
                <w:i/>
                <w:iCs/>
                <w:noProof/>
                <w:color w:val="000000" w:themeColor="text1"/>
                <w:szCs w:val="20"/>
              </w:rPr>
              <w:t>Workforce Training and Development</w:t>
            </w:r>
            <w:r w:rsidR="009D683D" w:rsidRPr="009D683D">
              <w:rPr>
                <w:rFonts w:ascii="Calibri" w:eastAsia="Calibri" w:hAnsi="Calibri" w:cs="Times New Roman"/>
                <w:i/>
                <w:iCs/>
                <w:noProof/>
                <w:webHidden/>
                <w:color w:val="000000" w:themeColor="text1"/>
                <w:szCs w:val="20"/>
              </w:rPr>
              <w:tab/>
            </w:r>
            <w:r w:rsidR="009D683D" w:rsidRPr="009D683D">
              <w:rPr>
                <w:rFonts w:ascii="Calibri" w:eastAsia="Calibri" w:hAnsi="Calibri" w:cs="Times New Roman"/>
                <w:i/>
                <w:iCs/>
                <w:noProof/>
                <w:webHidden/>
                <w:color w:val="000000" w:themeColor="text1"/>
                <w:szCs w:val="20"/>
              </w:rPr>
              <w:fldChar w:fldCharType="begin"/>
            </w:r>
            <w:r w:rsidR="009D683D" w:rsidRPr="009D683D">
              <w:rPr>
                <w:rFonts w:ascii="Calibri" w:eastAsia="Calibri" w:hAnsi="Calibri" w:cs="Times New Roman"/>
                <w:i/>
                <w:iCs/>
                <w:noProof/>
                <w:webHidden/>
                <w:color w:val="000000" w:themeColor="text1"/>
                <w:szCs w:val="20"/>
              </w:rPr>
              <w:instrText xml:space="preserve"> PAGEREF _Toc2585833 \h </w:instrText>
            </w:r>
            <w:r w:rsidR="009D683D" w:rsidRPr="009D683D">
              <w:rPr>
                <w:rFonts w:ascii="Calibri" w:eastAsia="Calibri" w:hAnsi="Calibri" w:cs="Times New Roman"/>
                <w:i/>
                <w:iCs/>
                <w:noProof/>
                <w:webHidden/>
                <w:color w:val="000000" w:themeColor="text1"/>
                <w:szCs w:val="20"/>
              </w:rPr>
            </w:r>
            <w:r w:rsidR="009D683D" w:rsidRPr="009D683D">
              <w:rPr>
                <w:rFonts w:ascii="Calibri" w:eastAsia="Calibri" w:hAnsi="Calibri" w:cs="Times New Roman"/>
                <w:i/>
                <w:iCs/>
                <w:noProof/>
                <w:webHidden/>
                <w:color w:val="000000" w:themeColor="text1"/>
                <w:szCs w:val="20"/>
              </w:rPr>
              <w:fldChar w:fldCharType="separate"/>
            </w:r>
            <w:r w:rsidR="009D683D" w:rsidRPr="009D683D">
              <w:rPr>
                <w:rFonts w:ascii="Calibri" w:eastAsia="Calibri" w:hAnsi="Calibri" w:cs="Times New Roman"/>
                <w:i/>
                <w:iCs/>
                <w:noProof/>
                <w:webHidden/>
                <w:color w:val="000000" w:themeColor="text1"/>
                <w:szCs w:val="20"/>
              </w:rPr>
              <w:t>52</w:t>
            </w:r>
            <w:r w:rsidR="009D683D" w:rsidRPr="009D683D">
              <w:rPr>
                <w:rFonts w:ascii="Calibri" w:eastAsia="Calibri" w:hAnsi="Calibri" w:cs="Times New Roman"/>
                <w:i/>
                <w:iCs/>
                <w:noProof/>
                <w:webHidden/>
                <w:color w:val="000000" w:themeColor="text1"/>
                <w:szCs w:val="20"/>
              </w:rPr>
              <w:fldChar w:fldCharType="end"/>
            </w:r>
          </w:hyperlink>
        </w:p>
        <w:p w14:paraId="2F4F1D7D" w14:textId="77777777" w:rsidR="009D683D" w:rsidRPr="009D683D" w:rsidRDefault="00D32AD3" w:rsidP="009D683D">
          <w:pPr>
            <w:tabs>
              <w:tab w:val="left" w:pos="440"/>
              <w:tab w:val="right" w:leader="dot" w:pos="9016"/>
            </w:tabs>
            <w:spacing w:before="120" w:after="120" w:line="240" w:lineRule="auto"/>
            <w:rPr>
              <w:rFonts w:ascii="Calibri" w:eastAsia="Times New Roman" w:hAnsi="Calibri" w:cs="Times New Roman"/>
              <w:noProof/>
              <w:color w:val="000000" w:themeColor="text1"/>
              <w:sz w:val="22"/>
              <w:lang w:eastAsia="en-AU"/>
            </w:rPr>
          </w:pPr>
          <w:hyperlink w:anchor="_Toc2585834" w:history="1">
            <w:r w:rsidR="009D683D" w:rsidRPr="009D683D">
              <w:rPr>
                <w:rFonts w:ascii="Calibri" w:eastAsia="Calibri" w:hAnsi="Calibri" w:cs="Times New Roman"/>
                <w:b/>
                <w:bCs/>
                <w:caps/>
                <w:noProof/>
                <w:color w:val="000000" w:themeColor="text1"/>
                <w:szCs w:val="20"/>
                <w14:scene3d>
                  <w14:camera w14:prst="orthographicFront"/>
                  <w14:lightRig w14:rig="threePt" w14:dir="t">
                    <w14:rot w14:lat="0" w14:lon="0" w14:rev="0"/>
                  </w14:lightRig>
                </w14:scene3d>
              </w:rPr>
              <w:t>4.</w:t>
            </w:r>
            <w:r w:rsidR="009D683D" w:rsidRPr="009D683D">
              <w:rPr>
                <w:rFonts w:ascii="Calibri" w:eastAsia="Times New Roman" w:hAnsi="Calibri" w:cs="Times New Roman"/>
                <w:noProof/>
                <w:color w:val="000000" w:themeColor="text1"/>
                <w:sz w:val="22"/>
                <w:lang w:eastAsia="en-AU"/>
              </w:rPr>
              <w:tab/>
            </w:r>
            <w:r w:rsidR="009D683D" w:rsidRPr="009D683D">
              <w:rPr>
                <w:rFonts w:ascii="Calibri" w:eastAsia="Calibri" w:hAnsi="Calibri" w:cs="Times New Roman"/>
                <w:b/>
                <w:bCs/>
                <w:caps/>
                <w:noProof/>
                <w:color w:val="000000" w:themeColor="text1"/>
                <w:szCs w:val="20"/>
              </w:rPr>
              <w:t>Post-Transplant Knowledge Gaps and Recommendations</w:t>
            </w:r>
            <w:r w:rsidR="009D683D" w:rsidRPr="009D683D">
              <w:rPr>
                <w:rFonts w:ascii="Calibri" w:eastAsia="Calibri" w:hAnsi="Calibri" w:cs="Times New Roman"/>
                <w:b/>
                <w:bCs/>
                <w:caps/>
                <w:noProof/>
                <w:webHidden/>
                <w:color w:val="000000" w:themeColor="text1"/>
                <w:szCs w:val="20"/>
              </w:rPr>
              <w:tab/>
            </w:r>
            <w:r w:rsidR="009D683D" w:rsidRPr="009D683D">
              <w:rPr>
                <w:rFonts w:ascii="Calibri" w:eastAsia="Calibri" w:hAnsi="Calibri" w:cs="Times New Roman"/>
                <w:b/>
                <w:bCs/>
                <w:caps/>
                <w:noProof/>
                <w:webHidden/>
                <w:color w:val="000000" w:themeColor="text1"/>
                <w:szCs w:val="20"/>
              </w:rPr>
              <w:fldChar w:fldCharType="begin"/>
            </w:r>
            <w:r w:rsidR="009D683D" w:rsidRPr="009D683D">
              <w:rPr>
                <w:rFonts w:ascii="Calibri" w:eastAsia="Calibri" w:hAnsi="Calibri" w:cs="Times New Roman"/>
                <w:b/>
                <w:bCs/>
                <w:caps/>
                <w:noProof/>
                <w:webHidden/>
                <w:color w:val="000000" w:themeColor="text1"/>
                <w:szCs w:val="20"/>
              </w:rPr>
              <w:instrText xml:space="preserve"> PAGEREF _Toc2585834 \h </w:instrText>
            </w:r>
            <w:r w:rsidR="009D683D" w:rsidRPr="009D683D">
              <w:rPr>
                <w:rFonts w:ascii="Calibri" w:eastAsia="Calibri" w:hAnsi="Calibri" w:cs="Times New Roman"/>
                <w:b/>
                <w:bCs/>
                <w:caps/>
                <w:noProof/>
                <w:webHidden/>
                <w:color w:val="000000" w:themeColor="text1"/>
                <w:szCs w:val="20"/>
              </w:rPr>
            </w:r>
            <w:r w:rsidR="009D683D" w:rsidRPr="009D683D">
              <w:rPr>
                <w:rFonts w:ascii="Calibri" w:eastAsia="Calibri" w:hAnsi="Calibri" w:cs="Times New Roman"/>
                <w:b/>
                <w:bCs/>
                <w:caps/>
                <w:noProof/>
                <w:webHidden/>
                <w:color w:val="000000" w:themeColor="text1"/>
                <w:szCs w:val="20"/>
              </w:rPr>
              <w:fldChar w:fldCharType="separate"/>
            </w:r>
            <w:r w:rsidR="009D683D" w:rsidRPr="009D683D">
              <w:rPr>
                <w:rFonts w:ascii="Calibri" w:eastAsia="Calibri" w:hAnsi="Calibri" w:cs="Times New Roman"/>
                <w:b/>
                <w:bCs/>
                <w:caps/>
                <w:noProof/>
                <w:webHidden/>
                <w:color w:val="000000" w:themeColor="text1"/>
                <w:szCs w:val="20"/>
              </w:rPr>
              <w:t>53</w:t>
            </w:r>
            <w:r w:rsidR="009D683D" w:rsidRPr="009D683D">
              <w:rPr>
                <w:rFonts w:ascii="Calibri" w:eastAsia="Calibri" w:hAnsi="Calibri" w:cs="Times New Roman"/>
                <w:b/>
                <w:bCs/>
                <w:caps/>
                <w:noProof/>
                <w:webHidden/>
                <w:color w:val="000000" w:themeColor="text1"/>
                <w:szCs w:val="20"/>
              </w:rPr>
              <w:fldChar w:fldCharType="end"/>
            </w:r>
          </w:hyperlink>
        </w:p>
        <w:p w14:paraId="092B1D94" w14:textId="77777777" w:rsidR="009D683D" w:rsidRPr="009D683D" w:rsidRDefault="00D32AD3" w:rsidP="009D683D">
          <w:pPr>
            <w:tabs>
              <w:tab w:val="left" w:pos="880"/>
              <w:tab w:val="right" w:leader="dot" w:pos="9016"/>
            </w:tabs>
            <w:spacing w:after="0"/>
            <w:ind w:left="220"/>
            <w:rPr>
              <w:rFonts w:ascii="Calibri" w:eastAsia="Times New Roman" w:hAnsi="Calibri" w:cs="Times New Roman"/>
              <w:noProof/>
              <w:color w:val="000000" w:themeColor="text1"/>
              <w:sz w:val="22"/>
              <w:lang w:eastAsia="en-AU"/>
            </w:rPr>
          </w:pPr>
          <w:hyperlink w:anchor="_Toc2585835" w:history="1">
            <w:r w:rsidR="009D683D" w:rsidRPr="009D683D">
              <w:rPr>
                <w:rFonts w:ascii="Calibri" w:eastAsia="Calibri" w:hAnsi="Calibri" w:cs="Times New Roman"/>
                <w:smallCaps/>
                <w:noProof/>
                <w:color w:val="000000" w:themeColor="text1"/>
                <w:szCs w:val="20"/>
                <w14:scene3d>
                  <w14:camera w14:prst="orthographicFront"/>
                  <w14:lightRig w14:rig="threePt" w14:dir="t">
                    <w14:rot w14:lat="0" w14:lon="0" w14:rev="0"/>
                  </w14:lightRig>
                </w14:scene3d>
              </w:rPr>
              <w:t>4.1</w:t>
            </w:r>
            <w:r w:rsidR="009D683D" w:rsidRPr="009D683D">
              <w:rPr>
                <w:rFonts w:ascii="Calibri" w:eastAsia="Times New Roman" w:hAnsi="Calibri" w:cs="Times New Roman"/>
                <w:noProof/>
                <w:color w:val="000000" w:themeColor="text1"/>
                <w:sz w:val="22"/>
                <w:lang w:eastAsia="en-AU"/>
              </w:rPr>
              <w:tab/>
            </w:r>
            <w:r w:rsidR="009D683D" w:rsidRPr="009D683D">
              <w:rPr>
                <w:rFonts w:ascii="Calibri" w:eastAsia="Calibri" w:hAnsi="Calibri" w:cs="Times New Roman"/>
                <w:smallCaps/>
                <w:noProof/>
                <w:color w:val="000000" w:themeColor="text1"/>
                <w:szCs w:val="20"/>
              </w:rPr>
              <w:t>Knowledge and data gaps</w:t>
            </w:r>
            <w:r w:rsidR="009D683D" w:rsidRPr="009D683D">
              <w:rPr>
                <w:rFonts w:ascii="Calibri" w:eastAsia="Calibri" w:hAnsi="Calibri" w:cs="Times New Roman"/>
                <w:smallCaps/>
                <w:noProof/>
                <w:webHidden/>
                <w:color w:val="000000" w:themeColor="text1"/>
                <w:szCs w:val="20"/>
              </w:rPr>
              <w:tab/>
            </w:r>
            <w:r w:rsidR="009D683D" w:rsidRPr="009D683D">
              <w:rPr>
                <w:rFonts w:ascii="Calibri" w:eastAsia="Calibri" w:hAnsi="Calibri" w:cs="Times New Roman"/>
                <w:smallCaps/>
                <w:noProof/>
                <w:webHidden/>
                <w:color w:val="000000" w:themeColor="text1"/>
                <w:szCs w:val="20"/>
              </w:rPr>
              <w:fldChar w:fldCharType="begin"/>
            </w:r>
            <w:r w:rsidR="009D683D" w:rsidRPr="009D683D">
              <w:rPr>
                <w:rFonts w:ascii="Calibri" w:eastAsia="Calibri" w:hAnsi="Calibri" w:cs="Times New Roman"/>
                <w:smallCaps/>
                <w:noProof/>
                <w:webHidden/>
                <w:color w:val="000000" w:themeColor="text1"/>
                <w:szCs w:val="20"/>
              </w:rPr>
              <w:instrText xml:space="preserve"> PAGEREF _Toc2585835 \h </w:instrText>
            </w:r>
            <w:r w:rsidR="009D683D" w:rsidRPr="009D683D">
              <w:rPr>
                <w:rFonts w:ascii="Calibri" w:eastAsia="Calibri" w:hAnsi="Calibri" w:cs="Times New Roman"/>
                <w:smallCaps/>
                <w:noProof/>
                <w:webHidden/>
                <w:color w:val="000000" w:themeColor="text1"/>
                <w:szCs w:val="20"/>
              </w:rPr>
            </w:r>
            <w:r w:rsidR="009D683D" w:rsidRPr="009D683D">
              <w:rPr>
                <w:rFonts w:ascii="Calibri" w:eastAsia="Calibri" w:hAnsi="Calibri" w:cs="Times New Roman"/>
                <w:smallCaps/>
                <w:noProof/>
                <w:webHidden/>
                <w:color w:val="000000" w:themeColor="text1"/>
                <w:szCs w:val="20"/>
              </w:rPr>
              <w:fldChar w:fldCharType="separate"/>
            </w:r>
            <w:r w:rsidR="009D683D" w:rsidRPr="009D683D">
              <w:rPr>
                <w:rFonts w:ascii="Calibri" w:eastAsia="Calibri" w:hAnsi="Calibri" w:cs="Times New Roman"/>
                <w:smallCaps/>
                <w:noProof/>
                <w:webHidden/>
                <w:color w:val="000000" w:themeColor="text1"/>
                <w:szCs w:val="20"/>
              </w:rPr>
              <w:t>53</w:t>
            </w:r>
            <w:r w:rsidR="009D683D" w:rsidRPr="009D683D">
              <w:rPr>
                <w:rFonts w:ascii="Calibri" w:eastAsia="Calibri" w:hAnsi="Calibri" w:cs="Times New Roman"/>
                <w:smallCaps/>
                <w:noProof/>
                <w:webHidden/>
                <w:color w:val="000000" w:themeColor="text1"/>
                <w:szCs w:val="20"/>
              </w:rPr>
              <w:fldChar w:fldCharType="end"/>
            </w:r>
          </w:hyperlink>
        </w:p>
        <w:p w14:paraId="561A7016" w14:textId="53999656" w:rsidR="009D683D" w:rsidRPr="009D683D" w:rsidRDefault="00D32AD3" w:rsidP="00782640">
          <w:pPr>
            <w:numPr>
              <w:ilvl w:val="0"/>
              <w:numId w:val="70"/>
            </w:numPr>
            <w:tabs>
              <w:tab w:val="left" w:pos="1100"/>
              <w:tab w:val="right" w:leader="dot" w:pos="9016"/>
            </w:tabs>
            <w:spacing w:after="0"/>
            <w:ind w:left="440" w:firstLine="0"/>
            <w:rPr>
              <w:rFonts w:ascii="Calibri" w:eastAsia="Times New Roman" w:hAnsi="Calibri" w:cs="Times New Roman"/>
              <w:noProof/>
              <w:color w:val="000000" w:themeColor="text1"/>
              <w:sz w:val="22"/>
              <w:lang w:eastAsia="en-AU"/>
            </w:rPr>
          </w:pPr>
          <w:hyperlink w:anchor="_Toc2585836" w:history="1">
            <w:r w:rsidR="009D683D" w:rsidRPr="009D683D">
              <w:rPr>
                <w:rFonts w:ascii="Calibri" w:eastAsia="Calibri" w:hAnsi="Calibri" w:cs="Times New Roman"/>
                <w:i/>
                <w:iCs/>
                <w:noProof/>
                <w:color w:val="000000" w:themeColor="text1"/>
                <w:szCs w:val="20"/>
                <w14:scene3d>
                  <w14:camera w14:prst="orthographicFront"/>
                  <w14:lightRig w14:rig="threePt" w14:dir="t">
                    <w14:rot w14:lat="0" w14:lon="0" w14:rev="0"/>
                  </w14:lightRig>
                </w14:scene3d>
              </w:rPr>
              <w:t>4.1.1</w:t>
            </w:r>
            <w:r w:rsidR="0010384B">
              <w:rPr>
                <w:rFonts w:ascii="Calibri" w:eastAsia="Times New Roman" w:hAnsi="Calibri" w:cs="Times New Roman"/>
                <w:noProof/>
                <w:color w:val="000000" w:themeColor="text1"/>
                <w:sz w:val="22"/>
                <w:lang w:eastAsia="en-AU"/>
              </w:rPr>
              <w:t xml:space="preserve"> </w:t>
            </w:r>
            <w:r w:rsidR="009D683D" w:rsidRPr="009D683D">
              <w:rPr>
                <w:rFonts w:ascii="Calibri" w:eastAsia="Calibri" w:hAnsi="Calibri" w:cs="Times New Roman"/>
                <w:i/>
                <w:iCs/>
                <w:noProof/>
                <w:color w:val="000000" w:themeColor="text1"/>
                <w:szCs w:val="20"/>
              </w:rPr>
              <w:t>Models of Care</w:t>
            </w:r>
            <w:r w:rsidR="009D683D" w:rsidRPr="009D683D">
              <w:rPr>
                <w:rFonts w:ascii="Calibri" w:eastAsia="Calibri" w:hAnsi="Calibri" w:cs="Times New Roman"/>
                <w:i/>
                <w:iCs/>
                <w:noProof/>
                <w:webHidden/>
                <w:color w:val="000000" w:themeColor="text1"/>
                <w:szCs w:val="20"/>
              </w:rPr>
              <w:tab/>
            </w:r>
            <w:r w:rsidR="009D683D" w:rsidRPr="009D683D">
              <w:rPr>
                <w:rFonts w:ascii="Calibri" w:eastAsia="Calibri" w:hAnsi="Calibri" w:cs="Times New Roman"/>
                <w:i/>
                <w:iCs/>
                <w:noProof/>
                <w:webHidden/>
                <w:color w:val="000000" w:themeColor="text1"/>
                <w:szCs w:val="20"/>
              </w:rPr>
              <w:fldChar w:fldCharType="begin"/>
            </w:r>
            <w:r w:rsidR="009D683D" w:rsidRPr="009D683D">
              <w:rPr>
                <w:rFonts w:ascii="Calibri" w:eastAsia="Calibri" w:hAnsi="Calibri" w:cs="Times New Roman"/>
                <w:i/>
                <w:iCs/>
                <w:noProof/>
                <w:webHidden/>
                <w:color w:val="000000" w:themeColor="text1"/>
                <w:szCs w:val="20"/>
              </w:rPr>
              <w:instrText xml:space="preserve"> PAGEREF _Toc2585836 \h </w:instrText>
            </w:r>
            <w:r w:rsidR="009D683D" w:rsidRPr="009D683D">
              <w:rPr>
                <w:rFonts w:ascii="Calibri" w:eastAsia="Calibri" w:hAnsi="Calibri" w:cs="Times New Roman"/>
                <w:i/>
                <w:iCs/>
                <w:noProof/>
                <w:webHidden/>
                <w:color w:val="000000" w:themeColor="text1"/>
                <w:szCs w:val="20"/>
              </w:rPr>
            </w:r>
            <w:r w:rsidR="009D683D" w:rsidRPr="009D683D">
              <w:rPr>
                <w:rFonts w:ascii="Calibri" w:eastAsia="Calibri" w:hAnsi="Calibri" w:cs="Times New Roman"/>
                <w:i/>
                <w:iCs/>
                <w:noProof/>
                <w:webHidden/>
                <w:color w:val="000000" w:themeColor="text1"/>
                <w:szCs w:val="20"/>
              </w:rPr>
              <w:fldChar w:fldCharType="separate"/>
            </w:r>
            <w:r w:rsidR="009D683D" w:rsidRPr="009D683D">
              <w:rPr>
                <w:rFonts w:ascii="Calibri" w:eastAsia="Calibri" w:hAnsi="Calibri" w:cs="Times New Roman"/>
                <w:i/>
                <w:iCs/>
                <w:noProof/>
                <w:webHidden/>
                <w:color w:val="000000" w:themeColor="text1"/>
                <w:szCs w:val="20"/>
              </w:rPr>
              <w:t>53</w:t>
            </w:r>
            <w:r w:rsidR="009D683D" w:rsidRPr="009D683D">
              <w:rPr>
                <w:rFonts w:ascii="Calibri" w:eastAsia="Calibri" w:hAnsi="Calibri" w:cs="Times New Roman"/>
                <w:i/>
                <w:iCs/>
                <w:noProof/>
                <w:webHidden/>
                <w:color w:val="000000" w:themeColor="text1"/>
                <w:szCs w:val="20"/>
              </w:rPr>
              <w:fldChar w:fldCharType="end"/>
            </w:r>
          </w:hyperlink>
        </w:p>
        <w:p w14:paraId="4F4AD41B" w14:textId="3792BD61" w:rsidR="009D683D" w:rsidRPr="009D683D" w:rsidRDefault="00D32AD3" w:rsidP="00782640">
          <w:pPr>
            <w:numPr>
              <w:ilvl w:val="0"/>
              <w:numId w:val="70"/>
            </w:numPr>
            <w:tabs>
              <w:tab w:val="left" w:pos="1100"/>
              <w:tab w:val="right" w:leader="dot" w:pos="9016"/>
            </w:tabs>
            <w:spacing w:after="0"/>
            <w:ind w:left="440" w:firstLine="0"/>
            <w:rPr>
              <w:rFonts w:ascii="Calibri" w:eastAsia="Times New Roman" w:hAnsi="Calibri" w:cs="Times New Roman"/>
              <w:noProof/>
              <w:color w:val="000000" w:themeColor="text1"/>
              <w:sz w:val="22"/>
              <w:lang w:eastAsia="en-AU"/>
            </w:rPr>
          </w:pPr>
          <w:hyperlink w:anchor="_Toc2585837" w:history="1">
            <w:r w:rsidR="009D683D" w:rsidRPr="009D683D">
              <w:rPr>
                <w:rFonts w:ascii="Calibri" w:eastAsia="Calibri" w:hAnsi="Calibri" w:cs="Times New Roman"/>
                <w:i/>
                <w:iCs/>
                <w:noProof/>
                <w:color w:val="000000" w:themeColor="text1"/>
                <w:szCs w:val="20"/>
                <w14:scene3d>
                  <w14:camera w14:prst="orthographicFront"/>
                  <w14:lightRig w14:rig="threePt" w14:dir="t">
                    <w14:rot w14:lat="0" w14:lon="0" w14:rev="0"/>
                  </w14:lightRig>
                </w14:scene3d>
              </w:rPr>
              <w:t>4.1.2</w:t>
            </w:r>
            <w:r w:rsidR="0010384B">
              <w:rPr>
                <w:rFonts w:ascii="Calibri" w:eastAsia="Times New Roman" w:hAnsi="Calibri" w:cs="Times New Roman"/>
                <w:noProof/>
                <w:color w:val="000000" w:themeColor="text1"/>
                <w:sz w:val="22"/>
                <w:lang w:eastAsia="en-AU"/>
              </w:rPr>
              <w:t xml:space="preserve"> </w:t>
            </w:r>
            <w:r w:rsidR="009D683D" w:rsidRPr="009D683D">
              <w:rPr>
                <w:rFonts w:ascii="Calibri" w:eastAsia="Calibri" w:hAnsi="Calibri" w:cs="Times New Roman"/>
                <w:i/>
                <w:iCs/>
                <w:noProof/>
                <w:color w:val="000000" w:themeColor="text1"/>
                <w:szCs w:val="20"/>
              </w:rPr>
              <w:t>Immunosuppression</w:t>
            </w:r>
            <w:r w:rsidR="009D683D" w:rsidRPr="009D683D">
              <w:rPr>
                <w:rFonts w:ascii="Calibri" w:eastAsia="Calibri" w:hAnsi="Calibri" w:cs="Times New Roman"/>
                <w:i/>
                <w:iCs/>
                <w:noProof/>
                <w:webHidden/>
                <w:color w:val="000000" w:themeColor="text1"/>
                <w:szCs w:val="20"/>
              </w:rPr>
              <w:tab/>
            </w:r>
            <w:r w:rsidR="009D683D" w:rsidRPr="009D683D">
              <w:rPr>
                <w:rFonts w:ascii="Calibri" w:eastAsia="Calibri" w:hAnsi="Calibri" w:cs="Times New Roman"/>
                <w:i/>
                <w:iCs/>
                <w:noProof/>
                <w:webHidden/>
                <w:color w:val="000000" w:themeColor="text1"/>
                <w:szCs w:val="20"/>
              </w:rPr>
              <w:fldChar w:fldCharType="begin"/>
            </w:r>
            <w:r w:rsidR="009D683D" w:rsidRPr="009D683D">
              <w:rPr>
                <w:rFonts w:ascii="Calibri" w:eastAsia="Calibri" w:hAnsi="Calibri" w:cs="Times New Roman"/>
                <w:i/>
                <w:iCs/>
                <w:noProof/>
                <w:webHidden/>
                <w:color w:val="000000" w:themeColor="text1"/>
                <w:szCs w:val="20"/>
              </w:rPr>
              <w:instrText xml:space="preserve"> PAGEREF _Toc2585837 \h </w:instrText>
            </w:r>
            <w:r w:rsidR="009D683D" w:rsidRPr="009D683D">
              <w:rPr>
                <w:rFonts w:ascii="Calibri" w:eastAsia="Calibri" w:hAnsi="Calibri" w:cs="Times New Roman"/>
                <w:i/>
                <w:iCs/>
                <w:noProof/>
                <w:webHidden/>
                <w:color w:val="000000" w:themeColor="text1"/>
                <w:szCs w:val="20"/>
              </w:rPr>
            </w:r>
            <w:r w:rsidR="009D683D" w:rsidRPr="009D683D">
              <w:rPr>
                <w:rFonts w:ascii="Calibri" w:eastAsia="Calibri" w:hAnsi="Calibri" w:cs="Times New Roman"/>
                <w:i/>
                <w:iCs/>
                <w:noProof/>
                <w:webHidden/>
                <w:color w:val="000000" w:themeColor="text1"/>
                <w:szCs w:val="20"/>
              </w:rPr>
              <w:fldChar w:fldCharType="separate"/>
            </w:r>
            <w:r w:rsidR="009D683D" w:rsidRPr="009D683D">
              <w:rPr>
                <w:rFonts w:ascii="Calibri" w:eastAsia="Calibri" w:hAnsi="Calibri" w:cs="Times New Roman"/>
                <w:i/>
                <w:iCs/>
                <w:noProof/>
                <w:webHidden/>
                <w:color w:val="000000" w:themeColor="text1"/>
                <w:szCs w:val="20"/>
              </w:rPr>
              <w:t>54</w:t>
            </w:r>
            <w:r w:rsidR="009D683D" w:rsidRPr="009D683D">
              <w:rPr>
                <w:rFonts w:ascii="Calibri" w:eastAsia="Calibri" w:hAnsi="Calibri" w:cs="Times New Roman"/>
                <w:i/>
                <w:iCs/>
                <w:noProof/>
                <w:webHidden/>
                <w:color w:val="000000" w:themeColor="text1"/>
                <w:szCs w:val="20"/>
              </w:rPr>
              <w:fldChar w:fldCharType="end"/>
            </w:r>
          </w:hyperlink>
        </w:p>
        <w:p w14:paraId="04B80107" w14:textId="7D0468FF" w:rsidR="009D683D" w:rsidRPr="009D683D" w:rsidRDefault="00D32AD3" w:rsidP="00782640">
          <w:pPr>
            <w:numPr>
              <w:ilvl w:val="0"/>
              <w:numId w:val="70"/>
            </w:numPr>
            <w:tabs>
              <w:tab w:val="left" w:pos="1100"/>
              <w:tab w:val="right" w:leader="dot" w:pos="9016"/>
            </w:tabs>
            <w:spacing w:after="0"/>
            <w:ind w:left="440" w:firstLine="0"/>
            <w:rPr>
              <w:rFonts w:ascii="Calibri" w:eastAsia="Times New Roman" w:hAnsi="Calibri" w:cs="Times New Roman"/>
              <w:noProof/>
              <w:color w:val="000000" w:themeColor="text1"/>
              <w:sz w:val="22"/>
              <w:lang w:eastAsia="en-AU"/>
            </w:rPr>
          </w:pPr>
          <w:hyperlink w:anchor="_Toc2585838" w:history="1">
            <w:r w:rsidR="009D683D" w:rsidRPr="009D683D">
              <w:rPr>
                <w:rFonts w:ascii="Calibri" w:eastAsia="Calibri" w:hAnsi="Calibri" w:cs="Times New Roman"/>
                <w:i/>
                <w:iCs/>
                <w:noProof/>
                <w:color w:val="000000" w:themeColor="text1"/>
                <w:szCs w:val="20"/>
                <w14:scene3d>
                  <w14:camera w14:prst="orthographicFront"/>
                  <w14:lightRig w14:rig="threePt" w14:dir="t">
                    <w14:rot w14:lat="0" w14:lon="0" w14:rev="0"/>
                  </w14:lightRig>
                </w14:scene3d>
              </w:rPr>
              <w:t>4.1.3</w:t>
            </w:r>
            <w:r w:rsidR="0010384B">
              <w:rPr>
                <w:rFonts w:ascii="Calibri" w:eastAsia="Times New Roman" w:hAnsi="Calibri" w:cs="Times New Roman"/>
                <w:noProof/>
                <w:color w:val="000000" w:themeColor="text1"/>
                <w:sz w:val="22"/>
                <w:lang w:eastAsia="en-AU"/>
              </w:rPr>
              <w:t xml:space="preserve"> </w:t>
            </w:r>
            <w:r w:rsidR="009D683D" w:rsidRPr="009D683D">
              <w:rPr>
                <w:rFonts w:ascii="Calibri" w:eastAsia="Calibri" w:hAnsi="Calibri" w:cs="Times New Roman"/>
                <w:i/>
                <w:iCs/>
                <w:noProof/>
                <w:color w:val="000000" w:themeColor="text1"/>
                <w:szCs w:val="20"/>
              </w:rPr>
              <w:t>Infective Prophylaxis</w:t>
            </w:r>
            <w:r w:rsidR="009D683D" w:rsidRPr="009D683D">
              <w:rPr>
                <w:rFonts w:ascii="Calibri" w:eastAsia="Calibri" w:hAnsi="Calibri" w:cs="Times New Roman"/>
                <w:i/>
                <w:iCs/>
                <w:noProof/>
                <w:webHidden/>
                <w:color w:val="000000" w:themeColor="text1"/>
                <w:szCs w:val="20"/>
              </w:rPr>
              <w:tab/>
            </w:r>
            <w:r w:rsidR="009D683D" w:rsidRPr="009D683D">
              <w:rPr>
                <w:rFonts w:ascii="Calibri" w:eastAsia="Calibri" w:hAnsi="Calibri" w:cs="Times New Roman"/>
                <w:i/>
                <w:iCs/>
                <w:noProof/>
                <w:webHidden/>
                <w:color w:val="000000" w:themeColor="text1"/>
                <w:szCs w:val="20"/>
              </w:rPr>
              <w:fldChar w:fldCharType="begin"/>
            </w:r>
            <w:r w:rsidR="009D683D" w:rsidRPr="009D683D">
              <w:rPr>
                <w:rFonts w:ascii="Calibri" w:eastAsia="Calibri" w:hAnsi="Calibri" w:cs="Times New Roman"/>
                <w:i/>
                <w:iCs/>
                <w:noProof/>
                <w:webHidden/>
                <w:color w:val="000000" w:themeColor="text1"/>
                <w:szCs w:val="20"/>
              </w:rPr>
              <w:instrText xml:space="preserve"> PAGEREF _Toc2585838 \h </w:instrText>
            </w:r>
            <w:r w:rsidR="009D683D" w:rsidRPr="009D683D">
              <w:rPr>
                <w:rFonts w:ascii="Calibri" w:eastAsia="Calibri" w:hAnsi="Calibri" w:cs="Times New Roman"/>
                <w:i/>
                <w:iCs/>
                <w:noProof/>
                <w:webHidden/>
                <w:color w:val="000000" w:themeColor="text1"/>
                <w:szCs w:val="20"/>
              </w:rPr>
            </w:r>
            <w:r w:rsidR="009D683D" w:rsidRPr="009D683D">
              <w:rPr>
                <w:rFonts w:ascii="Calibri" w:eastAsia="Calibri" w:hAnsi="Calibri" w:cs="Times New Roman"/>
                <w:i/>
                <w:iCs/>
                <w:noProof/>
                <w:webHidden/>
                <w:color w:val="000000" w:themeColor="text1"/>
                <w:szCs w:val="20"/>
              </w:rPr>
              <w:fldChar w:fldCharType="separate"/>
            </w:r>
            <w:r w:rsidR="009D683D" w:rsidRPr="009D683D">
              <w:rPr>
                <w:rFonts w:ascii="Calibri" w:eastAsia="Calibri" w:hAnsi="Calibri" w:cs="Times New Roman"/>
                <w:i/>
                <w:iCs/>
                <w:noProof/>
                <w:webHidden/>
                <w:color w:val="000000" w:themeColor="text1"/>
                <w:szCs w:val="20"/>
              </w:rPr>
              <w:t>54</w:t>
            </w:r>
            <w:r w:rsidR="009D683D" w:rsidRPr="009D683D">
              <w:rPr>
                <w:rFonts w:ascii="Calibri" w:eastAsia="Calibri" w:hAnsi="Calibri" w:cs="Times New Roman"/>
                <w:i/>
                <w:iCs/>
                <w:noProof/>
                <w:webHidden/>
                <w:color w:val="000000" w:themeColor="text1"/>
                <w:szCs w:val="20"/>
              </w:rPr>
              <w:fldChar w:fldCharType="end"/>
            </w:r>
          </w:hyperlink>
        </w:p>
        <w:p w14:paraId="220C2EA1" w14:textId="77777777" w:rsidR="009D683D" w:rsidRPr="009D683D" w:rsidRDefault="00D32AD3" w:rsidP="009D683D">
          <w:pPr>
            <w:tabs>
              <w:tab w:val="left" w:pos="880"/>
              <w:tab w:val="right" w:leader="dot" w:pos="9016"/>
            </w:tabs>
            <w:spacing w:after="0"/>
            <w:ind w:left="220"/>
            <w:rPr>
              <w:rFonts w:ascii="Calibri" w:eastAsia="Times New Roman" w:hAnsi="Calibri" w:cs="Times New Roman"/>
              <w:noProof/>
              <w:color w:val="000000" w:themeColor="text1"/>
              <w:sz w:val="22"/>
              <w:lang w:eastAsia="en-AU"/>
            </w:rPr>
          </w:pPr>
          <w:hyperlink w:anchor="_Toc2585839" w:history="1">
            <w:r w:rsidR="009D683D" w:rsidRPr="009D683D">
              <w:rPr>
                <w:rFonts w:ascii="Calibri" w:eastAsia="Calibri" w:hAnsi="Calibri" w:cs="Times New Roman"/>
                <w:smallCaps/>
                <w:noProof/>
                <w:color w:val="000000" w:themeColor="text1"/>
                <w:szCs w:val="20"/>
                <w14:scene3d>
                  <w14:camera w14:prst="orthographicFront"/>
                  <w14:lightRig w14:rig="threePt" w14:dir="t">
                    <w14:rot w14:lat="0" w14:lon="0" w14:rev="0"/>
                  </w14:lightRig>
                </w14:scene3d>
              </w:rPr>
              <w:t>4.2</w:t>
            </w:r>
            <w:r w:rsidR="009D683D" w:rsidRPr="009D683D">
              <w:rPr>
                <w:rFonts w:ascii="Calibri" w:eastAsia="Times New Roman" w:hAnsi="Calibri" w:cs="Times New Roman"/>
                <w:noProof/>
                <w:color w:val="000000" w:themeColor="text1"/>
                <w:sz w:val="22"/>
                <w:lang w:eastAsia="en-AU"/>
              </w:rPr>
              <w:tab/>
            </w:r>
            <w:r w:rsidR="009D683D" w:rsidRPr="009D683D">
              <w:rPr>
                <w:rFonts w:ascii="Calibri" w:eastAsia="Calibri" w:hAnsi="Calibri" w:cs="Times New Roman"/>
                <w:smallCaps/>
                <w:noProof/>
                <w:color w:val="000000" w:themeColor="text1"/>
                <w:szCs w:val="20"/>
              </w:rPr>
              <w:t>Next steps and recommendations for research, practice and policy</w:t>
            </w:r>
            <w:r w:rsidR="009D683D" w:rsidRPr="009D683D">
              <w:rPr>
                <w:rFonts w:ascii="Calibri" w:eastAsia="Calibri" w:hAnsi="Calibri" w:cs="Times New Roman"/>
                <w:smallCaps/>
                <w:noProof/>
                <w:webHidden/>
                <w:color w:val="000000" w:themeColor="text1"/>
                <w:szCs w:val="20"/>
              </w:rPr>
              <w:tab/>
            </w:r>
            <w:r w:rsidR="009D683D" w:rsidRPr="009D683D">
              <w:rPr>
                <w:rFonts w:ascii="Calibri" w:eastAsia="Calibri" w:hAnsi="Calibri" w:cs="Times New Roman"/>
                <w:smallCaps/>
                <w:noProof/>
                <w:webHidden/>
                <w:color w:val="000000" w:themeColor="text1"/>
                <w:szCs w:val="20"/>
              </w:rPr>
              <w:fldChar w:fldCharType="begin"/>
            </w:r>
            <w:r w:rsidR="009D683D" w:rsidRPr="009D683D">
              <w:rPr>
                <w:rFonts w:ascii="Calibri" w:eastAsia="Calibri" w:hAnsi="Calibri" w:cs="Times New Roman"/>
                <w:smallCaps/>
                <w:noProof/>
                <w:webHidden/>
                <w:color w:val="000000" w:themeColor="text1"/>
                <w:szCs w:val="20"/>
              </w:rPr>
              <w:instrText xml:space="preserve"> PAGEREF _Toc2585839 \h </w:instrText>
            </w:r>
            <w:r w:rsidR="009D683D" w:rsidRPr="009D683D">
              <w:rPr>
                <w:rFonts w:ascii="Calibri" w:eastAsia="Calibri" w:hAnsi="Calibri" w:cs="Times New Roman"/>
                <w:smallCaps/>
                <w:noProof/>
                <w:webHidden/>
                <w:color w:val="000000" w:themeColor="text1"/>
                <w:szCs w:val="20"/>
              </w:rPr>
            </w:r>
            <w:r w:rsidR="009D683D" w:rsidRPr="009D683D">
              <w:rPr>
                <w:rFonts w:ascii="Calibri" w:eastAsia="Calibri" w:hAnsi="Calibri" w:cs="Times New Roman"/>
                <w:smallCaps/>
                <w:noProof/>
                <w:webHidden/>
                <w:color w:val="000000" w:themeColor="text1"/>
                <w:szCs w:val="20"/>
              </w:rPr>
              <w:fldChar w:fldCharType="separate"/>
            </w:r>
            <w:r w:rsidR="009D683D" w:rsidRPr="009D683D">
              <w:rPr>
                <w:rFonts w:ascii="Calibri" w:eastAsia="Calibri" w:hAnsi="Calibri" w:cs="Times New Roman"/>
                <w:smallCaps/>
                <w:noProof/>
                <w:webHidden/>
                <w:color w:val="000000" w:themeColor="text1"/>
                <w:szCs w:val="20"/>
              </w:rPr>
              <w:t>56</w:t>
            </w:r>
            <w:r w:rsidR="009D683D" w:rsidRPr="009D683D">
              <w:rPr>
                <w:rFonts w:ascii="Calibri" w:eastAsia="Calibri" w:hAnsi="Calibri" w:cs="Times New Roman"/>
                <w:smallCaps/>
                <w:noProof/>
                <w:webHidden/>
                <w:color w:val="000000" w:themeColor="text1"/>
                <w:szCs w:val="20"/>
              </w:rPr>
              <w:fldChar w:fldCharType="end"/>
            </w:r>
          </w:hyperlink>
        </w:p>
        <w:p w14:paraId="48659C19" w14:textId="19C11BFE" w:rsidR="009D683D" w:rsidRPr="009D683D" w:rsidRDefault="00D32AD3" w:rsidP="00782640">
          <w:pPr>
            <w:numPr>
              <w:ilvl w:val="0"/>
              <w:numId w:val="70"/>
            </w:numPr>
            <w:tabs>
              <w:tab w:val="left" w:pos="1100"/>
              <w:tab w:val="right" w:leader="dot" w:pos="9016"/>
            </w:tabs>
            <w:spacing w:after="0"/>
            <w:ind w:left="440" w:firstLine="0"/>
            <w:rPr>
              <w:rFonts w:ascii="Calibri" w:eastAsia="Times New Roman" w:hAnsi="Calibri" w:cs="Times New Roman"/>
              <w:noProof/>
              <w:color w:val="000000" w:themeColor="text1"/>
              <w:sz w:val="22"/>
              <w:lang w:eastAsia="en-AU"/>
            </w:rPr>
          </w:pPr>
          <w:hyperlink w:anchor="_Toc2585840" w:history="1">
            <w:r w:rsidR="009D683D" w:rsidRPr="009D683D">
              <w:rPr>
                <w:rFonts w:ascii="Calibri" w:eastAsia="Calibri" w:hAnsi="Calibri" w:cs="Times New Roman"/>
                <w:i/>
                <w:iCs/>
                <w:noProof/>
                <w:color w:val="000000" w:themeColor="text1"/>
                <w:szCs w:val="20"/>
                <w14:scene3d>
                  <w14:camera w14:prst="orthographicFront"/>
                  <w14:lightRig w14:rig="threePt" w14:dir="t">
                    <w14:rot w14:lat="0" w14:lon="0" w14:rev="0"/>
                  </w14:lightRig>
                </w14:scene3d>
              </w:rPr>
              <w:t>4.2.1</w:t>
            </w:r>
            <w:r w:rsidR="0010384B">
              <w:rPr>
                <w:rFonts w:ascii="Calibri" w:eastAsia="Times New Roman" w:hAnsi="Calibri" w:cs="Times New Roman"/>
                <w:noProof/>
                <w:color w:val="000000" w:themeColor="text1"/>
                <w:sz w:val="22"/>
                <w:lang w:eastAsia="en-AU"/>
              </w:rPr>
              <w:t xml:space="preserve"> </w:t>
            </w:r>
            <w:r w:rsidR="009D683D" w:rsidRPr="009D683D">
              <w:rPr>
                <w:rFonts w:ascii="Calibri" w:eastAsia="Calibri" w:hAnsi="Calibri" w:cs="Times New Roman"/>
                <w:i/>
                <w:iCs/>
                <w:noProof/>
                <w:color w:val="000000" w:themeColor="text1"/>
                <w:szCs w:val="20"/>
              </w:rPr>
              <w:t>Consumer Engagement and Education</w:t>
            </w:r>
            <w:r w:rsidR="009D683D" w:rsidRPr="009D683D">
              <w:rPr>
                <w:rFonts w:ascii="Calibri" w:eastAsia="Calibri" w:hAnsi="Calibri" w:cs="Times New Roman"/>
                <w:i/>
                <w:iCs/>
                <w:noProof/>
                <w:webHidden/>
                <w:color w:val="000000" w:themeColor="text1"/>
                <w:szCs w:val="20"/>
              </w:rPr>
              <w:tab/>
            </w:r>
            <w:r w:rsidR="009D683D" w:rsidRPr="009D683D">
              <w:rPr>
                <w:rFonts w:ascii="Calibri" w:eastAsia="Calibri" w:hAnsi="Calibri" w:cs="Times New Roman"/>
                <w:i/>
                <w:iCs/>
                <w:noProof/>
                <w:webHidden/>
                <w:color w:val="000000" w:themeColor="text1"/>
                <w:szCs w:val="20"/>
              </w:rPr>
              <w:fldChar w:fldCharType="begin"/>
            </w:r>
            <w:r w:rsidR="009D683D" w:rsidRPr="009D683D">
              <w:rPr>
                <w:rFonts w:ascii="Calibri" w:eastAsia="Calibri" w:hAnsi="Calibri" w:cs="Times New Roman"/>
                <w:i/>
                <w:iCs/>
                <w:noProof/>
                <w:webHidden/>
                <w:color w:val="000000" w:themeColor="text1"/>
                <w:szCs w:val="20"/>
              </w:rPr>
              <w:instrText xml:space="preserve"> PAGEREF _Toc2585840 \h </w:instrText>
            </w:r>
            <w:r w:rsidR="009D683D" w:rsidRPr="009D683D">
              <w:rPr>
                <w:rFonts w:ascii="Calibri" w:eastAsia="Calibri" w:hAnsi="Calibri" w:cs="Times New Roman"/>
                <w:i/>
                <w:iCs/>
                <w:noProof/>
                <w:webHidden/>
                <w:color w:val="000000" w:themeColor="text1"/>
                <w:szCs w:val="20"/>
              </w:rPr>
            </w:r>
            <w:r w:rsidR="009D683D" w:rsidRPr="009D683D">
              <w:rPr>
                <w:rFonts w:ascii="Calibri" w:eastAsia="Calibri" w:hAnsi="Calibri" w:cs="Times New Roman"/>
                <w:i/>
                <w:iCs/>
                <w:noProof/>
                <w:webHidden/>
                <w:color w:val="000000" w:themeColor="text1"/>
                <w:szCs w:val="20"/>
              </w:rPr>
              <w:fldChar w:fldCharType="separate"/>
            </w:r>
            <w:r w:rsidR="009D683D" w:rsidRPr="009D683D">
              <w:rPr>
                <w:rFonts w:ascii="Calibri" w:eastAsia="Calibri" w:hAnsi="Calibri" w:cs="Times New Roman"/>
                <w:i/>
                <w:iCs/>
                <w:noProof/>
                <w:webHidden/>
                <w:color w:val="000000" w:themeColor="text1"/>
                <w:szCs w:val="20"/>
              </w:rPr>
              <w:t>56</w:t>
            </w:r>
            <w:r w:rsidR="009D683D" w:rsidRPr="009D683D">
              <w:rPr>
                <w:rFonts w:ascii="Calibri" w:eastAsia="Calibri" w:hAnsi="Calibri" w:cs="Times New Roman"/>
                <w:i/>
                <w:iCs/>
                <w:noProof/>
                <w:webHidden/>
                <w:color w:val="000000" w:themeColor="text1"/>
                <w:szCs w:val="20"/>
              </w:rPr>
              <w:fldChar w:fldCharType="end"/>
            </w:r>
          </w:hyperlink>
        </w:p>
        <w:p w14:paraId="7D223B1A" w14:textId="77471CD2" w:rsidR="009D683D" w:rsidRPr="009D683D" w:rsidRDefault="00D32AD3" w:rsidP="00782640">
          <w:pPr>
            <w:numPr>
              <w:ilvl w:val="0"/>
              <w:numId w:val="70"/>
            </w:numPr>
            <w:tabs>
              <w:tab w:val="left" w:pos="1100"/>
              <w:tab w:val="right" w:leader="dot" w:pos="9016"/>
            </w:tabs>
            <w:spacing w:after="0"/>
            <w:ind w:left="440" w:firstLine="0"/>
            <w:rPr>
              <w:rFonts w:ascii="Calibri" w:eastAsia="Times New Roman" w:hAnsi="Calibri" w:cs="Times New Roman"/>
              <w:noProof/>
              <w:color w:val="000000" w:themeColor="text1"/>
              <w:sz w:val="22"/>
              <w:lang w:eastAsia="en-AU"/>
            </w:rPr>
          </w:pPr>
          <w:hyperlink w:anchor="_Toc2585841" w:history="1">
            <w:r w:rsidR="009D683D" w:rsidRPr="009D683D">
              <w:rPr>
                <w:rFonts w:ascii="Calibri" w:eastAsia="Calibri" w:hAnsi="Calibri" w:cs="Times New Roman"/>
                <w:i/>
                <w:iCs/>
                <w:noProof/>
                <w:color w:val="000000" w:themeColor="text1"/>
                <w:szCs w:val="20"/>
                <w14:scene3d>
                  <w14:camera w14:prst="orthographicFront"/>
                  <w14:lightRig w14:rig="threePt" w14:dir="t">
                    <w14:rot w14:lat="0" w14:lon="0" w14:rev="0"/>
                  </w14:lightRig>
                </w14:scene3d>
              </w:rPr>
              <w:t>4.2.2</w:t>
            </w:r>
            <w:r w:rsidR="0010384B">
              <w:rPr>
                <w:rFonts w:ascii="Calibri" w:eastAsia="Times New Roman" w:hAnsi="Calibri" w:cs="Times New Roman"/>
                <w:noProof/>
                <w:color w:val="000000" w:themeColor="text1"/>
                <w:sz w:val="22"/>
                <w:lang w:eastAsia="en-AU"/>
              </w:rPr>
              <w:t xml:space="preserve"> </w:t>
            </w:r>
            <w:r w:rsidR="009D683D" w:rsidRPr="009D683D">
              <w:rPr>
                <w:rFonts w:ascii="Calibri" w:eastAsia="Calibri" w:hAnsi="Calibri" w:cs="Times New Roman"/>
                <w:i/>
                <w:iCs/>
                <w:noProof/>
                <w:color w:val="000000" w:themeColor="text1"/>
                <w:szCs w:val="20"/>
              </w:rPr>
              <w:t>Improving Equity and Access to Transplant Services</w:t>
            </w:r>
            <w:r w:rsidR="009D683D" w:rsidRPr="009D683D">
              <w:rPr>
                <w:rFonts w:ascii="Calibri" w:eastAsia="Calibri" w:hAnsi="Calibri" w:cs="Times New Roman"/>
                <w:i/>
                <w:iCs/>
                <w:noProof/>
                <w:webHidden/>
                <w:color w:val="000000" w:themeColor="text1"/>
                <w:szCs w:val="20"/>
              </w:rPr>
              <w:tab/>
            </w:r>
            <w:r w:rsidR="009D683D" w:rsidRPr="009D683D">
              <w:rPr>
                <w:rFonts w:ascii="Calibri" w:eastAsia="Calibri" w:hAnsi="Calibri" w:cs="Times New Roman"/>
                <w:i/>
                <w:iCs/>
                <w:noProof/>
                <w:webHidden/>
                <w:color w:val="000000" w:themeColor="text1"/>
                <w:szCs w:val="20"/>
              </w:rPr>
              <w:fldChar w:fldCharType="begin"/>
            </w:r>
            <w:r w:rsidR="009D683D" w:rsidRPr="009D683D">
              <w:rPr>
                <w:rFonts w:ascii="Calibri" w:eastAsia="Calibri" w:hAnsi="Calibri" w:cs="Times New Roman"/>
                <w:i/>
                <w:iCs/>
                <w:noProof/>
                <w:webHidden/>
                <w:color w:val="000000" w:themeColor="text1"/>
                <w:szCs w:val="20"/>
              </w:rPr>
              <w:instrText xml:space="preserve"> PAGEREF _Toc2585841 \h </w:instrText>
            </w:r>
            <w:r w:rsidR="009D683D" w:rsidRPr="009D683D">
              <w:rPr>
                <w:rFonts w:ascii="Calibri" w:eastAsia="Calibri" w:hAnsi="Calibri" w:cs="Times New Roman"/>
                <w:i/>
                <w:iCs/>
                <w:noProof/>
                <w:webHidden/>
                <w:color w:val="000000" w:themeColor="text1"/>
                <w:szCs w:val="20"/>
              </w:rPr>
            </w:r>
            <w:r w:rsidR="009D683D" w:rsidRPr="009D683D">
              <w:rPr>
                <w:rFonts w:ascii="Calibri" w:eastAsia="Calibri" w:hAnsi="Calibri" w:cs="Times New Roman"/>
                <w:i/>
                <w:iCs/>
                <w:noProof/>
                <w:webHidden/>
                <w:color w:val="000000" w:themeColor="text1"/>
                <w:szCs w:val="20"/>
              </w:rPr>
              <w:fldChar w:fldCharType="separate"/>
            </w:r>
            <w:r w:rsidR="009D683D" w:rsidRPr="009D683D">
              <w:rPr>
                <w:rFonts w:ascii="Calibri" w:eastAsia="Calibri" w:hAnsi="Calibri" w:cs="Times New Roman"/>
                <w:i/>
                <w:iCs/>
                <w:noProof/>
                <w:webHidden/>
                <w:color w:val="000000" w:themeColor="text1"/>
                <w:szCs w:val="20"/>
              </w:rPr>
              <w:t>57</w:t>
            </w:r>
            <w:r w:rsidR="009D683D" w:rsidRPr="009D683D">
              <w:rPr>
                <w:rFonts w:ascii="Calibri" w:eastAsia="Calibri" w:hAnsi="Calibri" w:cs="Times New Roman"/>
                <w:i/>
                <w:iCs/>
                <w:noProof/>
                <w:webHidden/>
                <w:color w:val="000000" w:themeColor="text1"/>
                <w:szCs w:val="20"/>
              </w:rPr>
              <w:fldChar w:fldCharType="end"/>
            </w:r>
          </w:hyperlink>
        </w:p>
        <w:p w14:paraId="2542545A" w14:textId="1C39C2BC" w:rsidR="009D683D" w:rsidRPr="009D683D" w:rsidRDefault="00D32AD3" w:rsidP="00782640">
          <w:pPr>
            <w:numPr>
              <w:ilvl w:val="0"/>
              <w:numId w:val="70"/>
            </w:numPr>
            <w:tabs>
              <w:tab w:val="left" w:pos="1100"/>
              <w:tab w:val="right" w:leader="dot" w:pos="9016"/>
            </w:tabs>
            <w:spacing w:after="0"/>
            <w:ind w:left="440" w:firstLine="0"/>
            <w:rPr>
              <w:rFonts w:ascii="Calibri" w:eastAsia="Times New Roman" w:hAnsi="Calibri" w:cs="Times New Roman"/>
              <w:noProof/>
              <w:color w:val="000000" w:themeColor="text1"/>
              <w:sz w:val="22"/>
              <w:lang w:eastAsia="en-AU"/>
            </w:rPr>
          </w:pPr>
          <w:hyperlink w:anchor="_Toc2585842" w:history="1">
            <w:r w:rsidR="009D683D" w:rsidRPr="009D683D">
              <w:rPr>
                <w:rFonts w:ascii="Calibri" w:eastAsia="Calibri" w:hAnsi="Calibri" w:cs="Times New Roman"/>
                <w:i/>
                <w:iCs/>
                <w:noProof/>
                <w:color w:val="000000" w:themeColor="text1"/>
                <w:szCs w:val="20"/>
                <w14:scene3d>
                  <w14:camera w14:prst="orthographicFront"/>
                  <w14:lightRig w14:rig="threePt" w14:dir="t">
                    <w14:rot w14:lat="0" w14:lon="0" w14:rev="0"/>
                  </w14:lightRig>
                </w14:scene3d>
              </w:rPr>
              <w:t>4.2.3</w:t>
            </w:r>
            <w:r w:rsidR="0010384B">
              <w:rPr>
                <w:rFonts w:ascii="Calibri" w:eastAsia="Times New Roman" w:hAnsi="Calibri" w:cs="Times New Roman"/>
                <w:noProof/>
                <w:color w:val="000000" w:themeColor="text1"/>
                <w:sz w:val="22"/>
                <w:lang w:eastAsia="en-AU"/>
              </w:rPr>
              <w:t xml:space="preserve"> </w:t>
            </w:r>
            <w:r w:rsidR="009D683D" w:rsidRPr="009D683D">
              <w:rPr>
                <w:rFonts w:ascii="Calibri" w:eastAsia="Calibri" w:hAnsi="Calibri" w:cs="Times New Roman"/>
                <w:i/>
                <w:iCs/>
                <w:noProof/>
                <w:color w:val="000000" w:themeColor="text1"/>
                <w:szCs w:val="20"/>
              </w:rPr>
              <w:t>Researching, Developing and Implementing Clinical Guidelines and Protocols</w:t>
            </w:r>
            <w:r w:rsidR="009D683D" w:rsidRPr="009D683D">
              <w:rPr>
                <w:rFonts w:ascii="Calibri" w:eastAsia="Calibri" w:hAnsi="Calibri" w:cs="Times New Roman"/>
                <w:i/>
                <w:iCs/>
                <w:noProof/>
                <w:webHidden/>
                <w:color w:val="000000" w:themeColor="text1"/>
                <w:szCs w:val="20"/>
              </w:rPr>
              <w:tab/>
            </w:r>
            <w:r w:rsidR="009D683D" w:rsidRPr="009D683D">
              <w:rPr>
                <w:rFonts w:ascii="Calibri" w:eastAsia="Calibri" w:hAnsi="Calibri" w:cs="Times New Roman"/>
                <w:i/>
                <w:iCs/>
                <w:noProof/>
                <w:webHidden/>
                <w:color w:val="000000" w:themeColor="text1"/>
                <w:szCs w:val="20"/>
              </w:rPr>
              <w:fldChar w:fldCharType="begin"/>
            </w:r>
            <w:r w:rsidR="009D683D" w:rsidRPr="009D683D">
              <w:rPr>
                <w:rFonts w:ascii="Calibri" w:eastAsia="Calibri" w:hAnsi="Calibri" w:cs="Times New Roman"/>
                <w:i/>
                <w:iCs/>
                <w:noProof/>
                <w:webHidden/>
                <w:color w:val="000000" w:themeColor="text1"/>
                <w:szCs w:val="20"/>
              </w:rPr>
              <w:instrText xml:space="preserve"> PAGEREF _Toc2585842 \h </w:instrText>
            </w:r>
            <w:r w:rsidR="009D683D" w:rsidRPr="009D683D">
              <w:rPr>
                <w:rFonts w:ascii="Calibri" w:eastAsia="Calibri" w:hAnsi="Calibri" w:cs="Times New Roman"/>
                <w:i/>
                <w:iCs/>
                <w:noProof/>
                <w:webHidden/>
                <w:color w:val="000000" w:themeColor="text1"/>
                <w:szCs w:val="20"/>
              </w:rPr>
            </w:r>
            <w:r w:rsidR="009D683D" w:rsidRPr="009D683D">
              <w:rPr>
                <w:rFonts w:ascii="Calibri" w:eastAsia="Calibri" w:hAnsi="Calibri" w:cs="Times New Roman"/>
                <w:i/>
                <w:iCs/>
                <w:noProof/>
                <w:webHidden/>
                <w:color w:val="000000" w:themeColor="text1"/>
                <w:szCs w:val="20"/>
              </w:rPr>
              <w:fldChar w:fldCharType="separate"/>
            </w:r>
            <w:r w:rsidR="009D683D" w:rsidRPr="009D683D">
              <w:rPr>
                <w:rFonts w:ascii="Calibri" w:eastAsia="Calibri" w:hAnsi="Calibri" w:cs="Times New Roman"/>
                <w:i/>
                <w:iCs/>
                <w:noProof/>
                <w:webHidden/>
                <w:color w:val="000000" w:themeColor="text1"/>
                <w:szCs w:val="20"/>
              </w:rPr>
              <w:t>59</w:t>
            </w:r>
            <w:r w:rsidR="009D683D" w:rsidRPr="009D683D">
              <w:rPr>
                <w:rFonts w:ascii="Calibri" w:eastAsia="Calibri" w:hAnsi="Calibri" w:cs="Times New Roman"/>
                <w:i/>
                <w:iCs/>
                <w:noProof/>
                <w:webHidden/>
                <w:color w:val="000000" w:themeColor="text1"/>
                <w:szCs w:val="20"/>
              </w:rPr>
              <w:fldChar w:fldCharType="end"/>
            </w:r>
          </w:hyperlink>
        </w:p>
        <w:p w14:paraId="7CAAB691" w14:textId="77777777" w:rsidR="009D683D" w:rsidRPr="009D683D" w:rsidRDefault="00D32AD3" w:rsidP="0010384B">
          <w:pPr>
            <w:tabs>
              <w:tab w:val="right" w:leader="dot" w:pos="9016"/>
            </w:tabs>
            <w:spacing w:after="0"/>
            <w:ind w:left="440"/>
            <w:rPr>
              <w:rFonts w:ascii="Calibri" w:eastAsia="Times New Roman" w:hAnsi="Calibri" w:cs="Times New Roman"/>
              <w:noProof/>
              <w:color w:val="000000" w:themeColor="text1"/>
              <w:sz w:val="22"/>
              <w:lang w:eastAsia="en-AU"/>
            </w:rPr>
          </w:pPr>
          <w:hyperlink w:anchor="_Toc2585843" w:history="1">
            <w:r w:rsidR="009D683D" w:rsidRPr="009D683D">
              <w:rPr>
                <w:rFonts w:ascii="Calibri" w:eastAsia="Calibri" w:hAnsi="Calibri" w:cs="Times New Roman"/>
                <w:i/>
                <w:iCs/>
                <w:noProof/>
                <w:webHidden/>
                <w:color w:val="000000" w:themeColor="text1"/>
                <w:szCs w:val="20"/>
              </w:rPr>
              <w:tab/>
            </w:r>
            <w:r w:rsidR="009D683D" w:rsidRPr="009D683D">
              <w:rPr>
                <w:rFonts w:ascii="Calibri" w:eastAsia="Calibri" w:hAnsi="Calibri" w:cs="Times New Roman"/>
                <w:i/>
                <w:iCs/>
                <w:noProof/>
                <w:webHidden/>
                <w:color w:val="000000" w:themeColor="text1"/>
                <w:szCs w:val="20"/>
              </w:rPr>
              <w:fldChar w:fldCharType="begin"/>
            </w:r>
            <w:r w:rsidR="009D683D" w:rsidRPr="009D683D">
              <w:rPr>
                <w:rFonts w:ascii="Calibri" w:eastAsia="Calibri" w:hAnsi="Calibri" w:cs="Times New Roman"/>
                <w:i/>
                <w:iCs/>
                <w:noProof/>
                <w:webHidden/>
                <w:color w:val="000000" w:themeColor="text1"/>
                <w:szCs w:val="20"/>
              </w:rPr>
              <w:instrText xml:space="preserve"> PAGEREF _Toc2585843 \h </w:instrText>
            </w:r>
            <w:r w:rsidR="009D683D" w:rsidRPr="009D683D">
              <w:rPr>
                <w:rFonts w:ascii="Calibri" w:eastAsia="Calibri" w:hAnsi="Calibri" w:cs="Times New Roman"/>
                <w:i/>
                <w:iCs/>
                <w:noProof/>
                <w:webHidden/>
                <w:color w:val="000000" w:themeColor="text1"/>
                <w:szCs w:val="20"/>
              </w:rPr>
            </w:r>
            <w:r w:rsidR="009D683D" w:rsidRPr="009D683D">
              <w:rPr>
                <w:rFonts w:ascii="Calibri" w:eastAsia="Calibri" w:hAnsi="Calibri" w:cs="Times New Roman"/>
                <w:i/>
                <w:iCs/>
                <w:noProof/>
                <w:webHidden/>
                <w:color w:val="000000" w:themeColor="text1"/>
                <w:szCs w:val="20"/>
              </w:rPr>
              <w:fldChar w:fldCharType="separate"/>
            </w:r>
            <w:r w:rsidR="009D683D" w:rsidRPr="009D683D">
              <w:rPr>
                <w:rFonts w:ascii="Calibri" w:eastAsia="Calibri" w:hAnsi="Calibri" w:cs="Times New Roman"/>
                <w:i/>
                <w:iCs/>
                <w:noProof/>
                <w:webHidden/>
                <w:color w:val="000000" w:themeColor="text1"/>
                <w:szCs w:val="20"/>
              </w:rPr>
              <w:t>60</w:t>
            </w:r>
            <w:r w:rsidR="009D683D" w:rsidRPr="009D683D">
              <w:rPr>
                <w:rFonts w:ascii="Calibri" w:eastAsia="Calibri" w:hAnsi="Calibri" w:cs="Times New Roman"/>
                <w:i/>
                <w:iCs/>
                <w:noProof/>
                <w:webHidden/>
                <w:color w:val="000000" w:themeColor="text1"/>
                <w:szCs w:val="20"/>
              </w:rPr>
              <w:fldChar w:fldCharType="end"/>
            </w:r>
          </w:hyperlink>
        </w:p>
        <w:p w14:paraId="3C2AC985" w14:textId="77777777" w:rsidR="009D683D" w:rsidRPr="009D683D" w:rsidRDefault="00D32AD3" w:rsidP="009D683D">
          <w:pPr>
            <w:tabs>
              <w:tab w:val="left" w:pos="440"/>
              <w:tab w:val="right" w:leader="dot" w:pos="9016"/>
            </w:tabs>
            <w:spacing w:before="120" w:after="120" w:line="240" w:lineRule="auto"/>
            <w:rPr>
              <w:rFonts w:ascii="Calibri" w:eastAsia="Times New Roman" w:hAnsi="Calibri" w:cs="Times New Roman"/>
              <w:noProof/>
              <w:color w:val="000000" w:themeColor="text1"/>
              <w:sz w:val="22"/>
              <w:lang w:eastAsia="en-AU"/>
            </w:rPr>
          </w:pPr>
          <w:hyperlink w:anchor="_Toc2585844" w:history="1">
            <w:r w:rsidR="009D683D" w:rsidRPr="009D683D">
              <w:rPr>
                <w:rFonts w:ascii="Calibri" w:eastAsia="Calibri" w:hAnsi="Calibri" w:cs="Times New Roman"/>
                <w:b/>
                <w:bCs/>
                <w:caps/>
                <w:noProof/>
                <w:color w:val="000000" w:themeColor="text1"/>
                <w:szCs w:val="20"/>
                <w14:scene3d>
                  <w14:camera w14:prst="orthographicFront"/>
                  <w14:lightRig w14:rig="threePt" w14:dir="t">
                    <w14:rot w14:lat="0" w14:lon="0" w14:rev="0"/>
                  </w14:lightRig>
                </w14:scene3d>
              </w:rPr>
              <w:t>5.</w:t>
            </w:r>
            <w:r w:rsidR="009D683D" w:rsidRPr="009D683D">
              <w:rPr>
                <w:rFonts w:ascii="Calibri" w:eastAsia="Times New Roman" w:hAnsi="Calibri" w:cs="Times New Roman"/>
                <w:noProof/>
                <w:color w:val="000000" w:themeColor="text1"/>
                <w:sz w:val="22"/>
                <w:lang w:eastAsia="en-AU"/>
              </w:rPr>
              <w:tab/>
            </w:r>
            <w:r w:rsidR="009D683D" w:rsidRPr="009D683D">
              <w:rPr>
                <w:rFonts w:ascii="Calibri" w:eastAsia="Calibri" w:hAnsi="Calibri" w:cs="Times New Roman"/>
                <w:b/>
                <w:bCs/>
                <w:caps/>
                <w:noProof/>
                <w:color w:val="000000" w:themeColor="text1"/>
                <w:szCs w:val="20"/>
              </w:rPr>
              <w:t>Summary</w:t>
            </w:r>
            <w:r w:rsidR="009D683D" w:rsidRPr="009D683D">
              <w:rPr>
                <w:rFonts w:ascii="Calibri" w:eastAsia="Calibri" w:hAnsi="Calibri" w:cs="Times New Roman"/>
                <w:b/>
                <w:bCs/>
                <w:caps/>
                <w:noProof/>
                <w:webHidden/>
                <w:color w:val="000000" w:themeColor="text1"/>
                <w:szCs w:val="20"/>
              </w:rPr>
              <w:tab/>
            </w:r>
            <w:r w:rsidR="009D683D" w:rsidRPr="009D683D">
              <w:rPr>
                <w:rFonts w:ascii="Calibri" w:eastAsia="Calibri" w:hAnsi="Calibri" w:cs="Times New Roman"/>
                <w:b/>
                <w:bCs/>
                <w:caps/>
                <w:noProof/>
                <w:webHidden/>
                <w:color w:val="000000" w:themeColor="text1"/>
                <w:szCs w:val="20"/>
              </w:rPr>
              <w:fldChar w:fldCharType="begin"/>
            </w:r>
            <w:r w:rsidR="009D683D" w:rsidRPr="009D683D">
              <w:rPr>
                <w:rFonts w:ascii="Calibri" w:eastAsia="Calibri" w:hAnsi="Calibri" w:cs="Times New Roman"/>
                <w:b/>
                <w:bCs/>
                <w:caps/>
                <w:noProof/>
                <w:webHidden/>
                <w:color w:val="000000" w:themeColor="text1"/>
                <w:szCs w:val="20"/>
              </w:rPr>
              <w:instrText xml:space="preserve"> PAGEREF _Toc2585844 \h </w:instrText>
            </w:r>
            <w:r w:rsidR="009D683D" w:rsidRPr="009D683D">
              <w:rPr>
                <w:rFonts w:ascii="Calibri" w:eastAsia="Calibri" w:hAnsi="Calibri" w:cs="Times New Roman"/>
                <w:b/>
                <w:bCs/>
                <w:caps/>
                <w:noProof/>
                <w:webHidden/>
                <w:color w:val="000000" w:themeColor="text1"/>
                <w:szCs w:val="20"/>
              </w:rPr>
            </w:r>
            <w:r w:rsidR="009D683D" w:rsidRPr="009D683D">
              <w:rPr>
                <w:rFonts w:ascii="Calibri" w:eastAsia="Calibri" w:hAnsi="Calibri" w:cs="Times New Roman"/>
                <w:b/>
                <w:bCs/>
                <w:caps/>
                <w:noProof/>
                <w:webHidden/>
                <w:color w:val="000000" w:themeColor="text1"/>
                <w:szCs w:val="20"/>
              </w:rPr>
              <w:fldChar w:fldCharType="separate"/>
            </w:r>
            <w:r w:rsidR="009D683D" w:rsidRPr="009D683D">
              <w:rPr>
                <w:rFonts w:ascii="Calibri" w:eastAsia="Calibri" w:hAnsi="Calibri" w:cs="Times New Roman"/>
                <w:b/>
                <w:bCs/>
                <w:caps/>
                <w:noProof/>
                <w:webHidden/>
                <w:color w:val="000000" w:themeColor="text1"/>
                <w:szCs w:val="20"/>
              </w:rPr>
              <w:t>62</w:t>
            </w:r>
            <w:r w:rsidR="009D683D" w:rsidRPr="009D683D">
              <w:rPr>
                <w:rFonts w:ascii="Calibri" w:eastAsia="Calibri" w:hAnsi="Calibri" w:cs="Times New Roman"/>
                <w:b/>
                <w:bCs/>
                <w:caps/>
                <w:noProof/>
                <w:webHidden/>
                <w:color w:val="000000" w:themeColor="text1"/>
                <w:szCs w:val="20"/>
              </w:rPr>
              <w:fldChar w:fldCharType="end"/>
            </w:r>
          </w:hyperlink>
        </w:p>
        <w:p w14:paraId="5081BC12" w14:textId="77777777" w:rsidR="009D683D" w:rsidRPr="009D683D" w:rsidRDefault="00D32AD3" w:rsidP="009D683D">
          <w:pPr>
            <w:tabs>
              <w:tab w:val="left" w:pos="440"/>
              <w:tab w:val="right" w:leader="dot" w:pos="9016"/>
            </w:tabs>
            <w:spacing w:before="120" w:after="120" w:line="240" w:lineRule="auto"/>
            <w:rPr>
              <w:rFonts w:ascii="Calibri" w:eastAsia="Times New Roman" w:hAnsi="Calibri" w:cs="Times New Roman"/>
              <w:noProof/>
              <w:color w:val="000000" w:themeColor="text1"/>
              <w:sz w:val="22"/>
              <w:lang w:eastAsia="en-AU"/>
            </w:rPr>
          </w:pPr>
          <w:hyperlink w:anchor="_Toc2585845" w:history="1">
            <w:r w:rsidR="009D683D" w:rsidRPr="009D683D">
              <w:rPr>
                <w:rFonts w:ascii="Calibri" w:eastAsia="Calibri" w:hAnsi="Calibri" w:cs="Times New Roman"/>
                <w:b/>
                <w:bCs/>
                <w:caps/>
                <w:noProof/>
                <w:color w:val="000000" w:themeColor="text1"/>
                <w:szCs w:val="20"/>
              </w:rPr>
              <w:t>Appendix A     Table of Systemic Biases</w:t>
            </w:r>
            <w:r w:rsidR="009D683D" w:rsidRPr="009D683D">
              <w:rPr>
                <w:rFonts w:ascii="Calibri" w:eastAsia="Calibri" w:hAnsi="Calibri" w:cs="Times New Roman"/>
                <w:b/>
                <w:bCs/>
                <w:caps/>
                <w:noProof/>
                <w:webHidden/>
                <w:color w:val="000000" w:themeColor="text1"/>
                <w:szCs w:val="20"/>
              </w:rPr>
              <w:tab/>
            </w:r>
            <w:r w:rsidR="009D683D" w:rsidRPr="009D683D">
              <w:rPr>
                <w:rFonts w:ascii="Calibri" w:eastAsia="Calibri" w:hAnsi="Calibri" w:cs="Times New Roman"/>
                <w:b/>
                <w:bCs/>
                <w:caps/>
                <w:noProof/>
                <w:webHidden/>
                <w:color w:val="000000" w:themeColor="text1"/>
                <w:szCs w:val="20"/>
              </w:rPr>
              <w:fldChar w:fldCharType="begin"/>
            </w:r>
            <w:r w:rsidR="009D683D" w:rsidRPr="009D683D">
              <w:rPr>
                <w:rFonts w:ascii="Calibri" w:eastAsia="Calibri" w:hAnsi="Calibri" w:cs="Times New Roman"/>
                <w:b/>
                <w:bCs/>
                <w:caps/>
                <w:noProof/>
                <w:webHidden/>
                <w:color w:val="000000" w:themeColor="text1"/>
                <w:szCs w:val="20"/>
              </w:rPr>
              <w:instrText xml:space="preserve"> PAGEREF _Toc2585845 \h </w:instrText>
            </w:r>
            <w:r w:rsidR="009D683D" w:rsidRPr="009D683D">
              <w:rPr>
                <w:rFonts w:ascii="Calibri" w:eastAsia="Calibri" w:hAnsi="Calibri" w:cs="Times New Roman"/>
                <w:b/>
                <w:bCs/>
                <w:caps/>
                <w:noProof/>
                <w:webHidden/>
                <w:color w:val="000000" w:themeColor="text1"/>
                <w:szCs w:val="20"/>
              </w:rPr>
            </w:r>
            <w:r w:rsidR="009D683D" w:rsidRPr="009D683D">
              <w:rPr>
                <w:rFonts w:ascii="Calibri" w:eastAsia="Calibri" w:hAnsi="Calibri" w:cs="Times New Roman"/>
                <w:b/>
                <w:bCs/>
                <w:caps/>
                <w:noProof/>
                <w:webHidden/>
                <w:color w:val="000000" w:themeColor="text1"/>
                <w:szCs w:val="20"/>
              </w:rPr>
              <w:fldChar w:fldCharType="separate"/>
            </w:r>
            <w:r w:rsidR="009D683D" w:rsidRPr="009D683D">
              <w:rPr>
                <w:rFonts w:ascii="Calibri" w:eastAsia="Calibri" w:hAnsi="Calibri" w:cs="Times New Roman"/>
                <w:b/>
                <w:bCs/>
                <w:caps/>
                <w:noProof/>
                <w:webHidden/>
                <w:color w:val="000000" w:themeColor="text1"/>
                <w:szCs w:val="20"/>
              </w:rPr>
              <w:t>66</w:t>
            </w:r>
            <w:r w:rsidR="009D683D" w:rsidRPr="009D683D">
              <w:rPr>
                <w:rFonts w:ascii="Calibri" w:eastAsia="Calibri" w:hAnsi="Calibri" w:cs="Times New Roman"/>
                <w:b/>
                <w:bCs/>
                <w:caps/>
                <w:noProof/>
                <w:webHidden/>
                <w:color w:val="000000" w:themeColor="text1"/>
                <w:szCs w:val="20"/>
              </w:rPr>
              <w:fldChar w:fldCharType="end"/>
            </w:r>
          </w:hyperlink>
        </w:p>
        <w:p w14:paraId="1C18E6B1" w14:textId="77777777" w:rsidR="009D683D" w:rsidRPr="009D683D" w:rsidRDefault="00D32AD3" w:rsidP="009D683D">
          <w:pPr>
            <w:tabs>
              <w:tab w:val="left" w:pos="440"/>
              <w:tab w:val="right" w:leader="dot" w:pos="9016"/>
            </w:tabs>
            <w:spacing w:before="120" w:after="120" w:line="240" w:lineRule="auto"/>
            <w:rPr>
              <w:rFonts w:ascii="Calibri" w:eastAsia="Times New Roman" w:hAnsi="Calibri" w:cs="Times New Roman"/>
              <w:noProof/>
              <w:color w:val="000000" w:themeColor="text1"/>
              <w:sz w:val="22"/>
              <w:lang w:eastAsia="en-AU"/>
            </w:rPr>
          </w:pPr>
          <w:hyperlink w:anchor="_Toc2585846" w:history="1">
            <w:r w:rsidR="009D683D" w:rsidRPr="009D683D">
              <w:rPr>
                <w:rFonts w:ascii="Calibri" w:eastAsia="Calibri" w:hAnsi="Calibri" w:cs="Times New Roman"/>
                <w:b/>
                <w:bCs/>
                <w:caps/>
                <w:noProof/>
                <w:color w:val="000000" w:themeColor="text1"/>
                <w:szCs w:val="20"/>
              </w:rPr>
              <w:t>Appendix B     Belatacept Trials</w:t>
            </w:r>
            <w:r w:rsidR="009D683D" w:rsidRPr="009D683D">
              <w:rPr>
                <w:rFonts w:ascii="Calibri" w:eastAsia="Calibri" w:hAnsi="Calibri" w:cs="Times New Roman"/>
                <w:b/>
                <w:bCs/>
                <w:caps/>
                <w:noProof/>
                <w:webHidden/>
                <w:color w:val="000000" w:themeColor="text1"/>
                <w:szCs w:val="20"/>
              </w:rPr>
              <w:tab/>
            </w:r>
            <w:r w:rsidR="009D683D" w:rsidRPr="009D683D">
              <w:rPr>
                <w:rFonts w:ascii="Calibri" w:eastAsia="Calibri" w:hAnsi="Calibri" w:cs="Times New Roman"/>
                <w:b/>
                <w:bCs/>
                <w:caps/>
                <w:noProof/>
                <w:webHidden/>
                <w:color w:val="000000" w:themeColor="text1"/>
                <w:szCs w:val="20"/>
              </w:rPr>
              <w:fldChar w:fldCharType="begin"/>
            </w:r>
            <w:r w:rsidR="009D683D" w:rsidRPr="009D683D">
              <w:rPr>
                <w:rFonts w:ascii="Calibri" w:eastAsia="Calibri" w:hAnsi="Calibri" w:cs="Times New Roman"/>
                <w:b/>
                <w:bCs/>
                <w:caps/>
                <w:noProof/>
                <w:webHidden/>
                <w:color w:val="000000" w:themeColor="text1"/>
                <w:szCs w:val="20"/>
              </w:rPr>
              <w:instrText xml:space="preserve"> PAGEREF _Toc2585846 \h </w:instrText>
            </w:r>
            <w:r w:rsidR="009D683D" w:rsidRPr="009D683D">
              <w:rPr>
                <w:rFonts w:ascii="Calibri" w:eastAsia="Calibri" w:hAnsi="Calibri" w:cs="Times New Roman"/>
                <w:b/>
                <w:bCs/>
                <w:caps/>
                <w:noProof/>
                <w:webHidden/>
                <w:color w:val="000000" w:themeColor="text1"/>
                <w:szCs w:val="20"/>
              </w:rPr>
            </w:r>
            <w:r w:rsidR="009D683D" w:rsidRPr="009D683D">
              <w:rPr>
                <w:rFonts w:ascii="Calibri" w:eastAsia="Calibri" w:hAnsi="Calibri" w:cs="Times New Roman"/>
                <w:b/>
                <w:bCs/>
                <w:caps/>
                <w:noProof/>
                <w:webHidden/>
                <w:color w:val="000000" w:themeColor="text1"/>
                <w:szCs w:val="20"/>
              </w:rPr>
              <w:fldChar w:fldCharType="separate"/>
            </w:r>
            <w:r w:rsidR="009D683D" w:rsidRPr="009D683D">
              <w:rPr>
                <w:rFonts w:ascii="Calibri" w:eastAsia="Calibri" w:hAnsi="Calibri" w:cs="Times New Roman"/>
                <w:b/>
                <w:bCs/>
                <w:caps/>
                <w:noProof/>
                <w:webHidden/>
                <w:color w:val="000000" w:themeColor="text1"/>
                <w:szCs w:val="20"/>
              </w:rPr>
              <w:t>69</w:t>
            </w:r>
            <w:r w:rsidR="009D683D" w:rsidRPr="009D683D">
              <w:rPr>
                <w:rFonts w:ascii="Calibri" w:eastAsia="Calibri" w:hAnsi="Calibri" w:cs="Times New Roman"/>
                <w:b/>
                <w:bCs/>
                <w:caps/>
                <w:noProof/>
                <w:webHidden/>
                <w:color w:val="000000" w:themeColor="text1"/>
                <w:szCs w:val="20"/>
              </w:rPr>
              <w:fldChar w:fldCharType="end"/>
            </w:r>
          </w:hyperlink>
        </w:p>
        <w:p w14:paraId="0256DA37" w14:textId="77777777" w:rsidR="009D683D" w:rsidRPr="009D683D" w:rsidRDefault="00D32AD3" w:rsidP="009D683D">
          <w:pPr>
            <w:tabs>
              <w:tab w:val="left" w:pos="440"/>
              <w:tab w:val="right" w:leader="dot" w:pos="9016"/>
            </w:tabs>
            <w:spacing w:before="120" w:after="120" w:line="240" w:lineRule="auto"/>
            <w:rPr>
              <w:rFonts w:ascii="Calibri" w:eastAsia="Times New Roman" w:hAnsi="Calibri" w:cs="Times New Roman"/>
              <w:noProof/>
              <w:color w:val="000000" w:themeColor="text1"/>
              <w:sz w:val="22"/>
              <w:lang w:eastAsia="en-AU"/>
            </w:rPr>
          </w:pPr>
          <w:hyperlink w:anchor="_Toc2585847" w:history="1">
            <w:r w:rsidR="009D683D" w:rsidRPr="009D683D">
              <w:rPr>
                <w:rFonts w:ascii="Calibri" w:eastAsia="Calibri" w:hAnsi="Calibri" w:cs="Times New Roman"/>
                <w:b/>
                <w:bCs/>
                <w:caps/>
                <w:noProof/>
                <w:color w:val="000000" w:themeColor="text1"/>
                <w:szCs w:val="20"/>
              </w:rPr>
              <w:t>Appendix C     Prophylaxis Protocol</w:t>
            </w:r>
            <w:r w:rsidR="009D683D" w:rsidRPr="009D683D">
              <w:rPr>
                <w:rFonts w:ascii="Calibri" w:eastAsia="Calibri" w:hAnsi="Calibri" w:cs="Times New Roman"/>
                <w:b/>
                <w:bCs/>
                <w:caps/>
                <w:noProof/>
                <w:webHidden/>
                <w:color w:val="000000" w:themeColor="text1"/>
                <w:szCs w:val="20"/>
              </w:rPr>
              <w:tab/>
            </w:r>
            <w:r w:rsidR="009D683D" w:rsidRPr="009D683D">
              <w:rPr>
                <w:rFonts w:ascii="Calibri" w:eastAsia="Calibri" w:hAnsi="Calibri" w:cs="Times New Roman"/>
                <w:b/>
                <w:bCs/>
                <w:caps/>
                <w:noProof/>
                <w:webHidden/>
                <w:color w:val="000000" w:themeColor="text1"/>
                <w:szCs w:val="20"/>
              </w:rPr>
              <w:fldChar w:fldCharType="begin"/>
            </w:r>
            <w:r w:rsidR="009D683D" w:rsidRPr="009D683D">
              <w:rPr>
                <w:rFonts w:ascii="Calibri" w:eastAsia="Calibri" w:hAnsi="Calibri" w:cs="Times New Roman"/>
                <w:b/>
                <w:bCs/>
                <w:caps/>
                <w:noProof/>
                <w:webHidden/>
                <w:color w:val="000000" w:themeColor="text1"/>
                <w:szCs w:val="20"/>
              </w:rPr>
              <w:instrText xml:space="preserve"> PAGEREF _Toc2585847 \h </w:instrText>
            </w:r>
            <w:r w:rsidR="009D683D" w:rsidRPr="009D683D">
              <w:rPr>
                <w:rFonts w:ascii="Calibri" w:eastAsia="Calibri" w:hAnsi="Calibri" w:cs="Times New Roman"/>
                <w:b/>
                <w:bCs/>
                <w:caps/>
                <w:noProof/>
                <w:webHidden/>
                <w:color w:val="000000" w:themeColor="text1"/>
                <w:szCs w:val="20"/>
              </w:rPr>
            </w:r>
            <w:r w:rsidR="009D683D" w:rsidRPr="009D683D">
              <w:rPr>
                <w:rFonts w:ascii="Calibri" w:eastAsia="Calibri" w:hAnsi="Calibri" w:cs="Times New Roman"/>
                <w:b/>
                <w:bCs/>
                <w:caps/>
                <w:noProof/>
                <w:webHidden/>
                <w:color w:val="000000" w:themeColor="text1"/>
                <w:szCs w:val="20"/>
              </w:rPr>
              <w:fldChar w:fldCharType="separate"/>
            </w:r>
            <w:r w:rsidR="009D683D" w:rsidRPr="009D683D">
              <w:rPr>
                <w:rFonts w:ascii="Calibri" w:eastAsia="Calibri" w:hAnsi="Calibri" w:cs="Times New Roman"/>
                <w:b/>
                <w:bCs/>
                <w:caps/>
                <w:noProof/>
                <w:webHidden/>
                <w:color w:val="000000" w:themeColor="text1"/>
                <w:szCs w:val="20"/>
              </w:rPr>
              <w:t>70</w:t>
            </w:r>
            <w:r w:rsidR="009D683D" w:rsidRPr="009D683D">
              <w:rPr>
                <w:rFonts w:ascii="Calibri" w:eastAsia="Calibri" w:hAnsi="Calibri" w:cs="Times New Roman"/>
                <w:b/>
                <w:bCs/>
                <w:caps/>
                <w:noProof/>
                <w:webHidden/>
                <w:color w:val="000000" w:themeColor="text1"/>
                <w:szCs w:val="20"/>
              </w:rPr>
              <w:fldChar w:fldCharType="end"/>
            </w:r>
          </w:hyperlink>
        </w:p>
        <w:p w14:paraId="58FE0F26" w14:textId="77777777" w:rsidR="009D683D" w:rsidRPr="009D683D" w:rsidRDefault="00D32AD3" w:rsidP="009D683D">
          <w:pPr>
            <w:tabs>
              <w:tab w:val="left" w:pos="440"/>
              <w:tab w:val="right" w:leader="dot" w:pos="9016"/>
            </w:tabs>
            <w:spacing w:before="120" w:after="120" w:line="240" w:lineRule="auto"/>
            <w:rPr>
              <w:rFonts w:ascii="Calibri" w:eastAsia="Times New Roman" w:hAnsi="Calibri" w:cs="Times New Roman"/>
              <w:noProof/>
              <w:color w:val="000000" w:themeColor="text1"/>
              <w:sz w:val="22"/>
              <w:lang w:eastAsia="en-AU"/>
            </w:rPr>
          </w:pPr>
          <w:hyperlink w:anchor="_Toc2585848" w:history="1">
            <w:r w:rsidR="009D683D" w:rsidRPr="009D683D">
              <w:rPr>
                <w:rFonts w:ascii="Calibri" w:eastAsia="Calibri" w:hAnsi="Calibri" w:cs="Times New Roman"/>
                <w:b/>
                <w:bCs/>
                <w:caps/>
                <w:noProof/>
                <w:color w:val="000000" w:themeColor="text1"/>
                <w:szCs w:val="20"/>
              </w:rPr>
              <w:t>References</w:t>
            </w:r>
            <w:r w:rsidR="009D683D" w:rsidRPr="009D683D">
              <w:rPr>
                <w:rFonts w:ascii="Calibri" w:eastAsia="Calibri" w:hAnsi="Calibri" w:cs="Times New Roman"/>
                <w:b/>
                <w:bCs/>
                <w:caps/>
                <w:noProof/>
                <w:webHidden/>
                <w:color w:val="000000" w:themeColor="text1"/>
                <w:szCs w:val="20"/>
              </w:rPr>
              <w:tab/>
            </w:r>
            <w:r w:rsidR="009D683D" w:rsidRPr="009D683D">
              <w:rPr>
                <w:rFonts w:ascii="Calibri" w:eastAsia="Calibri" w:hAnsi="Calibri" w:cs="Times New Roman"/>
                <w:b/>
                <w:bCs/>
                <w:caps/>
                <w:noProof/>
                <w:webHidden/>
                <w:color w:val="000000" w:themeColor="text1"/>
                <w:szCs w:val="20"/>
              </w:rPr>
              <w:fldChar w:fldCharType="begin"/>
            </w:r>
            <w:r w:rsidR="009D683D" w:rsidRPr="009D683D">
              <w:rPr>
                <w:rFonts w:ascii="Calibri" w:eastAsia="Calibri" w:hAnsi="Calibri" w:cs="Times New Roman"/>
                <w:b/>
                <w:bCs/>
                <w:caps/>
                <w:noProof/>
                <w:webHidden/>
                <w:color w:val="000000" w:themeColor="text1"/>
                <w:szCs w:val="20"/>
              </w:rPr>
              <w:instrText xml:space="preserve"> PAGEREF _Toc2585848 \h </w:instrText>
            </w:r>
            <w:r w:rsidR="009D683D" w:rsidRPr="009D683D">
              <w:rPr>
                <w:rFonts w:ascii="Calibri" w:eastAsia="Calibri" w:hAnsi="Calibri" w:cs="Times New Roman"/>
                <w:b/>
                <w:bCs/>
                <w:caps/>
                <w:noProof/>
                <w:webHidden/>
                <w:color w:val="000000" w:themeColor="text1"/>
                <w:szCs w:val="20"/>
              </w:rPr>
            </w:r>
            <w:r w:rsidR="009D683D" w:rsidRPr="009D683D">
              <w:rPr>
                <w:rFonts w:ascii="Calibri" w:eastAsia="Calibri" w:hAnsi="Calibri" w:cs="Times New Roman"/>
                <w:b/>
                <w:bCs/>
                <w:caps/>
                <w:noProof/>
                <w:webHidden/>
                <w:color w:val="000000" w:themeColor="text1"/>
                <w:szCs w:val="20"/>
              </w:rPr>
              <w:fldChar w:fldCharType="separate"/>
            </w:r>
            <w:r w:rsidR="009D683D" w:rsidRPr="009D683D">
              <w:rPr>
                <w:rFonts w:ascii="Calibri" w:eastAsia="Calibri" w:hAnsi="Calibri" w:cs="Times New Roman"/>
                <w:b/>
                <w:bCs/>
                <w:caps/>
                <w:noProof/>
                <w:webHidden/>
                <w:color w:val="000000" w:themeColor="text1"/>
                <w:szCs w:val="20"/>
              </w:rPr>
              <w:t>72</w:t>
            </w:r>
            <w:r w:rsidR="009D683D" w:rsidRPr="009D683D">
              <w:rPr>
                <w:rFonts w:ascii="Calibri" w:eastAsia="Calibri" w:hAnsi="Calibri" w:cs="Times New Roman"/>
                <w:b/>
                <w:bCs/>
                <w:caps/>
                <w:noProof/>
                <w:webHidden/>
                <w:color w:val="000000" w:themeColor="text1"/>
                <w:szCs w:val="20"/>
              </w:rPr>
              <w:fldChar w:fldCharType="end"/>
            </w:r>
          </w:hyperlink>
        </w:p>
        <w:p w14:paraId="2598143A" w14:textId="77777777" w:rsidR="009D683D" w:rsidRPr="009D683D" w:rsidRDefault="009D683D" w:rsidP="009D683D">
          <w:pPr>
            <w:rPr>
              <w:rFonts w:ascii="Calibri" w:eastAsia="Calibri" w:hAnsi="Calibri" w:cs="Times New Roman"/>
              <w:color w:val="000000" w:themeColor="text1"/>
              <w:sz w:val="22"/>
            </w:rPr>
          </w:pPr>
          <w:r w:rsidRPr="009D683D">
            <w:rPr>
              <w:rFonts w:ascii="Calibri" w:eastAsia="Calibri" w:hAnsi="Calibri" w:cs="Times New Roman"/>
              <w:b/>
              <w:bCs/>
              <w:noProof/>
              <w:color w:val="000000" w:themeColor="text1"/>
              <w:sz w:val="22"/>
            </w:rPr>
            <w:fldChar w:fldCharType="end"/>
          </w:r>
        </w:p>
      </w:sdtContent>
    </w:sdt>
    <w:p w14:paraId="564CC35F" w14:textId="77777777" w:rsidR="009D683D" w:rsidRPr="009D683D" w:rsidRDefault="009D683D" w:rsidP="009D683D">
      <w:pPr>
        <w:rPr>
          <w:rFonts w:ascii="Calibri Light" w:eastAsia="Times New Roman" w:hAnsi="Calibri Light" w:cs="Times New Roman"/>
          <w:color w:val="000000" w:themeColor="text1"/>
          <w:spacing w:val="-10"/>
          <w:kern w:val="28"/>
          <w:sz w:val="56"/>
          <w:szCs w:val="56"/>
        </w:rPr>
      </w:pPr>
      <w:r w:rsidRPr="009D683D">
        <w:rPr>
          <w:rFonts w:ascii="Calibri" w:eastAsia="Calibri" w:hAnsi="Calibri" w:cs="Times New Roman"/>
          <w:color w:val="000000" w:themeColor="text1"/>
          <w:sz w:val="22"/>
        </w:rPr>
        <w:br w:type="page"/>
      </w:r>
    </w:p>
    <w:p w14:paraId="59EFE63B" w14:textId="77777777" w:rsidR="009D683D" w:rsidRPr="009D683D" w:rsidRDefault="009D683D" w:rsidP="009D683D">
      <w:pPr>
        <w:keepNext/>
        <w:keepLines/>
        <w:spacing w:before="240" w:after="0"/>
        <w:ind w:left="360" w:hanging="360"/>
        <w:outlineLvl w:val="0"/>
        <w:rPr>
          <w:rFonts w:ascii="Calibri Light" w:eastAsia="Times New Roman" w:hAnsi="Calibri Light" w:cs="Times New Roman"/>
          <w:b/>
          <w:sz w:val="44"/>
          <w:szCs w:val="44"/>
        </w:rPr>
      </w:pPr>
      <w:bookmarkStart w:id="17" w:name="_Toc2585789"/>
      <w:bookmarkStart w:id="18" w:name="_Hlk2257211"/>
      <w:r w:rsidRPr="009D683D">
        <w:rPr>
          <w:rFonts w:ascii="Calibri Light" w:eastAsia="Times New Roman" w:hAnsi="Calibri Light" w:cs="Times New Roman"/>
          <w:b/>
          <w:sz w:val="44"/>
          <w:szCs w:val="44"/>
        </w:rPr>
        <w:lastRenderedPageBreak/>
        <w:t>Acknowledgements</w:t>
      </w:r>
      <w:bookmarkEnd w:id="17"/>
    </w:p>
    <w:p w14:paraId="636053A7" w14:textId="77777777" w:rsidR="009D683D" w:rsidRPr="009D683D" w:rsidRDefault="009D683D" w:rsidP="009D683D">
      <w:pPr>
        <w:jc w:val="both"/>
        <w:rPr>
          <w:rFonts w:ascii="Calibri" w:eastAsia="Calibri" w:hAnsi="Calibri" w:cs="Times New Roman"/>
          <w:sz w:val="22"/>
          <w:lang w:val="en-US"/>
        </w:rPr>
      </w:pPr>
      <w:r w:rsidRPr="009D683D">
        <w:rPr>
          <w:rFonts w:ascii="Calibri" w:eastAsia="Calibri" w:hAnsi="Calibri" w:cs="Times New Roman"/>
          <w:sz w:val="22"/>
          <w:lang w:val="en-US"/>
        </w:rPr>
        <w:t xml:space="preserve">In June 2018, the Minister for Indigenous Health, the Hon Ken Wyatt MP, commissioned an expert panel, led by the Transplantation Society of Australia and New Zealand (TSANZ), to undertake a comprehensive review into the hurdles, service gaps and practical challenges faced by Aboriginal and Torres Strait Islander patients receiving treatment for kidney disease. A number of expert panel members served on pre- and post-transplant Aboriginal and Torres Strait Islander working groups and contributed to this report, including: Stephen McDonald (Convener), Toby Coates (TSANZ President Elect), Peter </w:t>
      </w:r>
      <w:proofErr w:type="spellStart"/>
      <w:r w:rsidRPr="009D683D">
        <w:rPr>
          <w:rFonts w:ascii="Calibri" w:eastAsia="Calibri" w:hAnsi="Calibri" w:cs="Times New Roman"/>
          <w:sz w:val="22"/>
          <w:lang w:val="en-US"/>
        </w:rPr>
        <w:t>Boan</w:t>
      </w:r>
      <w:proofErr w:type="spellEnd"/>
      <w:r w:rsidRPr="009D683D">
        <w:rPr>
          <w:rFonts w:ascii="Calibri" w:eastAsia="Calibri" w:hAnsi="Calibri" w:cs="Times New Roman"/>
          <w:sz w:val="22"/>
          <w:lang w:val="en-US"/>
        </w:rPr>
        <w:t xml:space="preserve">, Alan Cass, Steve Chadban, Ross Francis, David Goodman, Jaquelyne Hughes, Ashley Irish, Sarah Jones, Wai Lim, William Majoni, </w:t>
      </w:r>
      <w:proofErr w:type="spellStart"/>
      <w:r w:rsidRPr="009D683D">
        <w:rPr>
          <w:rFonts w:ascii="Calibri" w:eastAsia="Calibri" w:hAnsi="Calibri" w:cs="Times New Roman"/>
          <w:sz w:val="22"/>
          <w:lang w:val="en-US"/>
        </w:rPr>
        <w:t>Murty</w:t>
      </w:r>
      <w:proofErr w:type="spellEnd"/>
      <w:r w:rsidRPr="009D683D">
        <w:rPr>
          <w:rFonts w:ascii="Calibri" w:eastAsia="Calibri" w:hAnsi="Calibri" w:cs="Times New Roman"/>
          <w:sz w:val="22"/>
          <w:lang w:val="en-US"/>
        </w:rPr>
        <w:t xml:space="preserve"> </w:t>
      </w:r>
      <w:proofErr w:type="spellStart"/>
      <w:r w:rsidRPr="009D683D">
        <w:rPr>
          <w:rFonts w:ascii="Calibri" w:eastAsia="Calibri" w:hAnsi="Calibri" w:cs="Times New Roman"/>
          <w:sz w:val="22"/>
          <w:lang w:val="en-US"/>
        </w:rPr>
        <w:t>Mantha</w:t>
      </w:r>
      <w:proofErr w:type="spellEnd"/>
      <w:r w:rsidRPr="009D683D">
        <w:rPr>
          <w:rFonts w:ascii="Calibri" w:eastAsia="Calibri" w:hAnsi="Calibri" w:cs="Times New Roman"/>
          <w:sz w:val="22"/>
          <w:lang w:val="en-US"/>
        </w:rPr>
        <w:t xml:space="preserve">, Olivia </w:t>
      </w:r>
      <w:proofErr w:type="spellStart"/>
      <w:r w:rsidRPr="009D683D">
        <w:rPr>
          <w:rFonts w:ascii="Calibri" w:eastAsia="Calibri" w:hAnsi="Calibri" w:cs="Times New Roman"/>
          <w:sz w:val="22"/>
          <w:lang w:val="en-US"/>
        </w:rPr>
        <w:t>O’Donoghue</w:t>
      </w:r>
      <w:proofErr w:type="spellEnd"/>
      <w:r w:rsidRPr="009D683D">
        <w:rPr>
          <w:rFonts w:ascii="Calibri" w:eastAsia="Calibri" w:hAnsi="Calibri" w:cs="Times New Roman"/>
          <w:sz w:val="22"/>
          <w:lang w:val="en-US"/>
        </w:rPr>
        <w:t>, Greg Perry, Christine Russell, Cherian Sajiv and Paul Snelling. Other expert panel members provided constructive comments and review, including: Stephen Alexander, Lucinda Barry, Shilpa Jesudason and Lisa Murphy.</w:t>
      </w:r>
    </w:p>
    <w:p w14:paraId="01760EEE" w14:textId="77777777" w:rsidR="009D683D" w:rsidRPr="009D683D" w:rsidRDefault="009D683D" w:rsidP="009D683D">
      <w:pPr>
        <w:spacing w:line="276" w:lineRule="auto"/>
        <w:jc w:val="both"/>
        <w:rPr>
          <w:rFonts w:ascii="Calibri" w:eastAsia="Calibri" w:hAnsi="Calibri" w:cs="Times New Roman"/>
          <w:sz w:val="22"/>
          <w:lang w:val="en-US"/>
        </w:rPr>
      </w:pPr>
      <w:r w:rsidRPr="009D683D">
        <w:rPr>
          <w:rFonts w:ascii="Calibri" w:eastAsia="Calibri" w:hAnsi="Calibri" w:cs="Times New Roman"/>
          <w:sz w:val="22"/>
          <w:lang w:val="en-US"/>
        </w:rPr>
        <w:t xml:space="preserve">Beyond the expert panel, a number of health professionals from clinical and research settings provided valuable advice that shaped the development of the report. The authors would like to thank </w:t>
      </w:r>
      <w:proofErr w:type="spellStart"/>
      <w:r w:rsidRPr="009D683D">
        <w:rPr>
          <w:rFonts w:ascii="Calibri" w:eastAsia="Calibri" w:hAnsi="Calibri" w:cs="Times New Roman"/>
          <w:sz w:val="22"/>
          <w:lang w:val="en-US"/>
        </w:rPr>
        <w:t>Asanga</w:t>
      </w:r>
      <w:proofErr w:type="spellEnd"/>
      <w:r w:rsidRPr="009D683D">
        <w:rPr>
          <w:rFonts w:ascii="Calibri" w:eastAsia="Calibri" w:hAnsi="Calibri" w:cs="Times New Roman"/>
          <w:sz w:val="22"/>
          <w:lang w:val="en-US"/>
        </w:rPr>
        <w:t xml:space="preserve"> </w:t>
      </w:r>
      <w:proofErr w:type="spellStart"/>
      <w:r w:rsidRPr="009D683D">
        <w:rPr>
          <w:rFonts w:ascii="Calibri" w:eastAsia="Calibri" w:hAnsi="Calibri" w:cs="Times New Roman"/>
          <w:sz w:val="22"/>
          <w:lang w:val="en-US"/>
        </w:rPr>
        <w:t>Abeyaratne</w:t>
      </w:r>
      <w:proofErr w:type="spellEnd"/>
      <w:r w:rsidRPr="009D683D">
        <w:rPr>
          <w:rFonts w:ascii="Calibri" w:eastAsia="Calibri" w:hAnsi="Calibri" w:cs="Times New Roman"/>
          <w:sz w:val="22"/>
          <w:lang w:val="en-US"/>
        </w:rPr>
        <w:t xml:space="preserve">, Kerry Dole, Janet Kelly, Namrata </w:t>
      </w:r>
      <w:proofErr w:type="spellStart"/>
      <w:r w:rsidRPr="009D683D">
        <w:rPr>
          <w:rFonts w:ascii="Calibri" w:eastAsia="Calibri" w:hAnsi="Calibri" w:cs="Times New Roman"/>
          <w:sz w:val="22"/>
          <w:lang w:val="en-US"/>
        </w:rPr>
        <w:t>Khanal</w:t>
      </w:r>
      <w:proofErr w:type="spellEnd"/>
      <w:r w:rsidRPr="009D683D">
        <w:rPr>
          <w:rFonts w:ascii="Calibri" w:eastAsia="Calibri" w:hAnsi="Calibri" w:cs="Times New Roman"/>
          <w:sz w:val="22"/>
          <w:lang w:val="en-US"/>
        </w:rPr>
        <w:t xml:space="preserve"> and Paul Lawton for their significant contributions. The authors would also like to thank Svetlana </w:t>
      </w:r>
      <w:proofErr w:type="spellStart"/>
      <w:r w:rsidRPr="009D683D">
        <w:rPr>
          <w:rFonts w:ascii="Calibri" w:eastAsia="Calibri" w:hAnsi="Calibri" w:cs="Times New Roman"/>
          <w:sz w:val="22"/>
          <w:lang w:val="en-US"/>
        </w:rPr>
        <w:t>Andrienko</w:t>
      </w:r>
      <w:proofErr w:type="spellEnd"/>
      <w:r w:rsidRPr="009D683D">
        <w:rPr>
          <w:rFonts w:ascii="Calibri" w:eastAsia="Calibri" w:hAnsi="Calibri" w:cs="Times New Roman"/>
          <w:sz w:val="22"/>
          <w:lang w:val="en-US"/>
        </w:rPr>
        <w:t xml:space="preserve"> from Studio </w:t>
      </w:r>
      <w:proofErr w:type="spellStart"/>
      <w:r w:rsidRPr="009D683D">
        <w:rPr>
          <w:rFonts w:ascii="Calibri" w:eastAsia="Calibri" w:hAnsi="Calibri" w:cs="Times New Roman"/>
          <w:sz w:val="22"/>
          <w:lang w:val="en-US"/>
        </w:rPr>
        <w:t>Elevenses</w:t>
      </w:r>
      <w:proofErr w:type="spellEnd"/>
      <w:r w:rsidRPr="009D683D">
        <w:rPr>
          <w:rFonts w:ascii="Calibri" w:eastAsia="Calibri" w:hAnsi="Calibri" w:cs="Times New Roman"/>
          <w:sz w:val="22"/>
          <w:lang w:val="en-US"/>
        </w:rPr>
        <w:t xml:space="preserve"> for designing the recommendation mapping and consolidated list of recommendations graphic, which features in the report’s summary section.</w:t>
      </w:r>
    </w:p>
    <w:p w14:paraId="29276B19" w14:textId="77777777" w:rsidR="009D683D" w:rsidRPr="009D683D" w:rsidRDefault="009D683D" w:rsidP="009D683D">
      <w:pPr>
        <w:jc w:val="both"/>
        <w:rPr>
          <w:rFonts w:ascii="Calibri" w:eastAsia="Calibri" w:hAnsi="Calibri" w:cs="Times New Roman"/>
          <w:sz w:val="22"/>
          <w:lang w:val="en-US"/>
        </w:rPr>
      </w:pPr>
      <w:r w:rsidRPr="009D683D">
        <w:rPr>
          <w:rFonts w:ascii="Calibri" w:eastAsia="Calibri" w:hAnsi="Calibri" w:cs="Times New Roman"/>
          <w:sz w:val="22"/>
          <w:lang w:val="en-US"/>
        </w:rPr>
        <w:t xml:space="preserve">The report was written by Eleanor Garrard and Stephen McDonald. Gill Gorham, </w:t>
      </w:r>
      <w:proofErr w:type="spellStart"/>
      <w:r w:rsidRPr="009D683D">
        <w:rPr>
          <w:rFonts w:ascii="Calibri" w:eastAsia="Calibri" w:hAnsi="Calibri" w:cs="Times New Roman"/>
          <w:sz w:val="22"/>
          <w:lang w:val="en-US"/>
        </w:rPr>
        <w:t>Athira</w:t>
      </w:r>
      <w:proofErr w:type="spellEnd"/>
      <w:r w:rsidRPr="009D683D">
        <w:rPr>
          <w:rFonts w:ascii="Calibri" w:eastAsia="Calibri" w:hAnsi="Calibri" w:cs="Times New Roman"/>
          <w:sz w:val="22"/>
          <w:lang w:val="en-US"/>
        </w:rPr>
        <w:t xml:space="preserve"> Rohit and Charles </w:t>
      </w:r>
      <w:proofErr w:type="spellStart"/>
      <w:r w:rsidRPr="009D683D">
        <w:rPr>
          <w:rFonts w:ascii="Calibri" w:eastAsia="Calibri" w:hAnsi="Calibri" w:cs="Times New Roman"/>
          <w:sz w:val="22"/>
          <w:lang w:val="en-US"/>
        </w:rPr>
        <w:t>Triggs</w:t>
      </w:r>
      <w:proofErr w:type="spellEnd"/>
      <w:r w:rsidRPr="009D683D">
        <w:rPr>
          <w:rFonts w:ascii="Calibri" w:eastAsia="Calibri" w:hAnsi="Calibri" w:cs="Times New Roman"/>
          <w:sz w:val="22"/>
          <w:lang w:val="en-US"/>
        </w:rPr>
        <w:t xml:space="preserve"> undertook extensive work in reviewing the evidence base and investigating current practices of </w:t>
      </w:r>
      <w:proofErr w:type="spellStart"/>
      <w:r w:rsidRPr="009D683D">
        <w:rPr>
          <w:rFonts w:ascii="Calibri" w:eastAsia="Calibri" w:hAnsi="Calibri" w:cs="Times New Roman"/>
          <w:sz w:val="22"/>
          <w:lang w:val="en-US"/>
        </w:rPr>
        <w:t>renal</w:t>
      </w:r>
      <w:proofErr w:type="spellEnd"/>
      <w:r w:rsidRPr="009D683D">
        <w:rPr>
          <w:rFonts w:ascii="Calibri" w:eastAsia="Calibri" w:hAnsi="Calibri" w:cs="Times New Roman"/>
          <w:sz w:val="22"/>
          <w:lang w:val="en-US"/>
        </w:rPr>
        <w:t xml:space="preserve"> units. Kim Rawson managed the project for TSANZ.</w:t>
      </w:r>
    </w:p>
    <w:p w14:paraId="68445F1E" w14:textId="77777777" w:rsidR="009D683D" w:rsidRPr="009D683D" w:rsidRDefault="009D683D" w:rsidP="009D683D">
      <w:pPr>
        <w:jc w:val="both"/>
        <w:rPr>
          <w:rFonts w:ascii="Calibri" w:eastAsia="Calibri" w:hAnsi="Calibri" w:cs="Times New Roman"/>
          <w:sz w:val="22"/>
          <w:lang w:val="en-US"/>
        </w:rPr>
      </w:pPr>
      <w:r w:rsidRPr="009D683D">
        <w:rPr>
          <w:rFonts w:ascii="Calibri" w:eastAsia="Calibri" w:hAnsi="Calibri" w:cs="Times New Roman"/>
          <w:sz w:val="22"/>
          <w:lang w:val="en-US"/>
        </w:rPr>
        <w:t xml:space="preserve">This report was funded by the Federal Department of Health under the Indigenous Australians’ Health </w:t>
      </w:r>
      <w:proofErr w:type="spellStart"/>
      <w:r w:rsidRPr="009D683D">
        <w:rPr>
          <w:rFonts w:ascii="Calibri" w:eastAsia="Calibri" w:hAnsi="Calibri" w:cs="Times New Roman"/>
          <w:sz w:val="22"/>
          <w:lang w:val="en-US"/>
        </w:rPr>
        <w:t>Programme</w:t>
      </w:r>
      <w:proofErr w:type="spellEnd"/>
      <w:r w:rsidRPr="009D683D">
        <w:rPr>
          <w:rFonts w:ascii="Calibri" w:eastAsia="Calibri" w:hAnsi="Calibri" w:cs="Times New Roman"/>
          <w:sz w:val="22"/>
          <w:lang w:val="en-US"/>
        </w:rPr>
        <w:t xml:space="preserve">. The authors appreciate the guidance provided by the Department, and particularly the ongoing support from Angela Donovan, Penny Jones and Anna </w:t>
      </w:r>
      <w:proofErr w:type="spellStart"/>
      <w:r w:rsidRPr="009D683D">
        <w:rPr>
          <w:rFonts w:ascii="Calibri" w:eastAsia="Calibri" w:hAnsi="Calibri" w:cs="Times New Roman"/>
          <w:sz w:val="22"/>
          <w:lang w:val="en-US"/>
        </w:rPr>
        <w:t>Osland</w:t>
      </w:r>
      <w:proofErr w:type="spellEnd"/>
      <w:r w:rsidRPr="009D683D">
        <w:rPr>
          <w:rFonts w:ascii="Calibri" w:eastAsia="Calibri" w:hAnsi="Calibri" w:cs="Times New Roman"/>
          <w:sz w:val="22"/>
          <w:lang w:val="en-US"/>
        </w:rPr>
        <w:t xml:space="preserve">. </w:t>
      </w:r>
    </w:p>
    <w:bookmarkEnd w:id="18"/>
    <w:p w14:paraId="220200B7" w14:textId="77777777" w:rsidR="009D683D" w:rsidRPr="009D683D" w:rsidRDefault="009D683D" w:rsidP="009D683D">
      <w:pPr>
        <w:rPr>
          <w:rFonts w:ascii="Calibri" w:eastAsia="Calibri" w:hAnsi="Calibri" w:cs="Times New Roman"/>
          <w:sz w:val="22"/>
        </w:rPr>
      </w:pPr>
    </w:p>
    <w:p w14:paraId="41E2438C" w14:textId="77777777" w:rsidR="009D683D" w:rsidRPr="009D683D" w:rsidRDefault="009D683D" w:rsidP="009D683D">
      <w:pPr>
        <w:spacing w:line="276" w:lineRule="auto"/>
        <w:jc w:val="both"/>
        <w:rPr>
          <w:rFonts w:ascii="Calibri Light" w:eastAsia="Times New Roman" w:hAnsi="Calibri Light" w:cs="Times New Roman"/>
          <w:spacing w:val="-10"/>
          <w:kern w:val="28"/>
          <w:sz w:val="56"/>
          <w:szCs w:val="56"/>
        </w:rPr>
      </w:pPr>
      <w:r w:rsidRPr="009D683D">
        <w:rPr>
          <w:rFonts w:ascii="Calibri" w:eastAsia="Calibri" w:hAnsi="Calibri" w:cs="Times New Roman"/>
          <w:sz w:val="22"/>
        </w:rPr>
        <w:br w:type="page"/>
      </w:r>
    </w:p>
    <w:p w14:paraId="20462E40" w14:textId="77777777" w:rsidR="009D683D" w:rsidRPr="009D683D" w:rsidRDefault="009D683D" w:rsidP="009D683D">
      <w:pPr>
        <w:keepNext/>
        <w:keepLines/>
        <w:spacing w:before="240" w:after="0"/>
        <w:ind w:left="360" w:hanging="360"/>
        <w:outlineLvl w:val="0"/>
        <w:rPr>
          <w:rFonts w:ascii="Calibri Light" w:eastAsia="Times New Roman" w:hAnsi="Calibri Light" w:cs="Times New Roman"/>
          <w:b/>
          <w:sz w:val="44"/>
          <w:szCs w:val="44"/>
        </w:rPr>
      </w:pPr>
      <w:bookmarkStart w:id="19" w:name="_Toc2585790"/>
      <w:r w:rsidRPr="009D683D">
        <w:rPr>
          <w:rFonts w:ascii="Calibri Light" w:eastAsia="Times New Roman" w:hAnsi="Calibri Light" w:cs="Times New Roman"/>
          <w:b/>
          <w:sz w:val="44"/>
          <w:szCs w:val="44"/>
        </w:rPr>
        <w:lastRenderedPageBreak/>
        <w:t>Abbreviations</w:t>
      </w:r>
      <w:bookmarkEnd w:id="19"/>
    </w:p>
    <w:p w14:paraId="3F68FF4D"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ABS</w:t>
      </w:r>
      <w:r w:rsidRPr="009D683D">
        <w:rPr>
          <w:rFonts w:ascii="Calibri" w:eastAsia="Calibri" w:hAnsi="Calibri" w:cs="Times New Roman"/>
          <w:sz w:val="22"/>
        </w:rPr>
        <w:tab/>
      </w:r>
      <w:r w:rsidRPr="009D683D">
        <w:rPr>
          <w:rFonts w:ascii="Calibri" w:eastAsia="Calibri" w:hAnsi="Calibri" w:cs="Times New Roman"/>
          <w:sz w:val="22"/>
        </w:rPr>
        <w:tab/>
        <w:t>Australian Bureau of Statistics</w:t>
      </w:r>
      <w:r w:rsidRPr="009D683D">
        <w:rPr>
          <w:rFonts w:ascii="Calibri" w:eastAsia="Calibri" w:hAnsi="Calibri" w:cs="Times New Roman"/>
          <w:sz w:val="22"/>
        </w:rPr>
        <w:tab/>
      </w:r>
    </w:p>
    <w:p w14:paraId="3A1713B3"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ACCHS</w:t>
      </w:r>
      <w:r w:rsidRPr="009D683D">
        <w:rPr>
          <w:rFonts w:ascii="Calibri" w:eastAsia="Calibri" w:hAnsi="Calibri" w:cs="Times New Roman"/>
          <w:sz w:val="22"/>
        </w:rPr>
        <w:tab/>
      </w:r>
      <w:r w:rsidRPr="009D683D">
        <w:rPr>
          <w:rFonts w:ascii="Calibri" w:eastAsia="Calibri" w:hAnsi="Calibri" w:cs="Times New Roman"/>
          <w:sz w:val="22"/>
        </w:rPr>
        <w:tab/>
        <w:t>Aboriginal Community Controlled Health Services</w:t>
      </w:r>
    </w:p>
    <w:p w14:paraId="225B94FE"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ACSQHC</w:t>
      </w:r>
      <w:r w:rsidRPr="009D683D">
        <w:rPr>
          <w:rFonts w:ascii="Calibri" w:eastAsia="Calibri" w:hAnsi="Calibri" w:cs="Times New Roman"/>
          <w:sz w:val="22"/>
        </w:rPr>
        <w:tab/>
        <w:t>Australian Commission on Safety and Quality in Health Care</w:t>
      </w:r>
    </w:p>
    <w:p w14:paraId="2E6F9B62"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AIATSIS</w:t>
      </w:r>
      <w:r w:rsidRPr="009D683D">
        <w:rPr>
          <w:rFonts w:ascii="Calibri" w:eastAsia="Calibri" w:hAnsi="Calibri" w:cs="Times New Roman"/>
          <w:sz w:val="22"/>
        </w:rPr>
        <w:tab/>
      </w:r>
      <w:r w:rsidRPr="009D683D">
        <w:rPr>
          <w:rFonts w:ascii="Calibri" w:eastAsia="Calibri" w:hAnsi="Calibri" w:cs="Times New Roman"/>
          <w:sz w:val="22"/>
        </w:rPr>
        <w:tab/>
        <w:t>Australian Institute of Aboriginal and Torres Strait Islander Studies</w:t>
      </w:r>
    </w:p>
    <w:p w14:paraId="0AA8C08B"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AIHW</w:t>
      </w:r>
      <w:r w:rsidRPr="009D683D">
        <w:rPr>
          <w:rFonts w:ascii="Calibri" w:eastAsia="Calibri" w:hAnsi="Calibri" w:cs="Times New Roman"/>
          <w:sz w:val="22"/>
        </w:rPr>
        <w:tab/>
      </w:r>
      <w:r w:rsidRPr="009D683D">
        <w:rPr>
          <w:rFonts w:ascii="Calibri" w:eastAsia="Calibri" w:hAnsi="Calibri" w:cs="Times New Roman"/>
          <w:sz w:val="22"/>
        </w:rPr>
        <w:tab/>
        <w:t>Australian Institute of Health and Welfare</w:t>
      </w:r>
    </w:p>
    <w:p w14:paraId="06EF41FB"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ANZDATA</w:t>
      </w:r>
      <w:r w:rsidRPr="009D683D">
        <w:rPr>
          <w:rFonts w:ascii="Calibri" w:eastAsia="Calibri" w:hAnsi="Calibri" w:cs="Times New Roman"/>
          <w:sz w:val="22"/>
        </w:rPr>
        <w:tab/>
        <w:t>Australia and New Zealand Dialysis and Transplant Registry</w:t>
      </w:r>
    </w:p>
    <w:p w14:paraId="23C2F77A"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ANZSN</w:t>
      </w:r>
      <w:r w:rsidRPr="009D683D">
        <w:rPr>
          <w:rFonts w:ascii="Calibri" w:eastAsia="Calibri" w:hAnsi="Calibri" w:cs="Times New Roman"/>
          <w:sz w:val="22"/>
        </w:rPr>
        <w:tab/>
      </w:r>
      <w:r w:rsidRPr="009D683D">
        <w:rPr>
          <w:rFonts w:ascii="Calibri" w:eastAsia="Calibri" w:hAnsi="Calibri" w:cs="Times New Roman"/>
          <w:sz w:val="22"/>
        </w:rPr>
        <w:tab/>
        <w:t>Australian and New Zealand Society of Nephrology</w:t>
      </w:r>
    </w:p>
    <w:p w14:paraId="099CCD21"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 xml:space="preserve">CKD </w:t>
      </w:r>
      <w:r w:rsidRPr="009D683D">
        <w:rPr>
          <w:rFonts w:ascii="Calibri" w:eastAsia="Calibri" w:hAnsi="Calibri" w:cs="Times New Roman"/>
          <w:sz w:val="22"/>
        </w:rPr>
        <w:tab/>
      </w:r>
      <w:r w:rsidRPr="009D683D">
        <w:rPr>
          <w:rFonts w:ascii="Calibri" w:eastAsia="Calibri" w:hAnsi="Calibri" w:cs="Times New Roman"/>
          <w:sz w:val="22"/>
        </w:rPr>
        <w:tab/>
        <w:t>chronic kidney disease</w:t>
      </w:r>
      <w:r w:rsidRPr="009D683D">
        <w:rPr>
          <w:rFonts w:ascii="Calibri" w:eastAsia="Calibri" w:hAnsi="Calibri" w:cs="Times New Roman"/>
          <w:sz w:val="22"/>
        </w:rPr>
        <w:tab/>
      </w:r>
      <w:r w:rsidRPr="009D683D">
        <w:rPr>
          <w:rFonts w:ascii="Calibri" w:eastAsia="Calibri" w:hAnsi="Calibri" w:cs="Times New Roman"/>
          <w:sz w:val="22"/>
        </w:rPr>
        <w:tab/>
      </w:r>
      <w:r w:rsidRPr="009D683D">
        <w:rPr>
          <w:rFonts w:ascii="Calibri" w:eastAsia="Calibri" w:hAnsi="Calibri" w:cs="Times New Roman"/>
          <w:sz w:val="22"/>
        </w:rPr>
        <w:tab/>
      </w:r>
      <w:r w:rsidRPr="009D683D">
        <w:rPr>
          <w:rFonts w:ascii="Calibri" w:eastAsia="Calibri" w:hAnsi="Calibri" w:cs="Times New Roman"/>
          <w:sz w:val="22"/>
        </w:rPr>
        <w:tab/>
      </w:r>
      <w:r w:rsidRPr="009D683D">
        <w:rPr>
          <w:rFonts w:ascii="Calibri" w:eastAsia="Calibri" w:hAnsi="Calibri" w:cs="Times New Roman"/>
          <w:sz w:val="22"/>
        </w:rPr>
        <w:tab/>
        <w:t xml:space="preserve"> </w:t>
      </w:r>
    </w:p>
    <w:p w14:paraId="5F761B3E"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CVD</w:t>
      </w:r>
      <w:r w:rsidRPr="009D683D">
        <w:rPr>
          <w:rFonts w:ascii="Calibri" w:eastAsia="Calibri" w:hAnsi="Calibri" w:cs="Times New Roman"/>
          <w:sz w:val="22"/>
        </w:rPr>
        <w:tab/>
      </w:r>
      <w:r w:rsidRPr="009D683D">
        <w:rPr>
          <w:rFonts w:ascii="Calibri" w:eastAsia="Calibri" w:hAnsi="Calibri" w:cs="Times New Roman"/>
          <w:sz w:val="22"/>
        </w:rPr>
        <w:tab/>
        <w:t>cardiovascular disease</w:t>
      </w:r>
      <w:r w:rsidRPr="009D683D">
        <w:rPr>
          <w:rFonts w:ascii="Calibri" w:eastAsia="Calibri" w:hAnsi="Calibri" w:cs="Times New Roman"/>
          <w:sz w:val="22"/>
        </w:rPr>
        <w:tab/>
      </w:r>
    </w:p>
    <w:p w14:paraId="50FFF276" w14:textId="77777777" w:rsidR="009D683D" w:rsidRPr="009D683D" w:rsidRDefault="009D683D" w:rsidP="009D683D">
      <w:pPr>
        <w:rPr>
          <w:rFonts w:ascii="Calibri" w:eastAsia="Calibri" w:hAnsi="Calibri" w:cs="Times New Roman"/>
          <w:sz w:val="22"/>
        </w:rPr>
      </w:pPr>
      <w:proofErr w:type="spellStart"/>
      <w:r w:rsidRPr="009D683D">
        <w:rPr>
          <w:rFonts w:ascii="Calibri" w:eastAsia="Calibri" w:hAnsi="Calibri" w:cs="Times New Roman"/>
          <w:sz w:val="22"/>
        </w:rPr>
        <w:t>DoH</w:t>
      </w:r>
      <w:proofErr w:type="spellEnd"/>
      <w:r w:rsidRPr="009D683D">
        <w:rPr>
          <w:rFonts w:ascii="Calibri" w:eastAsia="Calibri" w:hAnsi="Calibri" w:cs="Times New Roman"/>
          <w:sz w:val="22"/>
        </w:rPr>
        <w:tab/>
      </w:r>
      <w:r w:rsidRPr="009D683D">
        <w:rPr>
          <w:rFonts w:ascii="Calibri" w:eastAsia="Calibri" w:hAnsi="Calibri" w:cs="Times New Roman"/>
          <w:sz w:val="22"/>
        </w:rPr>
        <w:tab/>
        <w:t xml:space="preserve">Commonwealth Department of Health </w:t>
      </w:r>
    </w:p>
    <w:p w14:paraId="06058A03"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 xml:space="preserve">ESKD </w:t>
      </w:r>
      <w:r w:rsidRPr="009D683D">
        <w:rPr>
          <w:rFonts w:ascii="Calibri" w:eastAsia="Calibri" w:hAnsi="Calibri" w:cs="Times New Roman"/>
          <w:sz w:val="22"/>
        </w:rPr>
        <w:tab/>
      </w:r>
      <w:r w:rsidRPr="009D683D">
        <w:rPr>
          <w:rFonts w:ascii="Calibri" w:eastAsia="Calibri" w:hAnsi="Calibri" w:cs="Times New Roman"/>
          <w:sz w:val="22"/>
        </w:rPr>
        <w:tab/>
        <w:t>end-stage kidney disease</w:t>
      </w:r>
    </w:p>
    <w:p w14:paraId="1D8C5335"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eGFR</w:t>
      </w:r>
      <w:r w:rsidRPr="009D683D">
        <w:rPr>
          <w:rFonts w:ascii="Calibri" w:eastAsia="Calibri" w:hAnsi="Calibri" w:cs="Times New Roman"/>
          <w:sz w:val="22"/>
        </w:rPr>
        <w:tab/>
      </w:r>
      <w:r w:rsidRPr="009D683D">
        <w:rPr>
          <w:rFonts w:ascii="Calibri" w:eastAsia="Calibri" w:hAnsi="Calibri" w:cs="Times New Roman"/>
          <w:sz w:val="22"/>
        </w:rPr>
        <w:tab/>
        <w:t>estimated glomerular filtration rate</w:t>
      </w:r>
    </w:p>
    <w:p w14:paraId="2B60E1FC"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HD</w:t>
      </w:r>
      <w:r w:rsidRPr="009D683D">
        <w:rPr>
          <w:rFonts w:ascii="Calibri" w:eastAsia="Calibri" w:hAnsi="Calibri" w:cs="Times New Roman"/>
          <w:sz w:val="22"/>
        </w:rPr>
        <w:tab/>
      </w:r>
      <w:r w:rsidRPr="009D683D">
        <w:rPr>
          <w:rFonts w:ascii="Calibri" w:eastAsia="Calibri" w:hAnsi="Calibri" w:cs="Times New Roman"/>
          <w:sz w:val="22"/>
        </w:rPr>
        <w:tab/>
        <w:t>haemodialysis</w:t>
      </w:r>
    </w:p>
    <w:p w14:paraId="3ECA5032"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HLA</w:t>
      </w:r>
      <w:r w:rsidRPr="009D683D">
        <w:rPr>
          <w:rFonts w:ascii="Calibri" w:eastAsia="Calibri" w:hAnsi="Calibri" w:cs="Times New Roman"/>
          <w:sz w:val="22"/>
        </w:rPr>
        <w:tab/>
      </w:r>
      <w:r w:rsidRPr="009D683D">
        <w:rPr>
          <w:rFonts w:ascii="Calibri" w:eastAsia="Calibri" w:hAnsi="Calibri" w:cs="Times New Roman"/>
          <w:sz w:val="22"/>
        </w:rPr>
        <w:tab/>
        <w:t>human leukocyte antigen</w:t>
      </w:r>
    </w:p>
    <w:p w14:paraId="72736B39"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KHA</w:t>
      </w:r>
      <w:r w:rsidRPr="009D683D">
        <w:rPr>
          <w:rFonts w:ascii="Calibri" w:eastAsia="Calibri" w:hAnsi="Calibri" w:cs="Times New Roman"/>
          <w:sz w:val="22"/>
        </w:rPr>
        <w:tab/>
      </w:r>
      <w:r w:rsidRPr="009D683D">
        <w:rPr>
          <w:rFonts w:ascii="Calibri" w:eastAsia="Calibri" w:hAnsi="Calibri" w:cs="Times New Roman"/>
          <w:sz w:val="22"/>
        </w:rPr>
        <w:tab/>
        <w:t>Kidney Health Australia</w:t>
      </w:r>
    </w:p>
    <w:p w14:paraId="50E55A79"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MBS</w:t>
      </w:r>
      <w:r w:rsidRPr="009D683D">
        <w:rPr>
          <w:rFonts w:ascii="Calibri" w:eastAsia="Calibri" w:hAnsi="Calibri" w:cs="Times New Roman"/>
          <w:sz w:val="22"/>
        </w:rPr>
        <w:tab/>
      </w:r>
      <w:r w:rsidRPr="009D683D">
        <w:rPr>
          <w:rFonts w:ascii="Calibri" w:eastAsia="Calibri" w:hAnsi="Calibri" w:cs="Times New Roman"/>
          <w:sz w:val="22"/>
        </w:rPr>
        <w:tab/>
        <w:t>Medicare Benefits Schedule</w:t>
      </w:r>
    </w:p>
    <w:p w14:paraId="09CCBC09"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NRHA</w:t>
      </w:r>
      <w:r w:rsidRPr="009D683D">
        <w:rPr>
          <w:rFonts w:ascii="Calibri" w:eastAsia="Calibri" w:hAnsi="Calibri" w:cs="Times New Roman"/>
          <w:sz w:val="22"/>
        </w:rPr>
        <w:tab/>
      </w:r>
      <w:r w:rsidRPr="009D683D">
        <w:rPr>
          <w:rFonts w:ascii="Calibri" w:eastAsia="Calibri" w:hAnsi="Calibri" w:cs="Times New Roman"/>
          <w:sz w:val="22"/>
        </w:rPr>
        <w:tab/>
        <w:t>National Rural Health Alliance</w:t>
      </w:r>
    </w:p>
    <w:p w14:paraId="0E566436"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OTA</w:t>
      </w:r>
      <w:r w:rsidRPr="009D683D">
        <w:rPr>
          <w:rFonts w:ascii="Calibri" w:eastAsia="Calibri" w:hAnsi="Calibri" w:cs="Times New Roman"/>
          <w:sz w:val="22"/>
        </w:rPr>
        <w:tab/>
      </w:r>
      <w:r w:rsidRPr="009D683D">
        <w:rPr>
          <w:rFonts w:ascii="Calibri" w:eastAsia="Calibri" w:hAnsi="Calibri" w:cs="Times New Roman"/>
          <w:sz w:val="22"/>
        </w:rPr>
        <w:tab/>
        <w:t>Organ and Tissue Authority</w:t>
      </w:r>
    </w:p>
    <w:p w14:paraId="234F3546"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PBS</w:t>
      </w:r>
      <w:r w:rsidRPr="009D683D">
        <w:rPr>
          <w:rFonts w:ascii="Calibri" w:eastAsia="Calibri" w:hAnsi="Calibri" w:cs="Times New Roman"/>
          <w:sz w:val="22"/>
        </w:rPr>
        <w:tab/>
      </w:r>
      <w:r w:rsidRPr="009D683D">
        <w:rPr>
          <w:rFonts w:ascii="Calibri" w:eastAsia="Calibri" w:hAnsi="Calibri" w:cs="Times New Roman"/>
          <w:sz w:val="22"/>
        </w:rPr>
        <w:tab/>
        <w:t>Pharmaceutical Benefits Scheme</w:t>
      </w:r>
    </w:p>
    <w:p w14:paraId="30BB871D"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PD</w:t>
      </w:r>
      <w:r w:rsidRPr="009D683D">
        <w:rPr>
          <w:rFonts w:ascii="Calibri" w:eastAsia="Calibri" w:hAnsi="Calibri" w:cs="Times New Roman"/>
          <w:sz w:val="22"/>
        </w:rPr>
        <w:tab/>
      </w:r>
      <w:r w:rsidRPr="009D683D">
        <w:rPr>
          <w:rFonts w:ascii="Calibri" w:eastAsia="Calibri" w:hAnsi="Calibri" w:cs="Times New Roman"/>
          <w:sz w:val="22"/>
        </w:rPr>
        <w:tab/>
        <w:t>peritoneal dialysis</w:t>
      </w:r>
    </w:p>
    <w:p w14:paraId="253B1E5B"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PNP</w:t>
      </w:r>
      <w:r w:rsidRPr="009D683D">
        <w:rPr>
          <w:rFonts w:ascii="Calibri" w:eastAsia="Calibri" w:hAnsi="Calibri" w:cs="Times New Roman"/>
          <w:sz w:val="22"/>
        </w:rPr>
        <w:tab/>
      </w:r>
      <w:r w:rsidRPr="009D683D">
        <w:rPr>
          <w:rFonts w:ascii="Calibri" w:eastAsia="Calibri" w:hAnsi="Calibri" w:cs="Times New Roman"/>
          <w:sz w:val="22"/>
        </w:rPr>
        <w:tab/>
        <w:t>patient navigator program</w:t>
      </w:r>
    </w:p>
    <w:p w14:paraId="68085316"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 xml:space="preserve">POCT </w:t>
      </w:r>
      <w:r w:rsidRPr="009D683D">
        <w:rPr>
          <w:rFonts w:ascii="Calibri" w:eastAsia="Calibri" w:hAnsi="Calibri" w:cs="Times New Roman"/>
          <w:sz w:val="22"/>
        </w:rPr>
        <w:tab/>
      </w:r>
      <w:r w:rsidRPr="009D683D">
        <w:rPr>
          <w:rFonts w:ascii="Calibri" w:eastAsia="Calibri" w:hAnsi="Calibri" w:cs="Times New Roman"/>
          <w:sz w:val="22"/>
        </w:rPr>
        <w:tab/>
        <w:t>point of care testing</w:t>
      </w:r>
    </w:p>
    <w:p w14:paraId="22685E84"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RRT</w:t>
      </w:r>
      <w:r w:rsidRPr="009D683D">
        <w:rPr>
          <w:rFonts w:ascii="Calibri" w:eastAsia="Calibri" w:hAnsi="Calibri" w:cs="Times New Roman"/>
          <w:sz w:val="22"/>
        </w:rPr>
        <w:tab/>
      </w:r>
      <w:r w:rsidRPr="009D683D">
        <w:rPr>
          <w:rFonts w:ascii="Calibri" w:eastAsia="Calibri" w:hAnsi="Calibri" w:cs="Times New Roman"/>
          <w:sz w:val="22"/>
        </w:rPr>
        <w:tab/>
        <w:t>renal replacement therapy</w:t>
      </w:r>
    </w:p>
    <w:p w14:paraId="18FEBA88" w14:textId="77777777" w:rsidR="009D683D" w:rsidRPr="009D683D" w:rsidRDefault="009D683D" w:rsidP="009D683D">
      <w:pPr>
        <w:spacing w:after="0" w:line="240" w:lineRule="auto"/>
        <w:contextualSpacing/>
        <w:rPr>
          <w:rFonts w:ascii="Calibri Light" w:eastAsia="Times New Roman" w:hAnsi="Calibri Light" w:cs="Times New Roman"/>
          <w:spacing w:val="-10"/>
          <w:kern w:val="28"/>
          <w:sz w:val="52"/>
          <w:szCs w:val="56"/>
        </w:rPr>
      </w:pPr>
    </w:p>
    <w:p w14:paraId="7F46BF4E" w14:textId="77777777" w:rsidR="009D683D" w:rsidRPr="009D683D" w:rsidRDefault="009D683D" w:rsidP="009D683D">
      <w:pPr>
        <w:spacing w:after="0" w:line="240" w:lineRule="auto"/>
        <w:contextualSpacing/>
        <w:rPr>
          <w:rFonts w:ascii="Calibri Light" w:eastAsia="Times New Roman" w:hAnsi="Calibri Light" w:cs="Times New Roman"/>
          <w:spacing w:val="-10"/>
          <w:kern w:val="28"/>
          <w:sz w:val="52"/>
          <w:szCs w:val="56"/>
        </w:rPr>
      </w:pPr>
    </w:p>
    <w:p w14:paraId="5826139D" w14:textId="77777777" w:rsidR="009D683D" w:rsidRPr="009D683D" w:rsidRDefault="009D683D" w:rsidP="009D683D">
      <w:pPr>
        <w:spacing w:after="0" w:line="240" w:lineRule="auto"/>
        <w:contextualSpacing/>
        <w:rPr>
          <w:rFonts w:ascii="Calibri Light" w:eastAsia="Times New Roman" w:hAnsi="Calibri Light" w:cs="Times New Roman"/>
          <w:spacing w:val="-10"/>
          <w:kern w:val="28"/>
          <w:sz w:val="52"/>
          <w:szCs w:val="56"/>
        </w:rPr>
      </w:pPr>
    </w:p>
    <w:p w14:paraId="47CB46AD" w14:textId="77777777" w:rsidR="009D683D" w:rsidRPr="009D683D" w:rsidRDefault="009D683D" w:rsidP="009D683D">
      <w:pPr>
        <w:rPr>
          <w:rFonts w:ascii="Calibri" w:eastAsia="Calibri" w:hAnsi="Calibri" w:cs="Times New Roman"/>
          <w:sz w:val="22"/>
        </w:rPr>
      </w:pPr>
    </w:p>
    <w:p w14:paraId="5C63301D" w14:textId="77777777" w:rsidR="009D683D" w:rsidRPr="009D683D" w:rsidRDefault="009D683D" w:rsidP="009D683D">
      <w:pPr>
        <w:keepNext/>
        <w:keepLines/>
        <w:spacing w:before="240" w:after="0"/>
        <w:ind w:left="360" w:hanging="360"/>
        <w:outlineLvl w:val="0"/>
        <w:rPr>
          <w:rFonts w:ascii="Calibri Light" w:eastAsia="Times New Roman" w:hAnsi="Calibri Light" w:cs="Times New Roman"/>
          <w:b/>
          <w:sz w:val="44"/>
          <w:szCs w:val="44"/>
        </w:rPr>
      </w:pPr>
      <w:r w:rsidRPr="009D683D">
        <w:rPr>
          <w:rFonts w:ascii="Calibri Light" w:eastAsia="Times New Roman" w:hAnsi="Calibri Light" w:cs="Times New Roman"/>
          <w:color w:val="2F5496"/>
          <w:sz w:val="32"/>
          <w:szCs w:val="32"/>
        </w:rPr>
        <w:br w:type="page"/>
      </w:r>
      <w:bookmarkStart w:id="20" w:name="_Toc2585791"/>
      <w:r w:rsidRPr="009D683D">
        <w:rPr>
          <w:rFonts w:ascii="Calibri Light" w:eastAsia="Times New Roman" w:hAnsi="Calibri Light" w:cs="Times New Roman"/>
          <w:b/>
          <w:sz w:val="44"/>
          <w:szCs w:val="44"/>
        </w:rPr>
        <w:lastRenderedPageBreak/>
        <w:t>Terminology</w:t>
      </w:r>
      <w:bookmarkEnd w:id="20"/>
    </w:p>
    <w:p w14:paraId="6439BD7F" w14:textId="77777777" w:rsidR="009D683D" w:rsidRPr="009D683D" w:rsidRDefault="009D683D" w:rsidP="009D683D">
      <w:pPr>
        <w:spacing w:before="100" w:beforeAutospacing="1" w:after="100" w:afterAutospacing="1" w:line="240" w:lineRule="auto"/>
        <w:rPr>
          <w:rFonts w:ascii="Calibri" w:eastAsia="Times New Roman" w:hAnsi="Calibri" w:cs="Calibri Light"/>
          <w:bCs/>
          <w:sz w:val="22"/>
        </w:rPr>
      </w:pPr>
      <w:r w:rsidRPr="009D683D">
        <w:rPr>
          <w:rFonts w:ascii="Calibri" w:eastAsia="Times New Roman" w:hAnsi="Calibri" w:cs="Calibri Light"/>
          <w:b/>
          <w:bCs/>
          <w:sz w:val="22"/>
        </w:rPr>
        <w:t>Bariatric surgery</w:t>
      </w:r>
      <w:r w:rsidRPr="009D683D">
        <w:rPr>
          <w:rFonts w:ascii="Calibri" w:eastAsia="Times New Roman" w:hAnsi="Calibri" w:cs="Calibri Light"/>
          <w:bCs/>
          <w:sz w:val="22"/>
        </w:rPr>
        <w:t>: Comprises a variety of procedures that reduces the size of the stomach and is performed on people who have obesity to achieve weight loss.</w:t>
      </w:r>
    </w:p>
    <w:p w14:paraId="16279FBC" w14:textId="77777777" w:rsidR="009D683D" w:rsidRPr="009D683D" w:rsidRDefault="009D683D" w:rsidP="009D683D">
      <w:pPr>
        <w:spacing w:before="100" w:beforeAutospacing="1" w:after="100" w:afterAutospacing="1" w:line="240" w:lineRule="auto"/>
        <w:rPr>
          <w:rFonts w:ascii="Calibri" w:eastAsia="Times New Roman" w:hAnsi="Calibri" w:cs="Calibri Light"/>
          <w:bCs/>
          <w:sz w:val="22"/>
        </w:rPr>
      </w:pPr>
      <w:r w:rsidRPr="009D683D">
        <w:rPr>
          <w:rFonts w:ascii="Calibri" w:eastAsia="Times New Roman" w:hAnsi="Calibri" w:cs="Calibri Light"/>
          <w:b/>
          <w:bCs/>
          <w:sz w:val="22"/>
        </w:rPr>
        <w:t xml:space="preserve">Comorbidity: </w:t>
      </w:r>
      <w:r w:rsidRPr="009D683D">
        <w:rPr>
          <w:rFonts w:ascii="Calibri" w:eastAsia="Times New Roman" w:hAnsi="Calibri" w:cs="Calibri Light"/>
          <w:bCs/>
          <w:sz w:val="22"/>
        </w:rPr>
        <w:t>The co-occurrence of one or more disorders in the same individual, either at the same time or in some causal sequence.</w:t>
      </w:r>
    </w:p>
    <w:p w14:paraId="0927A6AC" w14:textId="77777777" w:rsidR="009D683D" w:rsidRPr="009D683D" w:rsidRDefault="009D683D" w:rsidP="009D683D">
      <w:pPr>
        <w:spacing w:before="100" w:beforeAutospacing="1" w:after="100" w:afterAutospacing="1" w:line="240" w:lineRule="auto"/>
        <w:rPr>
          <w:rFonts w:ascii="Calibri" w:eastAsia="Times New Roman" w:hAnsi="Calibri" w:cs="Calibri Light"/>
          <w:bCs/>
          <w:sz w:val="22"/>
        </w:rPr>
      </w:pPr>
      <w:r w:rsidRPr="009D683D">
        <w:rPr>
          <w:rFonts w:ascii="Calibri" w:eastAsia="Times New Roman" w:hAnsi="Calibri" w:cs="Calibri Light"/>
          <w:b/>
          <w:bCs/>
          <w:sz w:val="22"/>
        </w:rPr>
        <w:t>Culturally appropriate care</w:t>
      </w:r>
      <w:r w:rsidRPr="009D683D">
        <w:rPr>
          <w:rFonts w:ascii="Calibri" w:eastAsia="Times New Roman" w:hAnsi="Calibri" w:cs="Calibri Light"/>
          <w:bCs/>
          <w:sz w:val="22"/>
        </w:rPr>
        <w:t xml:space="preserve">: Involves the delivery of patient-centred care that is tailored to meet the social, cultural and linguistic needs of the patient. </w:t>
      </w:r>
    </w:p>
    <w:p w14:paraId="5131D0E0" w14:textId="77777777" w:rsidR="009D683D" w:rsidRPr="009D683D" w:rsidRDefault="009D683D" w:rsidP="009D683D">
      <w:pPr>
        <w:spacing w:before="100" w:beforeAutospacing="1" w:after="100" w:afterAutospacing="1" w:line="240" w:lineRule="auto"/>
        <w:rPr>
          <w:rFonts w:ascii="Calibri" w:eastAsia="Times New Roman" w:hAnsi="Calibri" w:cs="Calibri Light"/>
          <w:bCs/>
          <w:sz w:val="22"/>
        </w:rPr>
      </w:pPr>
      <w:r w:rsidRPr="009D683D">
        <w:rPr>
          <w:rFonts w:ascii="Calibri" w:eastAsia="Times New Roman" w:hAnsi="Calibri" w:cs="Calibri Light"/>
          <w:b/>
          <w:bCs/>
          <w:sz w:val="22"/>
        </w:rPr>
        <w:t>Diabetes</w:t>
      </w:r>
      <w:r w:rsidRPr="009D683D">
        <w:rPr>
          <w:rFonts w:ascii="Calibri" w:eastAsia="Times New Roman" w:hAnsi="Calibri" w:cs="Calibri Light"/>
          <w:bCs/>
          <w:sz w:val="22"/>
        </w:rPr>
        <w:t xml:space="preserve">: A group of diseases that result in too much sugar in the blood (high blood glucose). Type 2 diabetes accounts for 85% of all diabetes and is increasing at the fastest rate, primarily due to the obesity epidemic. </w:t>
      </w:r>
    </w:p>
    <w:p w14:paraId="7F270AA5" w14:textId="77777777" w:rsidR="009D683D" w:rsidRPr="009D683D" w:rsidRDefault="009D683D" w:rsidP="009D683D">
      <w:pPr>
        <w:spacing w:before="100" w:beforeAutospacing="1" w:after="100" w:afterAutospacing="1" w:line="240" w:lineRule="auto"/>
        <w:rPr>
          <w:rFonts w:ascii="Calibri" w:eastAsia="Times New Roman" w:hAnsi="Calibri" w:cs="Calibri Light"/>
          <w:sz w:val="24"/>
          <w:szCs w:val="24"/>
        </w:rPr>
      </w:pPr>
      <w:r w:rsidRPr="009D683D">
        <w:rPr>
          <w:rFonts w:ascii="Calibri" w:eastAsia="Times New Roman" w:hAnsi="Calibri" w:cs="Calibri Light"/>
          <w:b/>
          <w:bCs/>
          <w:sz w:val="22"/>
        </w:rPr>
        <w:t xml:space="preserve">Dialysis: </w:t>
      </w:r>
      <w:r w:rsidRPr="009D683D">
        <w:rPr>
          <w:rFonts w:ascii="Calibri" w:eastAsia="Times New Roman" w:hAnsi="Calibri" w:cs="Calibri Light"/>
          <w:sz w:val="22"/>
        </w:rPr>
        <w:t xml:space="preserve">An artificial method of removing waste substances from the blood and regulating levels of circulating chemicals—functions normally performed by the kidneys. </w:t>
      </w:r>
    </w:p>
    <w:p w14:paraId="17D06404" w14:textId="77777777" w:rsidR="009D683D" w:rsidRPr="009D683D" w:rsidRDefault="009D683D" w:rsidP="009D683D">
      <w:pPr>
        <w:spacing w:before="100" w:beforeAutospacing="1" w:after="100" w:afterAutospacing="1" w:line="240" w:lineRule="auto"/>
        <w:rPr>
          <w:rFonts w:ascii="Calibri" w:eastAsia="Times New Roman" w:hAnsi="Calibri" w:cs="Calibri Light"/>
          <w:sz w:val="22"/>
        </w:rPr>
      </w:pPr>
      <w:r w:rsidRPr="009D683D">
        <w:rPr>
          <w:rFonts w:ascii="Calibri" w:eastAsia="Times New Roman" w:hAnsi="Calibri" w:cs="Calibri Light"/>
          <w:b/>
          <w:bCs/>
          <w:sz w:val="22"/>
        </w:rPr>
        <w:t xml:space="preserve">End-stage kidney disease (CKD stage 5): </w:t>
      </w:r>
      <w:r w:rsidRPr="009D683D">
        <w:rPr>
          <w:rFonts w:ascii="Calibri" w:eastAsia="Times New Roman" w:hAnsi="Calibri" w:cs="Calibri Light"/>
          <w:sz w:val="22"/>
        </w:rPr>
        <w:t>The most severe form of CKD and requires RRT to survive (defined as eGFR &lt;15 mL/min/1.73 m</w:t>
      </w:r>
      <w:r w:rsidRPr="009D683D">
        <w:rPr>
          <w:rFonts w:ascii="Calibri" w:eastAsia="Times New Roman" w:hAnsi="Calibri" w:cs="Calibri Light"/>
          <w:position w:val="6"/>
          <w:sz w:val="14"/>
          <w:szCs w:val="14"/>
        </w:rPr>
        <w:t xml:space="preserve">2 </w:t>
      </w:r>
      <w:r w:rsidRPr="009D683D">
        <w:rPr>
          <w:rFonts w:ascii="Calibri" w:eastAsia="Times New Roman" w:hAnsi="Calibri" w:cs="Calibri Light"/>
          <w:sz w:val="22"/>
        </w:rPr>
        <w:t>or on dialysis). Symptoms include nausea, itching skin, restless legs and shortness of breath. Additional common complications include inflammation of the tissue layers surrounding the heart, bleeding in the gastrointestinal tract, altered brain function and structure, and disturbances or structural or functional changes in the peripheral nervous system.</w:t>
      </w:r>
    </w:p>
    <w:p w14:paraId="30999B89" w14:textId="77777777" w:rsidR="009D683D" w:rsidRPr="009D683D" w:rsidRDefault="009D683D" w:rsidP="009D683D">
      <w:pPr>
        <w:spacing w:before="100" w:beforeAutospacing="1" w:after="100" w:afterAutospacing="1" w:line="240" w:lineRule="auto"/>
        <w:rPr>
          <w:rFonts w:ascii="Calibri" w:eastAsia="Times New Roman" w:hAnsi="Calibri" w:cs="Calibri Light"/>
          <w:sz w:val="22"/>
          <w:szCs w:val="24"/>
        </w:rPr>
      </w:pPr>
      <w:r w:rsidRPr="009D683D">
        <w:rPr>
          <w:rFonts w:ascii="Calibri" w:eastAsia="Times New Roman" w:hAnsi="Calibri" w:cs="Calibri Light"/>
          <w:b/>
          <w:sz w:val="22"/>
          <w:szCs w:val="24"/>
        </w:rPr>
        <w:t>Health literacy</w:t>
      </w:r>
      <w:r w:rsidRPr="009D683D">
        <w:rPr>
          <w:rFonts w:ascii="Calibri" w:eastAsia="Times New Roman" w:hAnsi="Calibri" w:cs="Calibri Light"/>
          <w:sz w:val="24"/>
          <w:szCs w:val="24"/>
        </w:rPr>
        <w:t xml:space="preserve">: </w:t>
      </w:r>
      <w:r w:rsidRPr="009D683D">
        <w:rPr>
          <w:rFonts w:ascii="Calibri" w:eastAsia="Times New Roman" w:hAnsi="Calibri" w:cs="Calibri Light"/>
          <w:sz w:val="22"/>
          <w:szCs w:val="24"/>
        </w:rPr>
        <w:t xml:space="preserve">The degree to which individuals have the capacity to obtain, process and understand basic health information and services needed to make appropriate health decisions. </w:t>
      </w:r>
    </w:p>
    <w:p w14:paraId="0FF0A573" w14:textId="77777777" w:rsidR="009D683D" w:rsidRPr="009D683D" w:rsidRDefault="009D683D" w:rsidP="009D683D">
      <w:pPr>
        <w:spacing w:before="100" w:beforeAutospacing="1" w:after="100" w:afterAutospacing="1" w:line="240" w:lineRule="auto"/>
        <w:rPr>
          <w:rFonts w:ascii="Calibri" w:eastAsia="Times New Roman" w:hAnsi="Calibri" w:cs="Calibri Light"/>
          <w:sz w:val="22"/>
          <w:szCs w:val="24"/>
        </w:rPr>
      </w:pPr>
      <w:r w:rsidRPr="009D683D">
        <w:rPr>
          <w:rFonts w:ascii="Calibri" w:eastAsia="Times New Roman" w:hAnsi="Calibri" w:cs="Calibri Light"/>
          <w:b/>
          <w:sz w:val="22"/>
          <w:szCs w:val="24"/>
        </w:rPr>
        <w:t xml:space="preserve">HLA matching: </w:t>
      </w:r>
      <w:r w:rsidRPr="009D683D">
        <w:rPr>
          <w:rFonts w:ascii="Calibri" w:eastAsia="Times New Roman" w:hAnsi="Calibri" w:cs="Calibri Light"/>
          <w:sz w:val="22"/>
          <w:szCs w:val="24"/>
        </w:rPr>
        <w:t xml:space="preserve">HLA molecules are expressed on almost all nucleated cells, and they are the major molecules that initiate graft rejection in organ transplant recipients. HLA matching involves blood or tissue samples being tested before a donor stem cell or organ transplant to find out if tissues are immunologically compatible between the donor and the recipient.   </w:t>
      </w:r>
    </w:p>
    <w:p w14:paraId="1E07D59E" w14:textId="77777777" w:rsidR="009D683D" w:rsidRPr="009D683D" w:rsidRDefault="009D683D" w:rsidP="009D683D">
      <w:pPr>
        <w:spacing w:before="100" w:beforeAutospacing="1" w:after="100" w:afterAutospacing="1" w:line="240" w:lineRule="auto"/>
        <w:rPr>
          <w:rFonts w:ascii="Calibri" w:eastAsia="Times New Roman" w:hAnsi="Calibri" w:cs="Calibri Light"/>
          <w:sz w:val="22"/>
          <w:szCs w:val="24"/>
        </w:rPr>
      </w:pPr>
      <w:r w:rsidRPr="009D683D">
        <w:rPr>
          <w:rFonts w:ascii="Calibri" w:eastAsia="Times New Roman" w:hAnsi="Calibri" w:cs="Calibri Light"/>
          <w:b/>
          <w:sz w:val="22"/>
          <w:szCs w:val="24"/>
        </w:rPr>
        <w:t>HLA sensitisation</w:t>
      </w:r>
      <w:r w:rsidRPr="009D683D">
        <w:rPr>
          <w:rFonts w:ascii="Calibri" w:eastAsia="Times New Roman" w:hAnsi="Calibri" w:cs="Calibri Light"/>
          <w:sz w:val="22"/>
          <w:szCs w:val="24"/>
        </w:rPr>
        <w:t>: Occurs when patients develop anti-HLA antibodies, primarily via pregnancy, transfusion and/or prior transplant. If not adequately suppressed, the presence of such antibodies can lead to early graft loss in kidney transplant recipients.</w:t>
      </w:r>
    </w:p>
    <w:p w14:paraId="2D9AC1A7" w14:textId="77777777" w:rsidR="009D683D" w:rsidRPr="009D683D" w:rsidRDefault="009D683D" w:rsidP="009D683D">
      <w:pPr>
        <w:spacing w:before="100" w:beforeAutospacing="1" w:after="100" w:afterAutospacing="1" w:line="240" w:lineRule="auto"/>
        <w:rPr>
          <w:rFonts w:ascii="Calibri" w:eastAsia="Times New Roman" w:hAnsi="Calibri" w:cs="Calibri Light"/>
          <w:sz w:val="22"/>
        </w:rPr>
      </w:pPr>
      <w:r w:rsidRPr="009D683D">
        <w:rPr>
          <w:rFonts w:ascii="Calibri" w:eastAsia="Times New Roman" w:hAnsi="Calibri" w:cs="Calibri Light"/>
          <w:b/>
          <w:bCs/>
          <w:sz w:val="22"/>
        </w:rPr>
        <w:t xml:space="preserve">Kidney transplant: </w:t>
      </w:r>
      <w:r w:rsidRPr="009D683D">
        <w:rPr>
          <w:rFonts w:ascii="Calibri" w:eastAsia="Times New Roman" w:hAnsi="Calibri" w:cs="Calibri Light"/>
          <w:sz w:val="22"/>
        </w:rPr>
        <w:t>A healthy kidney is taken from one person and surgically placed into someone with ESKD. The kidney can come from a live or deceased donor. Transplantation is widely regarded as the preferred treatment for people with ESKD.</w:t>
      </w:r>
    </w:p>
    <w:p w14:paraId="2503E070" w14:textId="77777777" w:rsidR="009D683D" w:rsidRPr="009D683D" w:rsidRDefault="009D683D" w:rsidP="009D683D">
      <w:pPr>
        <w:spacing w:before="100" w:beforeAutospacing="1" w:after="100" w:afterAutospacing="1" w:line="240" w:lineRule="auto"/>
        <w:rPr>
          <w:rFonts w:ascii="Calibri" w:eastAsia="Times New Roman" w:hAnsi="Calibri" w:cs="Calibri Light"/>
          <w:sz w:val="22"/>
        </w:rPr>
      </w:pPr>
      <w:r w:rsidRPr="009D683D">
        <w:rPr>
          <w:rFonts w:ascii="Calibri" w:eastAsia="Times New Roman" w:hAnsi="Calibri" w:cs="Calibri Light"/>
          <w:b/>
          <w:sz w:val="22"/>
        </w:rPr>
        <w:t xml:space="preserve">Immunosuppression: </w:t>
      </w:r>
      <w:r w:rsidRPr="009D683D">
        <w:rPr>
          <w:rFonts w:ascii="Calibri" w:eastAsia="Times New Roman" w:hAnsi="Calibri" w:cs="Calibri Light"/>
          <w:sz w:val="22"/>
        </w:rPr>
        <w:t>a reduction of the activation or efficacy of the immune system to prevent the rejection of a transplant.</w:t>
      </w:r>
    </w:p>
    <w:p w14:paraId="20C5E814" w14:textId="77777777" w:rsidR="009D683D" w:rsidRPr="009D683D" w:rsidRDefault="009D683D" w:rsidP="009D683D">
      <w:pPr>
        <w:spacing w:before="100" w:beforeAutospacing="1" w:after="100" w:afterAutospacing="1" w:line="240" w:lineRule="auto"/>
        <w:rPr>
          <w:rFonts w:ascii="Calibri" w:eastAsia="Times New Roman" w:hAnsi="Calibri" w:cs="Calibri Light"/>
          <w:sz w:val="22"/>
        </w:rPr>
      </w:pPr>
      <w:r w:rsidRPr="009D683D">
        <w:rPr>
          <w:rFonts w:ascii="Calibri" w:eastAsia="Times New Roman" w:hAnsi="Calibri" w:cs="Calibri Light"/>
          <w:b/>
          <w:sz w:val="22"/>
        </w:rPr>
        <w:t>Pharmacogenetics</w:t>
      </w:r>
      <w:r w:rsidRPr="009D683D">
        <w:rPr>
          <w:rFonts w:ascii="Calibri" w:eastAsia="Times New Roman" w:hAnsi="Calibri" w:cs="Calibri Light"/>
          <w:sz w:val="22"/>
        </w:rPr>
        <w:t xml:space="preserve">: The study of inherited genetic differences in drug metabolic pathways that can affect individual responses to drugs, both in terms of therapeutic and adverse effects. </w:t>
      </w:r>
    </w:p>
    <w:p w14:paraId="6365145D" w14:textId="77777777" w:rsidR="009D683D" w:rsidRPr="009D683D" w:rsidRDefault="009D683D" w:rsidP="009D683D">
      <w:pPr>
        <w:spacing w:before="100" w:beforeAutospacing="1" w:after="100" w:afterAutospacing="1" w:line="240" w:lineRule="auto"/>
        <w:rPr>
          <w:rFonts w:ascii="Calibri" w:eastAsia="Times New Roman" w:hAnsi="Calibri" w:cs="Calibri Light"/>
          <w:sz w:val="22"/>
        </w:rPr>
      </w:pPr>
      <w:r w:rsidRPr="009D683D">
        <w:rPr>
          <w:rFonts w:ascii="Calibri" w:eastAsia="Times New Roman" w:hAnsi="Calibri" w:cs="Calibri Light"/>
          <w:b/>
          <w:sz w:val="22"/>
        </w:rPr>
        <w:t>Prophylaxis</w:t>
      </w:r>
      <w:r w:rsidRPr="009D683D">
        <w:rPr>
          <w:rFonts w:ascii="Calibri" w:eastAsia="Times New Roman" w:hAnsi="Calibri" w:cs="Calibri Light"/>
          <w:sz w:val="22"/>
        </w:rPr>
        <w:t>: Measures designed to preserve health and prevent the spread of disease or infection.</w:t>
      </w:r>
    </w:p>
    <w:p w14:paraId="37CB3077" w14:textId="77777777" w:rsidR="009D683D" w:rsidRPr="009D683D" w:rsidRDefault="009D683D" w:rsidP="009D683D">
      <w:pPr>
        <w:keepNext/>
        <w:keepLines/>
        <w:spacing w:before="240" w:after="0"/>
        <w:ind w:left="360" w:hanging="360"/>
        <w:outlineLvl w:val="0"/>
        <w:rPr>
          <w:rFonts w:ascii="Calibri Light" w:eastAsia="Times New Roman" w:hAnsi="Calibri Light" w:cs="Times New Roman"/>
          <w:spacing w:val="-10"/>
          <w:kern w:val="28"/>
          <w:sz w:val="56"/>
          <w:szCs w:val="56"/>
        </w:rPr>
      </w:pPr>
      <w:bookmarkStart w:id="21" w:name="_Toc2585792"/>
      <w:r w:rsidRPr="009D683D">
        <w:rPr>
          <w:rFonts w:ascii="Calibri Light" w:eastAsia="Times New Roman" w:hAnsi="Calibri Light" w:cs="Times New Roman"/>
          <w:spacing w:val="-10"/>
          <w:kern w:val="28"/>
          <w:sz w:val="56"/>
          <w:szCs w:val="56"/>
        </w:rPr>
        <w:lastRenderedPageBreak/>
        <w:t>Executive Summary</w:t>
      </w:r>
      <w:bookmarkEnd w:id="21"/>
    </w:p>
    <w:p w14:paraId="090F28AA" w14:textId="77777777" w:rsidR="009D683D" w:rsidRPr="009D683D" w:rsidRDefault="009D683D" w:rsidP="009D683D">
      <w:pPr>
        <w:keepNext/>
        <w:spacing w:after="0" w:line="276" w:lineRule="auto"/>
        <w:jc w:val="both"/>
        <w:rPr>
          <w:rFonts w:ascii="Calibri" w:eastAsia="Calibri" w:hAnsi="Calibri" w:cs="Times New Roman"/>
          <w:sz w:val="22"/>
        </w:rPr>
      </w:pPr>
      <w:bookmarkStart w:id="22" w:name="_Hlk2247007"/>
      <w:r w:rsidRPr="009D683D">
        <w:rPr>
          <w:rFonts w:ascii="Calibri" w:eastAsia="Calibri" w:hAnsi="Calibri" w:cs="Times New Roman"/>
          <w:sz w:val="22"/>
        </w:rPr>
        <w:t>End-stage kidney disease (ESKD) is a serious and increasingly common health problem in Australia. Indigenous people, especially those who live in remote communities, have a much greater risk of developing ESKD and requiring dialysis treatment, but their likelihood of receiving a kidney transplant is substantially lower than that of non-Indigenous patients. For those who are fortunate enough to receive a kidney transplant, a disparity between Indigenous and non-Indigenous patients persists, with Indigenous kidney transplant recipients experiencing significantly worse post-transplant outcomes compared to non-Indigenous recipients. In June 2018, the Minister for Indigenous Health, the Hon Ken Wyatt MP, established an expert panel, comprised of people working in clinical settings, research and public policy, to investigate and identify barriers faced by Indigenous people in accessing and maintaining a kidney transplant. This Performance Report constitutes the first piece of work produced by the expert panel, as commissioned by the Commonwealth Department of Health (</w:t>
      </w:r>
      <w:proofErr w:type="spellStart"/>
      <w:r w:rsidRPr="009D683D">
        <w:rPr>
          <w:rFonts w:ascii="Calibri" w:eastAsia="Calibri" w:hAnsi="Calibri" w:cs="Times New Roman"/>
          <w:sz w:val="22"/>
        </w:rPr>
        <w:t>DoH</w:t>
      </w:r>
      <w:proofErr w:type="spellEnd"/>
      <w:r w:rsidRPr="009D683D">
        <w:rPr>
          <w:rFonts w:ascii="Calibri" w:eastAsia="Calibri" w:hAnsi="Calibri" w:cs="Times New Roman"/>
          <w:sz w:val="22"/>
        </w:rPr>
        <w:t>). The Report complements the EY Review of the Australian organ donation, retrieval and transplantation system and provides a detailed analysis of available evidence around:</w:t>
      </w:r>
    </w:p>
    <w:p w14:paraId="2597B6A9" w14:textId="77777777" w:rsidR="009D683D" w:rsidRPr="009D683D" w:rsidRDefault="009D683D" w:rsidP="009D683D">
      <w:pPr>
        <w:keepNext/>
        <w:spacing w:after="0" w:line="276" w:lineRule="auto"/>
        <w:jc w:val="both"/>
        <w:rPr>
          <w:rFonts w:ascii="Calibri" w:eastAsia="Calibri" w:hAnsi="Calibri" w:cs="Times New Roman"/>
          <w:sz w:val="2"/>
        </w:rPr>
      </w:pPr>
    </w:p>
    <w:p w14:paraId="48472E03" w14:textId="77777777" w:rsidR="009D683D" w:rsidRPr="009D683D" w:rsidRDefault="009D683D" w:rsidP="00782640">
      <w:pPr>
        <w:numPr>
          <w:ilvl w:val="0"/>
          <w:numId w:val="65"/>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Evidence and gaps around steps to waitlisting and to long term transplant function;</w:t>
      </w:r>
    </w:p>
    <w:p w14:paraId="6DBD00E7" w14:textId="77777777" w:rsidR="009D683D" w:rsidRPr="009D683D" w:rsidRDefault="009D683D" w:rsidP="00782640">
      <w:pPr>
        <w:numPr>
          <w:ilvl w:val="0"/>
          <w:numId w:val="65"/>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Improving Indigenous dialysis patients’ health to improve their capacity to be listed; and</w:t>
      </w:r>
    </w:p>
    <w:p w14:paraId="06D899A1" w14:textId="77777777" w:rsidR="009D683D" w:rsidRPr="009D683D" w:rsidRDefault="009D683D" w:rsidP="00782640">
      <w:pPr>
        <w:numPr>
          <w:ilvl w:val="0"/>
          <w:numId w:val="65"/>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Measures to address these gaps.</w:t>
      </w:r>
    </w:p>
    <w:tbl>
      <w:tblPr>
        <w:tblStyle w:val="TableGrid111"/>
        <w:tblpPr w:leftFromText="180" w:rightFromText="180" w:vertAnchor="text" w:horzAnchor="margin" w:tblpY="120"/>
        <w:tblW w:w="9322" w:type="dxa"/>
        <w:shd w:val="clear" w:color="auto" w:fill="E2EFD9"/>
        <w:tblLook w:val="04A0" w:firstRow="1" w:lastRow="0" w:firstColumn="1" w:lastColumn="0" w:noHBand="0" w:noVBand="1"/>
      </w:tblPr>
      <w:tblGrid>
        <w:gridCol w:w="9322"/>
      </w:tblGrid>
      <w:tr w:rsidR="009D683D" w:rsidRPr="009D683D" w14:paraId="31E625E2" w14:textId="77777777" w:rsidTr="009D683D">
        <w:trPr>
          <w:trHeight w:val="1124"/>
        </w:trPr>
        <w:tc>
          <w:tcPr>
            <w:tcW w:w="9322" w:type="dxa"/>
            <w:tcBorders>
              <w:top w:val="single" w:sz="4" w:space="0" w:color="auto"/>
              <w:left w:val="single" w:sz="4" w:space="0" w:color="auto"/>
              <w:bottom w:val="single" w:sz="4" w:space="0" w:color="auto"/>
              <w:right w:val="single" w:sz="4" w:space="0" w:color="auto"/>
            </w:tcBorders>
            <w:shd w:val="clear" w:color="auto" w:fill="E2EFD9"/>
          </w:tcPr>
          <w:p w14:paraId="3E8A64C5" w14:textId="77777777" w:rsidR="009D683D" w:rsidRPr="009D683D" w:rsidRDefault="009D683D" w:rsidP="009D683D">
            <w:pPr>
              <w:spacing w:line="276" w:lineRule="auto"/>
              <w:jc w:val="both"/>
              <w:rPr>
                <w:rFonts w:eastAsia="Calibri" w:cs="Times New Roman"/>
                <w:b/>
                <w:sz w:val="22"/>
              </w:rPr>
            </w:pPr>
            <w:r w:rsidRPr="009D683D">
              <w:rPr>
                <w:rFonts w:eastAsia="Calibri" w:cs="Times New Roman"/>
                <w:b/>
                <w:sz w:val="22"/>
              </w:rPr>
              <w:t xml:space="preserve">Box 1: Priority recommendations for immediate implementation  </w:t>
            </w:r>
          </w:p>
          <w:p w14:paraId="5E48A4A5" w14:textId="77777777" w:rsidR="009D683D" w:rsidRPr="009D683D" w:rsidRDefault="009D683D" w:rsidP="009D683D">
            <w:pPr>
              <w:spacing w:line="276" w:lineRule="auto"/>
              <w:contextualSpacing/>
              <w:jc w:val="both"/>
              <w:rPr>
                <w:rFonts w:eastAsia="Calibri" w:cs="Times New Roman"/>
                <w:sz w:val="22"/>
              </w:rPr>
            </w:pPr>
            <w:r w:rsidRPr="009D683D">
              <w:rPr>
                <w:rFonts w:eastAsia="Calibri" w:cs="Times New Roman"/>
                <w:sz w:val="22"/>
              </w:rPr>
              <w:t>Of the report’s 35 evidence-based recommendations, the expert panel has identified three key areas that should receive prioritisation for funding and immediate action. These include:</w:t>
            </w:r>
          </w:p>
          <w:p w14:paraId="23E127EF" w14:textId="77777777" w:rsidR="009D683D" w:rsidRPr="009D683D" w:rsidRDefault="009D683D" w:rsidP="00782640">
            <w:pPr>
              <w:numPr>
                <w:ilvl w:val="0"/>
                <w:numId w:val="83"/>
              </w:numPr>
              <w:spacing w:line="276" w:lineRule="auto"/>
              <w:contextualSpacing/>
              <w:jc w:val="both"/>
              <w:rPr>
                <w:rFonts w:eastAsia="Calibri" w:cs="Times New Roman"/>
                <w:sz w:val="22"/>
              </w:rPr>
            </w:pPr>
            <w:r w:rsidRPr="009D683D">
              <w:rPr>
                <w:rFonts w:eastAsia="Calibri" w:cs="Times New Roman"/>
                <w:b/>
                <w:sz w:val="22"/>
              </w:rPr>
              <w:t>Establishing a resourced National Indigenous Kidney Transplantation Taskforce</w:t>
            </w:r>
            <w:r w:rsidRPr="009D683D">
              <w:rPr>
                <w:rFonts w:eastAsia="Calibri" w:cs="Times New Roman"/>
                <w:sz w:val="22"/>
              </w:rPr>
              <w:t xml:space="preserve">, with representations from </w:t>
            </w:r>
            <w:proofErr w:type="spellStart"/>
            <w:r w:rsidRPr="009D683D">
              <w:rPr>
                <w:rFonts w:eastAsia="Calibri" w:cs="Times New Roman"/>
                <w:sz w:val="22"/>
              </w:rPr>
              <w:t>DoH</w:t>
            </w:r>
            <w:proofErr w:type="spellEnd"/>
            <w:r w:rsidRPr="009D683D">
              <w:rPr>
                <w:rFonts w:eastAsia="Calibri" w:cs="Times New Roman"/>
                <w:sz w:val="22"/>
              </w:rPr>
              <w:t xml:space="preserve">, TSANZ, ANZDATA, ANZSN, OTA and invited subject experts, to drive the implementation of the report’s recommendations, consult the Indigenous and health care communities, and advocate for equitable access to transplantation for Indigenous patients. </w:t>
            </w:r>
          </w:p>
          <w:p w14:paraId="0FC5B513" w14:textId="77777777" w:rsidR="009D683D" w:rsidRPr="009D683D" w:rsidRDefault="009D683D" w:rsidP="00782640">
            <w:pPr>
              <w:numPr>
                <w:ilvl w:val="0"/>
                <w:numId w:val="83"/>
              </w:numPr>
              <w:spacing w:line="276" w:lineRule="auto"/>
              <w:contextualSpacing/>
              <w:jc w:val="both"/>
              <w:rPr>
                <w:rFonts w:eastAsia="Calibri" w:cs="Times New Roman"/>
                <w:sz w:val="22"/>
              </w:rPr>
            </w:pPr>
            <w:r w:rsidRPr="009D683D">
              <w:rPr>
                <w:rFonts w:eastAsia="Calibri" w:cs="Times New Roman"/>
                <w:b/>
                <w:sz w:val="22"/>
              </w:rPr>
              <w:t>Enhancing data collection and reporting</w:t>
            </w:r>
            <w:r w:rsidRPr="009D683D">
              <w:rPr>
                <w:rFonts w:eastAsia="Calibri" w:cs="Times New Roman"/>
                <w:sz w:val="22"/>
              </w:rPr>
              <w:t xml:space="preserve"> processes on pre- and post-transplant outcomes by:</w:t>
            </w:r>
          </w:p>
          <w:p w14:paraId="2EC044B0" w14:textId="77777777" w:rsidR="009D683D" w:rsidRPr="009D683D" w:rsidRDefault="009D683D" w:rsidP="00782640">
            <w:pPr>
              <w:numPr>
                <w:ilvl w:val="0"/>
                <w:numId w:val="84"/>
              </w:numPr>
              <w:spacing w:line="276" w:lineRule="auto"/>
              <w:contextualSpacing/>
              <w:jc w:val="both"/>
              <w:rPr>
                <w:rFonts w:eastAsia="Calibri" w:cs="Times New Roman"/>
                <w:sz w:val="22"/>
              </w:rPr>
            </w:pPr>
            <w:r w:rsidRPr="009D683D">
              <w:rPr>
                <w:rFonts w:eastAsia="Calibri" w:cs="Times New Roman"/>
                <w:sz w:val="22"/>
              </w:rPr>
              <w:t>Implementing a 12-month pilot project to capture additional pre- and post-kidney transplant data points in an expanded ANZDATA data collection protocol;</w:t>
            </w:r>
          </w:p>
          <w:p w14:paraId="2117E2EA" w14:textId="77777777" w:rsidR="009D683D" w:rsidRPr="009D683D" w:rsidRDefault="009D683D" w:rsidP="00782640">
            <w:pPr>
              <w:numPr>
                <w:ilvl w:val="0"/>
                <w:numId w:val="84"/>
              </w:numPr>
              <w:spacing w:line="276" w:lineRule="auto"/>
              <w:contextualSpacing/>
              <w:jc w:val="both"/>
              <w:rPr>
                <w:rFonts w:eastAsia="Calibri" w:cs="Times New Roman"/>
                <w:sz w:val="22"/>
              </w:rPr>
            </w:pPr>
            <w:r w:rsidRPr="009D683D">
              <w:rPr>
                <w:rFonts w:eastAsia="Calibri" w:cs="Times New Roman"/>
                <w:sz w:val="22"/>
              </w:rPr>
              <w:t>Incorporating a specific chapter in the ANZDATA annual report on kidney transplantation among Aboriginal and Torres Strait Islander people; and</w:t>
            </w:r>
          </w:p>
          <w:p w14:paraId="2C68EFB8" w14:textId="77777777" w:rsidR="009D683D" w:rsidRPr="009D683D" w:rsidRDefault="009D683D" w:rsidP="00782640">
            <w:pPr>
              <w:numPr>
                <w:ilvl w:val="0"/>
                <w:numId w:val="84"/>
              </w:numPr>
              <w:spacing w:line="276" w:lineRule="auto"/>
              <w:contextualSpacing/>
              <w:jc w:val="both"/>
              <w:rPr>
                <w:rFonts w:eastAsia="Calibri" w:cs="Times New Roman"/>
                <w:sz w:val="22"/>
              </w:rPr>
            </w:pPr>
            <w:r w:rsidRPr="009D683D">
              <w:rPr>
                <w:rFonts w:eastAsia="Calibri" w:cs="Times New Roman"/>
                <w:sz w:val="22"/>
              </w:rPr>
              <w:t>Undertaking additional data linkage and research projects that target Indigenous patients’ post-transplant outcomes, enabling identification of best practice immunosuppression, infective prophylaxis and vascular complication protocols.</w:t>
            </w:r>
          </w:p>
          <w:p w14:paraId="50C12EF9" w14:textId="77777777" w:rsidR="009D683D" w:rsidRPr="009D683D" w:rsidRDefault="009D683D" w:rsidP="00782640">
            <w:pPr>
              <w:numPr>
                <w:ilvl w:val="0"/>
                <w:numId w:val="83"/>
              </w:numPr>
              <w:spacing w:line="276" w:lineRule="auto"/>
              <w:contextualSpacing/>
              <w:jc w:val="both"/>
              <w:rPr>
                <w:rFonts w:eastAsia="Calibri" w:cs="Times New Roman"/>
                <w:sz w:val="22"/>
              </w:rPr>
            </w:pPr>
            <w:r w:rsidRPr="009D683D">
              <w:rPr>
                <w:rFonts w:eastAsia="Calibri" w:cs="Times New Roman"/>
                <w:b/>
                <w:sz w:val="22"/>
              </w:rPr>
              <w:t>Improving the equity and accessibility of transplantation</w:t>
            </w:r>
            <w:r w:rsidRPr="009D683D">
              <w:rPr>
                <w:rFonts w:eastAsia="Calibri" w:cs="Times New Roman"/>
                <w:sz w:val="22"/>
              </w:rPr>
              <w:t xml:space="preserve"> for Indigenous patients by:</w:t>
            </w:r>
          </w:p>
          <w:p w14:paraId="1E33EB17" w14:textId="77777777" w:rsidR="009D683D" w:rsidRPr="009D683D" w:rsidRDefault="009D683D" w:rsidP="00782640">
            <w:pPr>
              <w:numPr>
                <w:ilvl w:val="0"/>
                <w:numId w:val="85"/>
              </w:numPr>
              <w:spacing w:line="276" w:lineRule="auto"/>
              <w:contextualSpacing/>
              <w:jc w:val="both"/>
              <w:rPr>
                <w:rFonts w:eastAsia="Calibri" w:cs="Times New Roman"/>
                <w:b/>
                <w:sz w:val="22"/>
              </w:rPr>
            </w:pPr>
            <w:r w:rsidRPr="009D683D">
              <w:rPr>
                <w:rFonts w:eastAsia="Calibri" w:cs="Times New Roman"/>
                <w:sz w:val="22"/>
              </w:rPr>
              <w:t>Establishing an Indigenous reference group in every transplant unit to help design pathways and models of care that are culturally appropriate;</w:t>
            </w:r>
          </w:p>
          <w:p w14:paraId="48CE82A8" w14:textId="77777777" w:rsidR="009D683D" w:rsidRPr="009D683D" w:rsidRDefault="009D683D" w:rsidP="00782640">
            <w:pPr>
              <w:numPr>
                <w:ilvl w:val="0"/>
                <w:numId w:val="85"/>
              </w:numPr>
              <w:spacing w:line="276" w:lineRule="auto"/>
              <w:contextualSpacing/>
              <w:jc w:val="both"/>
              <w:rPr>
                <w:rFonts w:eastAsia="Calibri" w:cs="Times New Roman"/>
                <w:b/>
                <w:sz w:val="22"/>
              </w:rPr>
            </w:pPr>
            <w:r w:rsidRPr="009D683D">
              <w:rPr>
                <w:rFonts w:eastAsia="Calibri" w:cs="Times New Roman"/>
                <w:sz w:val="22"/>
              </w:rPr>
              <w:t>Trialling the adoption of patient navigators as part of pre-transplant care protocols;</w:t>
            </w:r>
          </w:p>
          <w:p w14:paraId="357754CD" w14:textId="77777777" w:rsidR="009D683D" w:rsidRPr="009D683D" w:rsidRDefault="009D683D" w:rsidP="00782640">
            <w:pPr>
              <w:numPr>
                <w:ilvl w:val="0"/>
                <w:numId w:val="85"/>
              </w:numPr>
              <w:spacing w:line="276" w:lineRule="auto"/>
              <w:contextualSpacing/>
              <w:jc w:val="both"/>
              <w:rPr>
                <w:rFonts w:eastAsia="Calibri" w:cs="Times New Roman"/>
                <w:b/>
                <w:sz w:val="22"/>
              </w:rPr>
            </w:pPr>
            <w:r w:rsidRPr="009D683D">
              <w:rPr>
                <w:rFonts w:eastAsia="Calibri" w:cs="Times New Roman"/>
                <w:sz w:val="22"/>
              </w:rPr>
              <w:t>Evaluating and leveraging existing initiatives that target cultural bias in health services to facilitate the rollout of best practice pre-transplant care and support interventions for Indigenous transplant candidates; and</w:t>
            </w:r>
          </w:p>
          <w:p w14:paraId="3DFD1A49" w14:textId="77777777" w:rsidR="009D683D" w:rsidRPr="009D683D" w:rsidRDefault="009D683D" w:rsidP="00782640">
            <w:pPr>
              <w:numPr>
                <w:ilvl w:val="0"/>
                <w:numId w:val="85"/>
              </w:numPr>
              <w:spacing w:line="276" w:lineRule="auto"/>
              <w:contextualSpacing/>
              <w:jc w:val="both"/>
              <w:rPr>
                <w:rFonts w:eastAsia="Calibri" w:cs="Times New Roman"/>
                <w:b/>
                <w:sz w:val="22"/>
              </w:rPr>
            </w:pPr>
            <w:r w:rsidRPr="009D683D">
              <w:rPr>
                <w:rFonts w:eastAsia="Calibri" w:cs="Times New Roman"/>
                <w:sz w:val="22"/>
              </w:rPr>
              <w:t>Trialling a multidisciplinary pre- and post-transplant clinic in one major regional centre for 12 months, prioritising the availability of dental and cardiac services, as well as travel and accommodation support for rural and remote patients.</w:t>
            </w:r>
          </w:p>
        </w:tc>
      </w:tr>
      <w:bookmarkEnd w:id="22"/>
    </w:tbl>
    <w:p w14:paraId="65480DE4" w14:textId="77777777" w:rsidR="009D683D" w:rsidRPr="009D683D" w:rsidRDefault="009D683D" w:rsidP="009D683D">
      <w:pPr>
        <w:rPr>
          <w:rFonts w:ascii="Calibri" w:eastAsia="Calibri" w:hAnsi="Calibri" w:cs="Times New Roman"/>
          <w:b/>
          <w:sz w:val="52"/>
        </w:rPr>
        <w:sectPr w:rsidR="009D683D" w:rsidRPr="009D683D" w:rsidSect="009D683D">
          <w:footerReference w:type="default" r:id="rId20"/>
          <w:footerReference w:type="first" r:id="rId21"/>
          <w:pgSz w:w="11906" w:h="16838"/>
          <w:pgMar w:top="1440" w:right="1440" w:bottom="1440" w:left="1440" w:header="708" w:footer="708" w:gutter="0"/>
          <w:pgNumType w:fmt="lowerRoman" w:start="1"/>
          <w:cols w:space="708"/>
          <w:titlePg/>
          <w:docGrid w:linePitch="360"/>
        </w:sectPr>
      </w:pPr>
    </w:p>
    <w:p w14:paraId="1849C5E9" w14:textId="77777777" w:rsidR="009D683D" w:rsidRPr="009D683D" w:rsidRDefault="009D683D" w:rsidP="009D683D">
      <w:pPr>
        <w:keepNext/>
        <w:keepLines/>
        <w:spacing w:before="240" w:after="0"/>
        <w:ind w:left="360" w:hanging="360"/>
        <w:outlineLvl w:val="0"/>
        <w:rPr>
          <w:rFonts w:ascii="Calibri Light" w:eastAsia="Times New Roman" w:hAnsi="Calibri Light" w:cs="Times New Roman"/>
          <w:sz w:val="32"/>
          <w:szCs w:val="32"/>
        </w:rPr>
      </w:pPr>
      <w:bookmarkStart w:id="23" w:name="_Toc2585793"/>
      <w:bookmarkStart w:id="24" w:name="_Hlk535584696"/>
      <w:r w:rsidRPr="009D683D">
        <w:rPr>
          <w:rFonts w:ascii="Calibri Light" w:eastAsia="Times New Roman" w:hAnsi="Calibri Light" w:cs="Times New Roman"/>
          <w:sz w:val="32"/>
          <w:szCs w:val="32"/>
        </w:rPr>
        <w:lastRenderedPageBreak/>
        <w:t>Introduction</w:t>
      </w:r>
      <w:bookmarkEnd w:id="23"/>
    </w:p>
    <w:bookmarkEnd w:id="24"/>
    <w:p w14:paraId="613A4C91" w14:textId="77777777" w:rsidR="009D683D" w:rsidRPr="009D683D" w:rsidRDefault="009D683D" w:rsidP="009D683D">
      <w:pPr>
        <w:spacing w:after="0" w:line="276" w:lineRule="auto"/>
        <w:jc w:val="both"/>
        <w:rPr>
          <w:rFonts w:ascii="Calibri" w:eastAsia="Calibri" w:hAnsi="Calibri" w:cs="Times New Roman"/>
          <w:sz w:val="22"/>
        </w:rPr>
      </w:pPr>
      <w:r w:rsidRPr="009D683D">
        <w:rPr>
          <w:rFonts w:ascii="Calibri" w:eastAsia="Calibri" w:hAnsi="Calibri" w:cs="Times New Roman"/>
          <w:sz w:val="22"/>
        </w:rPr>
        <w:t xml:space="preserve">The Aboriginal and Torres Strait Islander peoples of Australia (hereafter referred to as Indigenous Australians) are culturally, linguistically and geographically diverse. Over 250 Indigenous Australian cultural and language groups covered the continent at the time of European settlement in 1788, though only an estimated 120 of these survive today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&lt;EndNote&gt;&lt;Cite&gt;&lt;Author&gt;AIATSIS&lt;/Author&gt;&lt;Year&gt;2018&lt;/Year&gt;&lt;RecNum&gt;327&lt;/RecNum&gt;&lt;DisplayText&gt;(AIATSIS, 2018)&lt;/DisplayText&gt;&lt;record&gt;&lt;rec-number&gt;327&lt;/rec-number&gt;&lt;foreign-keys&gt;&lt;key app="EN" db-id="ews5ve9enfwav7etdtjvztfdrftvwrf9vrsx" timestamp="1545628031"&gt;327&lt;/key&gt;&lt;/foreign-keys&gt;&lt;ref-type name="Web Page"&gt;12&lt;/ref-type&gt;&lt;contributors&gt;&lt;authors&gt;&lt;author&gt;AIATSIS&lt;/author&gt;&lt;/authors&gt;&lt;/contributors&gt;&lt;titles&gt;&lt;title&gt;Indigenous Australian Languages&lt;/title&gt;&lt;/titles&gt;&lt;dates&gt;&lt;year&gt;2018&lt;/year&gt;&lt;/dates&gt;&lt;urls&gt;&lt;related-urls&gt;&lt;url&gt;https://aiatsis.gov.au/explore/articles/indigenous-australian-languages&lt;/url&gt;&lt;/related-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(AIATSIS, 2018)</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While they make up only 3% of the total Australian population, in 2011 45% of people living in very remote areas and 16% of people living in remote areas were Indigenous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&lt;EndNote&gt;&lt;Cite&gt;&lt;Author&gt;AIHW&lt;/Author&gt;&lt;Year&gt;2015&lt;/Year&gt;&lt;RecNum&gt;328&lt;/RecNum&gt;&lt;DisplayText&gt;(AIHW, 2015)&lt;/DisplayText&gt;&lt;record&gt;&lt;rec-number&gt;328&lt;/rec-number&gt;&lt;foreign-keys&gt;&lt;key app="EN" db-id="ews5ve9enfwav7etdtjvztfdrftvwrf9vrsx" timestamp="1545628174"&gt;328&lt;/key&gt;&lt;/foreign-keys&gt;&lt;ref-type name="Government Document"&gt;46&lt;/ref-type&gt;&lt;contributors&gt;&lt;authors&gt;&lt;author&gt;AIHW&lt;/author&gt;&lt;/authors&gt;&lt;secondary-authors&gt;&lt;author&gt;Australian Institute of Health and Welfare&lt;/author&gt;&lt;/secondary-authors&gt;&lt;/contributors&gt;&lt;titles&gt;&lt;title&gt;The health and welfare of Australia&amp;apos;s Aboriginal and Torres Strait Islander peoples&lt;/title&gt;&lt;/titles&gt;&lt;dates&gt;&lt;year&gt;2015&lt;/year&gt;&lt;/dates&gt;&lt;pub-location&gt;Canberra, Australia&lt;/pub-location&gt;&lt;publisher&gt;Australian Institute of Health and Welfare&lt;/publisher&gt;&lt;urls&gt;&lt;related-urls&gt;&lt;url&gt;https://www.aihw.gov.au/reports/indigenous-health-welfare/indigenous-health-welfare-2015/contents/table-of-contents&lt;/url&gt;&lt;/related-urls&gt;&lt;/urls&gt;&lt;/record&gt;&lt;/Cite&gt;&lt;/EndNote&gt;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(AIHW, 2015)</w:t>
      </w:r>
      <w:r w:rsidRPr="009D683D">
        <w:rPr>
          <w:rFonts w:ascii="Calibri" w:eastAsia="Calibri" w:hAnsi="Calibri" w:cs="Times New Roman"/>
          <w:sz w:val="22"/>
        </w:rPr>
        <w:fldChar w:fldCharType="end"/>
      </w:r>
      <w:r w:rsidRPr="009D683D">
        <w:rPr>
          <w:rFonts w:ascii="Calibri" w:eastAsia="Calibri" w:hAnsi="Calibri" w:cs="Times New Roman"/>
          <w:sz w:val="22"/>
        </w:rPr>
        <w:t>. A range of sociodemographic factors are linked to health inequalities and poorer health care outcomes for Indigenous peoples, including:</w:t>
      </w:r>
    </w:p>
    <w:p w14:paraId="1498371D" w14:textId="77777777" w:rsidR="009D683D" w:rsidRPr="009D683D" w:rsidRDefault="009D683D" w:rsidP="00782640">
      <w:pPr>
        <w:numPr>
          <w:ilvl w:val="0"/>
          <w:numId w:val="31"/>
        </w:numPr>
        <w:spacing w:after="0" w:line="276" w:lineRule="auto"/>
        <w:jc w:val="both"/>
        <w:rPr>
          <w:rFonts w:ascii="Calibri" w:eastAsia="Calibri" w:hAnsi="Calibri" w:cs="Times New Roman"/>
          <w:sz w:val="22"/>
        </w:rPr>
      </w:pPr>
      <w:r w:rsidRPr="009D683D">
        <w:rPr>
          <w:rFonts w:ascii="Calibri" w:eastAsia="Calibri" w:hAnsi="Calibri" w:cs="Times New Roman"/>
          <w:sz w:val="22"/>
        </w:rPr>
        <w:t>Lower levels of education, employment, income and poorer quality housing, on average, compared with non-Indigenous Australians;</w:t>
      </w:r>
    </w:p>
    <w:p w14:paraId="2E86FE3F" w14:textId="77777777" w:rsidR="009D683D" w:rsidRPr="009D683D" w:rsidRDefault="009D683D" w:rsidP="00782640">
      <w:pPr>
        <w:numPr>
          <w:ilvl w:val="0"/>
          <w:numId w:val="31"/>
        </w:numPr>
        <w:spacing w:after="0" w:line="276" w:lineRule="auto"/>
        <w:jc w:val="both"/>
        <w:rPr>
          <w:rFonts w:ascii="Calibri" w:eastAsia="Calibri" w:hAnsi="Calibri" w:cs="Times New Roman"/>
          <w:sz w:val="22"/>
        </w:rPr>
      </w:pPr>
      <w:r w:rsidRPr="009D683D">
        <w:rPr>
          <w:rFonts w:ascii="Calibri" w:eastAsia="Calibri" w:hAnsi="Calibri" w:cs="Times New Roman"/>
          <w:sz w:val="22"/>
        </w:rPr>
        <w:t>Higher rates of behavioural and biomedical risk factors, such as smoking, risky alcohol consumption, poor diet, lack of exercise, and higher rates of high blood pressure; and</w:t>
      </w:r>
    </w:p>
    <w:p w14:paraId="0BD47EE5" w14:textId="77777777" w:rsidR="009D683D" w:rsidRPr="009D683D" w:rsidRDefault="009D683D" w:rsidP="00782640">
      <w:pPr>
        <w:numPr>
          <w:ilvl w:val="0"/>
          <w:numId w:val="31"/>
        </w:numPr>
        <w:spacing w:line="276" w:lineRule="auto"/>
        <w:ind w:left="714" w:hanging="357"/>
        <w:jc w:val="both"/>
        <w:rPr>
          <w:rFonts w:ascii="Calibri" w:eastAsia="Calibri" w:hAnsi="Calibri" w:cs="Times New Roman"/>
          <w:sz w:val="22"/>
        </w:rPr>
      </w:pPr>
      <w:r w:rsidRPr="009D683D">
        <w:rPr>
          <w:rFonts w:ascii="Calibri" w:eastAsia="Calibri" w:hAnsi="Calibri" w:cs="Times New Roman"/>
          <w:sz w:val="22"/>
        </w:rPr>
        <w:t xml:space="preserve">Difficulties in accessing affordable and culturally appropriate health services. </w:t>
      </w:r>
    </w:p>
    <w:p w14:paraId="7214E005"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The gap in life expectancy between Indigenous and non-Indigenous Australians remains significant, as shown in Table 1, with around a 10-year discrepancy for both males and females. In 2016, nearly three in four (71%) of Indigenous deaths were from chronic diseases, including cancer, diabetes and chronic kidney disease (CKD)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&lt;EndNote&gt;&lt;Cite&gt;&lt;Year&gt;2018&lt;/Year&gt;&lt;RecNum&gt;326&lt;/RecNum&gt;&lt;DisplayText&gt;(&amp;quot;Healthy Lives: Life Expectancy Target,&amp;quot; 2018)&lt;/DisplayText&gt;&lt;record&gt;&lt;rec-number&gt;326&lt;/rec-number&gt;&lt;foreign-keys&gt;&lt;key app="EN" db-id="ews5ve9enfwav7etdtjvztfdrftvwrf9vrsx" timestamp="1545627851"&gt;326&lt;/key&gt;&lt;/foreign-keys&gt;&lt;ref-type name="Web Page"&gt;12&lt;/ref-type&gt;&lt;contributors&gt;&lt;/contributors&gt;&lt;titles&gt;&lt;title&gt;Healthy Lives: Life Expectancy Target&lt;/title&gt;&lt;/titles&gt;&lt;volume&gt;2018&lt;/volume&gt;&lt;number&gt;24 December&lt;/number&gt;&lt;dates&gt;&lt;year&gt;2018&lt;/year&gt;&lt;/dates&gt;&lt;pub-location&gt;Canberra&lt;/pub-location&gt;&lt;publisher&gt;Department of the Prime Minister and Cabinet&lt;/publisher&gt;&lt;urls&gt;&lt;related-urls&gt;&lt;url&gt;https://closingthegap.pmc.gov.au/healthy-lives#box1-chapter6&lt;/url&gt;&lt;/related-urls&gt;&lt;/urls&gt;&lt;/record&gt;&lt;/Cite&gt;&lt;/EndNote&gt;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("Healthy Lives: Life Expectancy Target," 2018)</w:t>
      </w:r>
      <w:r w:rsidRPr="009D683D">
        <w:rPr>
          <w:rFonts w:ascii="Calibri" w:eastAsia="Calibri" w:hAnsi="Calibri" w:cs="Times New Roman"/>
          <w:sz w:val="22"/>
        </w:rPr>
        <w:fldChar w:fldCharType="end"/>
      </w:r>
      <w:r w:rsidRPr="009D683D">
        <w:rPr>
          <w:rFonts w:ascii="Calibri" w:eastAsia="Calibri" w:hAnsi="Calibri" w:cs="Times New Roman"/>
          <w:sz w:val="22"/>
        </w:rPr>
        <w:t>.</w:t>
      </w:r>
    </w:p>
    <w:p w14:paraId="25E30EF0" w14:textId="77777777" w:rsidR="009D683D" w:rsidRPr="009D683D" w:rsidRDefault="009D683D" w:rsidP="009D683D">
      <w:pPr>
        <w:spacing w:after="120" w:line="276" w:lineRule="auto"/>
        <w:jc w:val="both"/>
        <w:rPr>
          <w:rFonts w:ascii="Calibri" w:eastAsia="Calibri" w:hAnsi="Calibri" w:cs="Times New Roman"/>
          <w:sz w:val="22"/>
        </w:rPr>
      </w:pPr>
      <w:r w:rsidRPr="009D683D">
        <w:rPr>
          <w:rFonts w:ascii="Calibri" w:eastAsia="Calibri" w:hAnsi="Calibri" w:cs="Times New Roman"/>
          <w:i/>
          <w:sz w:val="22"/>
        </w:rPr>
        <w:t>Table 1</w:t>
      </w:r>
      <w:r w:rsidRPr="009D683D">
        <w:rPr>
          <w:rFonts w:ascii="Calibri" w:eastAsia="Calibri" w:hAnsi="Calibri" w:cs="Times New Roman"/>
          <w:sz w:val="22"/>
        </w:rPr>
        <w:t xml:space="preserve">: Life expectancy at birth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&lt;EndNote&gt;&lt;Cite&gt;&lt;Year&gt;2018&lt;/Year&gt;&lt;RecNum&gt;326&lt;/RecNum&gt;&lt;DisplayText&gt;(&amp;quot;Healthy Lives: Life Expectancy Target,&amp;quot; 2018)&lt;/DisplayText&gt;&lt;record&gt;&lt;rec-number&gt;326&lt;/rec-number&gt;&lt;foreign-keys&gt;&lt;key app="EN" db-id="ews5ve9enfwav7etdtjvztfdrftvwrf9vrsx" timestamp="1545627851"&gt;326&lt;/key&gt;&lt;/foreign-keys&gt;&lt;ref-type name="Web Page"&gt;12&lt;/ref-type&gt;&lt;contributors&gt;&lt;/contributors&gt;&lt;titles&gt;&lt;title&gt;Healthy Lives: Life Expectancy Target&lt;/title&gt;&lt;/titles&gt;&lt;volume&gt;2018&lt;/volume&gt;&lt;number&gt;24 December&lt;/number&gt;&lt;dates&gt;&lt;year&gt;2018&lt;/year&gt;&lt;/dates&gt;&lt;pub-location&gt;Canberra&lt;/pub-location&gt;&lt;publisher&gt;Department of the Prime Minister and Cabinet&lt;/publisher&gt;&lt;urls&gt;&lt;related-urls&gt;&lt;url&gt;https://closingthegap.pmc.gov.au/healthy-lives#box1-chapter6&lt;/url&gt;&lt;/related-urls&gt;&lt;/urls&gt;&lt;/record&gt;&lt;/Cite&gt;&lt;/EndNote&gt;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("Healthy Lives: Life Expectancy Target," 2018)</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t>
      </w:r>
    </w:p>
    <w:tbl>
      <w:tblPr>
        <w:tblStyle w:val="ListTable311"/>
        <w:tblW w:w="5000" w:type="pct"/>
        <w:tblLook w:val="04A0" w:firstRow="1" w:lastRow="0" w:firstColumn="1" w:lastColumn="0" w:noHBand="0" w:noVBand="1"/>
      </w:tblPr>
      <w:tblGrid>
        <w:gridCol w:w="846"/>
        <w:gridCol w:w="1316"/>
        <w:gridCol w:w="1617"/>
        <w:gridCol w:w="1603"/>
        <w:gridCol w:w="1558"/>
        <w:gridCol w:w="1039"/>
        <w:gridCol w:w="1037"/>
      </w:tblGrid>
      <w:tr w:rsidR="0055104B" w:rsidRPr="009D683D" w14:paraId="37823F47" w14:textId="77777777" w:rsidTr="005510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9" w:type="pct"/>
            <w:hideMark/>
          </w:tcPr>
          <w:p w14:paraId="3189586D" w14:textId="77777777" w:rsidR="009D683D" w:rsidRPr="00CF2E5A" w:rsidRDefault="009D683D" w:rsidP="009D683D">
            <w:pPr>
              <w:jc w:val="both"/>
              <w:rPr>
                <w:rFonts w:ascii="&amp;quot" w:eastAsia="Times New Roman" w:hAnsi="&amp;quot" w:cs="Times New Roman"/>
                <w:color w:val="FFFFFF" w:themeColor="background1"/>
                <w:sz w:val="24"/>
                <w:lang w:eastAsia="en-AU"/>
              </w:rPr>
            </w:pPr>
            <w:r w:rsidRPr="00CF2E5A">
              <w:rPr>
                <w:rFonts w:ascii="&amp;quot" w:eastAsia="Times New Roman" w:hAnsi="&amp;quot" w:cs="Times New Roman"/>
                <w:color w:val="FFFFFF" w:themeColor="background1"/>
                <w:sz w:val="24"/>
                <w:lang w:eastAsia="en-AU"/>
              </w:rPr>
              <w:t> </w:t>
            </w:r>
          </w:p>
        </w:tc>
        <w:tc>
          <w:tcPr>
            <w:tcW w:w="730" w:type="pct"/>
            <w:hideMark/>
          </w:tcPr>
          <w:p w14:paraId="5EE65EF0" w14:textId="511C6A71" w:rsidR="00CF2E5A" w:rsidRPr="0055104B" w:rsidRDefault="00CF2E5A" w:rsidP="009D683D">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Cs w:val="20"/>
                <w:lang w:eastAsia="en-AU"/>
              </w:rPr>
            </w:pPr>
            <w:r w:rsidRPr="0055104B">
              <w:rPr>
                <w:rFonts w:ascii="Calibri" w:eastAsia="Times New Roman" w:hAnsi="Calibri" w:cs="Calibri"/>
                <w:color w:val="FFFFFF" w:themeColor="background1"/>
                <w:szCs w:val="20"/>
                <w:lang w:eastAsia="en-AU"/>
              </w:rPr>
              <w:t xml:space="preserve">Indigenous </w:t>
            </w:r>
          </w:p>
          <w:p w14:paraId="7D121680" w14:textId="4CAE89B9" w:rsidR="009D683D" w:rsidRPr="0055104B" w:rsidRDefault="009D683D" w:rsidP="009D683D">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Cs w:val="20"/>
                <w:lang w:eastAsia="en-AU"/>
              </w:rPr>
            </w:pPr>
            <w:r w:rsidRPr="0055104B">
              <w:rPr>
                <w:rFonts w:ascii="Calibri" w:eastAsia="Times New Roman" w:hAnsi="Calibri" w:cs="Calibri"/>
                <w:color w:val="FFFFFF" w:themeColor="background1"/>
                <w:szCs w:val="20"/>
                <w:lang w:eastAsia="en-AU"/>
              </w:rPr>
              <w:t>Males</w:t>
            </w:r>
          </w:p>
        </w:tc>
        <w:tc>
          <w:tcPr>
            <w:tcW w:w="897" w:type="pct"/>
            <w:hideMark/>
          </w:tcPr>
          <w:p w14:paraId="0A88C311" w14:textId="767F8D25" w:rsidR="00CF2E5A" w:rsidRPr="0055104B" w:rsidRDefault="00CF2E5A" w:rsidP="009D683D">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Cs w:val="20"/>
                <w:lang w:eastAsia="en-AU"/>
              </w:rPr>
            </w:pPr>
            <w:r w:rsidRPr="0055104B">
              <w:rPr>
                <w:rFonts w:ascii="Calibri" w:eastAsia="Times New Roman" w:hAnsi="Calibri" w:cs="Calibri"/>
                <w:color w:val="FFFFFF" w:themeColor="background1"/>
                <w:szCs w:val="20"/>
                <w:lang w:eastAsia="en-AU"/>
              </w:rPr>
              <w:t>Indigenous</w:t>
            </w:r>
          </w:p>
          <w:p w14:paraId="39F62296" w14:textId="189AED27" w:rsidR="009D683D" w:rsidRPr="0055104B" w:rsidRDefault="009D683D" w:rsidP="009D683D">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Cs w:val="20"/>
                <w:lang w:eastAsia="en-AU"/>
              </w:rPr>
            </w:pPr>
            <w:r w:rsidRPr="0055104B">
              <w:rPr>
                <w:rFonts w:ascii="Calibri" w:eastAsia="Times New Roman" w:hAnsi="Calibri" w:cs="Calibri"/>
                <w:color w:val="FFFFFF" w:themeColor="background1"/>
                <w:szCs w:val="20"/>
                <w:lang w:eastAsia="en-AU"/>
              </w:rPr>
              <w:t>Females</w:t>
            </w:r>
          </w:p>
        </w:tc>
        <w:tc>
          <w:tcPr>
            <w:tcW w:w="889" w:type="pct"/>
            <w:hideMark/>
          </w:tcPr>
          <w:p w14:paraId="0A684E08" w14:textId="5E371800" w:rsidR="00CF2E5A" w:rsidRPr="0055104B" w:rsidRDefault="00CF2E5A" w:rsidP="009D683D">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Cs w:val="20"/>
                <w:lang w:eastAsia="en-AU"/>
              </w:rPr>
            </w:pPr>
            <w:r w:rsidRPr="0055104B">
              <w:rPr>
                <w:rFonts w:ascii="Calibri" w:eastAsia="Times New Roman" w:hAnsi="Calibri" w:cs="Calibri"/>
                <w:color w:val="FFFFFF" w:themeColor="background1"/>
                <w:szCs w:val="20"/>
                <w:lang w:eastAsia="en-AU"/>
              </w:rPr>
              <w:t>Non-Indigenous</w:t>
            </w:r>
          </w:p>
          <w:p w14:paraId="3299B886" w14:textId="589FED88" w:rsidR="009D683D" w:rsidRPr="0055104B" w:rsidRDefault="009D683D" w:rsidP="009D683D">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Cs w:val="20"/>
                <w:lang w:eastAsia="en-AU"/>
              </w:rPr>
            </w:pPr>
            <w:r w:rsidRPr="0055104B">
              <w:rPr>
                <w:rFonts w:ascii="Calibri" w:eastAsia="Times New Roman" w:hAnsi="Calibri" w:cs="Calibri"/>
                <w:color w:val="FFFFFF" w:themeColor="background1"/>
                <w:szCs w:val="20"/>
                <w:lang w:eastAsia="en-AU"/>
              </w:rPr>
              <w:t>Males</w:t>
            </w:r>
          </w:p>
        </w:tc>
        <w:tc>
          <w:tcPr>
            <w:tcW w:w="864" w:type="pct"/>
            <w:hideMark/>
          </w:tcPr>
          <w:p w14:paraId="05772596" w14:textId="77777777" w:rsidR="00CF2E5A" w:rsidRPr="0055104B" w:rsidRDefault="00CF2E5A" w:rsidP="00CF2E5A">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Cs w:val="20"/>
                <w:lang w:eastAsia="en-AU"/>
              </w:rPr>
            </w:pPr>
            <w:r w:rsidRPr="0055104B">
              <w:rPr>
                <w:rFonts w:ascii="Calibri" w:eastAsia="Times New Roman" w:hAnsi="Calibri" w:cs="Calibri"/>
                <w:color w:val="FFFFFF" w:themeColor="background1"/>
                <w:szCs w:val="20"/>
                <w:lang w:eastAsia="en-AU"/>
              </w:rPr>
              <w:t>Non-Indigenous</w:t>
            </w:r>
          </w:p>
          <w:p w14:paraId="4E48B2F6" w14:textId="77777777" w:rsidR="009D683D" w:rsidRPr="0055104B" w:rsidRDefault="009D683D" w:rsidP="009D683D">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Cs w:val="20"/>
                <w:lang w:eastAsia="en-AU"/>
              </w:rPr>
            </w:pPr>
            <w:r w:rsidRPr="0055104B">
              <w:rPr>
                <w:rFonts w:ascii="Calibri" w:eastAsia="Times New Roman" w:hAnsi="Calibri" w:cs="Calibri"/>
                <w:color w:val="FFFFFF" w:themeColor="background1"/>
                <w:szCs w:val="20"/>
                <w:lang w:eastAsia="en-AU"/>
              </w:rPr>
              <w:t>Females</w:t>
            </w:r>
          </w:p>
        </w:tc>
        <w:tc>
          <w:tcPr>
            <w:tcW w:w="576" w:type="pct"/>
            <w:hideMark/>
          </w:tcPr>
          <w:p w14:paraId="3E65E668" w14:textId="77777777" w:rsidR="00CF2E5A" w:rsidRPr="0055104B" w:rsidRDefault="00CF2E5A" w:rsidP="009D683D">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Cs w:val="20"/>
                <w:lang w:eastAsia="en-AU"/>
              </w:rPr>
            </w:pPr>
            <w:r w:rsidRPr="0055104B">
              <w:rPr>
                <w:rFonts w:ascii="Calibri" w:eastAsia="Times New Roman" w:hAnsi="Calibri" w:cs="Calibri"/>
                <w:color w:val="FFFFFF" w:themeColor="background1"/>
                <w:szCs w:val="20"/>
                <w:lang w:eastAsia="en-AU"/>
              </w:rPr>
              <w:t>Gap</w:t>
            </w:r>
          </w:p>
          <w:p w14:paraId="56066FBE" w14:textId="76ABF86A" w:rsidR="009D683D" w:rsidRPr="0055104B" w:rsidRDefault="009D683D" w:rsidP="009D683D">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Cs w:val="20"/>
                <w:lang w:eastAsia="en-AU"/>
              </w:rPr>
            </w:pPr>
            <w:r w:rsidRPr="0055104B">
              <w:rPr>
                <w:rFonts w:ascii="Calibri" w:eastAsia="Times New Roman" w:hAnsi="Calibri" w:cs="Calibri"/>
                <w:color w:val="FFFFFF" w:themeColor="background1"/>
                <w:szCs w:val="20"/>
                <w:lang w:eastAsia="en-AU"/>
              </w:rPr>
              <w:t>Males</w:t>
            </w:r>
          </w:p>
        </w:tc>
        <w:tc>
          <w:tcPr>
            <w:tcW w:w="0" w:type="auto"/>
            <w:hideMark/>
          </w:tcPr>
          <w:p w14:paraId="7F58C3B8" w14:textId="77777777" w:rsidR="00CF2E5A" w:rsidRPr="0055104B" w:rsidRDefault="00CF2E5A" w:rsidP="009D683D">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Cs w:val="20"/>
                <w:lang w:eastAsia="en-AU"/>
              </w:rPr>
            </w:pPr>
            <w:r w:rsidRPr="0055104B">
              <w:rPr>
                <w:rFonts w:ascii="Calibri" w:eastAsia="Times New Roman" w:hAnsi="Calibri" w:cs="Calibri"/>
                <w:color w:val="FFFFFF" w:themeColor="background1"/>
                <w:szCs w:val="20"/>
                <w:lang w:eastAsia="en-AU"/>
              </w:rPr>
              <w:t>Gap</w:t>
            </w:r>
          </w:p>
          <w:p w14:paraId="4FF9A6D6" w14:textId="56F13A5C" w:rsidR="009D683D" w:rsidRPr="0055104B" w:rsidRDefault="009D683D" w:rsidP="009D683D">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Cs w:val="20"/>
                <w:lang w:eastAsia="en-AU"/>
              </w:rPr>
            </w:pPr>
            <w:r w:rsidRPr="0055104B">
              <w:rPr>
                <w:rFonts w:ascii="Calibri" w:eastAsia="Times New Roman" w:hAnsi="Calibri" w:cs="Calibri"/>
                <w:color w:val="FFFFFF" w:themeColor="background1"/>
                <w:szCs w:val="20"/>
                <w:lang w:eastAsia="en-AU"/>
              </w:rPr>
              <w:t>Females</w:t>
            </w:r>
          </w:p>
        </w:tc>
      </w:tr>
      <w:tr w:rsidR="00CF2E5A" w:rsidRPr="009D683D" w14:paraId="02E7EBC5" w14:textId="77777777" w:rsidTr="00551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 w:type="pct"/>
            <w:hideMark/>
          </w:tcPr>
          <w:p w14:paraId="1AC250F9" w14:textId="77777777" w:rsidR="009D683D" w:rsidRPr="009D683D" w:rsidRDefault="009D683D" w:rsidP="009D683D">
            <w:pPr>
              <w:jc w:val="both"/>
              <w:rPr>
                <w:rFonts w:ascii="Calibri" w:eastAsia="Times New Roman" w:hAnsi="Calibri" w:cs="Calibri"/>
                <w:sz w:val="24"/>
                <w:lang w:eastAsia="en-AU"/>
              </w:rPr>
            </w:pPr>
            <w:r w:rsidRPr="009D683D">
              <w:rPr>
                <w:rFonts w:ascii="Calibri" w:eastAsia="Times New Roman" w:hAnsi="Calibri" w:cs="Calibri"/>
                <w:sz w:val="24"/>
                <w:lang w:eastAsia="en-AU"/>
              </w:rPr>
              <w:t>2005-2007</w:t>
            </w:r>
          </w:p>
        </w:tc>
        <w:tc>
          <w:tcPr>
            <w:tcW w:w="730" w:type="pct"/>
            <w:hideMark/>
          </w:tcPr>
          <w:p w14:paraId="2BA9338E" w14:textId="77777777" w:rsidR="009D683D" w:rsidRPr="009D683D" w:rsidRDefault="009D683D" w:rsidP="009D683D">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1C1C2E"/>
                <w:sz w:val="24"/>
                <w:lang w:eastAsia="en-AU"/>
              </w:rPr>
            </w:pPr>
            <w:r w:rsidRPr="009D683D">
              <w:rPr>
                <w:rFonts w:ascii="Calibri" w:eastAsia="Times New Roman" w:hAnsi="Calibri" w:cs="Calibri"/>
                <w:color w:val="1C1C2E"/>
                <w:sz w:val="24"/>
                <w:lang w:eastAsia="en-AU"/>
              </w:rPr>
              <w:t>67.5</w:t>
            </w:r>
          </w:p>
        </w:tc>
        <w:tc>
          <w:tcPr>
            <w:tcW w:w="897" w:type="pct"/>
            <w:hideMark/>
          </w:tcPr>
          <w:p w14:paraId="152B92EC" w14:textId="77777777" w:rsidR="009D683D" w:rsidRPr="009D683D" w:rsidRDefault="009D683D" w:rsidP="009D683D">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1C1C2E"/>
                <w:sz w:val="24"/>
                <w:lang w:eastAsia="en-AU"/>
              </w:rPr>
            </w:pPr>
            <w:r w:rsidRPr="009D683D">
              <w:rPr>
                <w:rFonts w:ascii="Calibri" w:eastAsia="Times New Roman" w:hAnsi="Calibri" w:cs="Calibri"/>
                <w:color w:val="1C1C2E"/>
                <w:sz w:val="24"/>
                <w:lang w:eastAsia="en-AU"/>
              </w:rPr>
              <w:t>73.1</w:t>
            </w:r>
          </w:p>
        </w:tc>
        <w:tc>
          <w:tcPr>
            <w:tcW w:w="889" w:type="pct"/>
            <w:hideMark/>
          </w:tcPr>
          <w:p w14:paraId="43B03463" w14:textId="77777777" w:rsidR="009D683D" w:rsidRPr="009D683D" w:rsidRDefault="009D683D" w:rsidP="009D683D">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1C1C2E"/>
                <w:sz w:val="24"/>
                <w:lang w:eastAsia="en-AU"/>
              </w:rPr>
            </w:pPr>
            <w:r w:rsidRPr="009D683D">
              <w:rPr>
                <w:rFonts w:ascii="Calibri" w:eastAsia="Times New Roman" w:hAnsi="Calibri" w:cs="Calibri"/>
                <w:color w:val="1C1C2E"/>
                <w:sz w:val="24"/>
                <w:lang w:eastAsia="en-AU"/>
              </w:rPr>
              <w:t>78.9</w:t>
            </w:r>
          </w:p>
        </w:tc>
        <w:tc>
          <w:tcPr>
            <w:tcW w:w="864" w:type="pct"/>
            <w:hideMark/>
          </w:tcPr>
          <w:p w14:paraId="59D68CD6" w14:textId="77777777" w:rsidR="009D683D" w:rsidRPr="009D683D" w:rsidRDefault="009D683D" w:rsidP="009D683D">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1C1C2E"/>
                <w:sz w:val="24"/>
                <w:lang w:eastAsia="en-AU"/>
              </w:rPr>
            </w:pPr>
            <w:r w:rsidRPr="009D683D">
              <w:rPr>
                <w:rFonts w:ascii="Calibri" w:eastAsia="Times New Roman" w:hAnsi="Calibri" w:cs="Calibri"/>
                <w:color w:val="1C1C2E"/>
                <w:sz w:val="24"/>
                <w:lang w:eastAsia="en-AU"/>
              </w:rPr>
              <w:t>82.6</w:t>
            </w:r>
          </w:p>
        </w:tc>
        <w:tc>
          <w:tcPr>
            <w:tcW w:w="576" w:type="pct"/>
            <w:hideMark/>
          </w:tcPr>
          <w:p w14:paraId="16E5C38A" w14:textId="77777777" w:rsidR="009D683D" w:rsidRPr="009D683D" w:rsidRDefault="009D683D" w:rsidP="009D683D">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1C1C2E"/>
                <w:sz w:val="24"/>
                <w:lang w:eastAsia="en-AU"/>
              </w:rPr>
            </w:pPr>
            <w:r w:rsidRPr="009D683D">
              <w:rPr>
                <w:rFonts w:ascii="Calibri" w:eastAsia="Times New Roman" w:hAnsi="Calibri" w:cs="Calibri"/>
                <w:color w:val="1C1C2E"/>
                <w:sz w:val="24"/>
                <w:lang w:eastAsia="en-AU"/>
              </w:rPr>
              <w:t>11.4</w:t>
            </w:r>
          </w:p>
        </w:tc>
        <w:tc>
          <w:tcPr>
            <w:tcW w:w="0" w:type="auto"/>
            <w:hideMark/>
          </w:tcPr>
          <w:p w14:paraId="078B37CA" w14:textId="77777777" w:rsidR="009D683D" w:rsidRPr="009D683D" w:rsidRDefault="009D683D" w:rsidP="009D683D">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1C1C2E"/>
                <w:sz w:val="24"/>
                <w:lang w:eastAsia="en-AU"/>
              </w:rPr>
            </w:pPr>
            <w:r w:rsidRPr="009D683D">
              <w:rPr>
                <w:rFonts w:ascii="Calibri" w:eastAsia="Times New Roman" w:hAnsi="Calibri" w:cs="Calibri"/>
                <w:color w:val="1C1C2E"/>
                <w:sz w:val="24"/>
                <w:lang w:eastAsia="en-AU"/>
              </w:rPr>
              <w:t>9.6</w:t>
            </w:r>
          </w:p>
        </w:tc>
      </w:tr>
      <w:tr w:rsidR="00CF2E5A" w:rsidRPr="009D683D" w14:paraId="6E9A0BF8" w14:textId="77777777" w:rsidTr="0055104B">
        <w:tc>
          <w:tcPr>
            <w:cnfStyle w:val="001000000000" w:firstRow="0" w:lastRow="0" w:firstColumn="1" w:lastColumn="0" w:oddVBand="0" w:evenVBand="0" w:oddHBand="0" w:evenHBand="0" w:firstRowFirstColumn="0" w:firstRowLastColumn="0" w:lastRowFirstColumn="0" w:lastRowLastColumn="0"/>
            <w:tcW w:w="469" w:type="pct"/>
            <w:hideMark/>
          </w:tcPr>
          <w:p w14:paraId="164C9E90" w14:textId="77777777" w:rsidR="009D683D" w:rsidRPr="009D683D" w:rsidRDefault="009D683D" w:rsidP="009D683D">
            <w:pPr>
              <w:jc w:val="both"/>
              <w:rPr>
                <w:rFonts w:ascii="Calibri" w:eastAsia="Times New Roman" w:hAnsi="Calibri" w:cs="Calibri"/>
                <w:sz w:val="24"/>
                <w:lang w:eastAsia="en-AU"/>
              </w:rPr>
            </w:pPr>
            <w:r w:rsidRPr="009D683D">
              <w:rPr>
                <w:rFonts w:ascii="Calibri" w:eastAsia="Times New Roman" w:hAnsi="Calibri" w:cs="Calibri"/>
                <w:sz w:val="24"/>
                <w:lang w:eastAsia="en-AU"/>
              </w:rPr>
              <w:t>2010-2012</w:t>
            </w:r>
          </w:p>
        </w:tc>
        <w:tc>
          <w:tcPr>
            <w:tcW w:w="730" w:type="pct"/>
            <w:hideMark/>
          </w:tcPr>
          <w:p w14:paraId="146BC46C" w14:textId="77777777" w:rsidR="009D683D" w:rsidRPr="009D683D" w:rsidRDefault="009D683D" w:rsidP="009D683D">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1C1C2E"/>
                <w:sz w:val="24"/>
                <w:lang w:eastAsia="en-AU"/>
              </w:rPr>
            </w:pPr>
            <w:r w:rsidRPr="009D683D">
              <w:rPr>
                <w:rFonts w:ascii="Calibri" w:eastAsia="Times New Roman" w:hAnsi="Calibri" w:cs="Calibri"/>
                <w:color w:val="1C1C2E"/>
                <w:sz w:val="24"/>
                <w:lang w:eastAsia="en-AU"/>
              </w:rPr>
              <w:t>69.1</w:t>
            </w:r>
          </w:p>
        </w:tc>
        <w:tc>
          <w:tcPr>
            <w:tcW w:w="897" w:type="pct"/>
            <w:hideMark/>
          </w:tcPr>
          <w:p w14:paraId="055B2001" w14:textId="77777777" w:rsidR="009D683D" w:rsidRPr="009D683D" w:rsidRDefault="009D683D" w:rsidP="009D683D">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1C1C2E"/>
                <w:sz w:val="24"/>
                <w:lang w:eastAsia="en-AU"/>
              </w:rPr>
            </w:pPr>
            <w:r w:rsidRPr="009D683D">
              <w:rPr>
                <w:rFonts w:ascii="Calibri" w:eastAsia="Times New Roman" w:hAnsi="Calibri" w:cs="Calibri"/>
                <w:color w:val="1C1C2E"/>
                <w:sz w:val="24"/>
                <w:lang w:eastAsia="en-AU"/>
              </w:rPr>
              <w:t>73.7</w:t>
            </w:r>
          </w:p>
        </w:tc>
        <w:tc>
          <w:tcPr>
            <w:tcW w:w="889" w:type="pct"/>
            <w:hideMark/>
          </w:tcPr>
          <w:p w14:paraId="13E785C1" w14:textId="77777777" w:rsidR="009D683D" w:rsidRPr="009D683D" w:rsidRDefault="009D683D" w:rsidP="009D683D">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1C1C2E"/>
                <w:sz w:val="24"/>
                <w:lang w:eastAsia="en-AU"/>
              </w:rPr>
            </w:pPr>
            <w:r w:rsidRPr="009D683D">
              <w:rPr>
                <w:rFonts w:ascii="Calibri" w:eastAsia="Times New Roman" w:hAnsi="Calibri" w:cs="Calibri"/>
                <w:color w:val="1C1C2E"/>
                <w:sz w:val="24"/>
                <w:lang w:eastAsia="en-AU"/>
              </w:rPr>
              <w:t>79.7</w:t>
            </w:r>
          </w:p>
        </w:tc>
        <w:tc>
          <w:tcPr>
            <w:tcW w:w="864" w:type="pct"/>
            <w:hideMark/>
          </w:tcPr>
          <w:p w14:paraId="34030A37" w14:textId="77777777" w:rsidR="009D683D" w:rsidRPr="009D683D" w:rsidRDefault="009D683D" w:rsidP="009D683D">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1C1C2E"/>
                <w:sz w:val="24"/>
                <w:lang w:eastAsia="en-AU"/>
              </w:rPr>
            </w:pPr>
            <w:r w:rsidRPr="009D683D">
              <w:rPr>
                <w:rFonts w:ascii="Calibri" w:eastAsia="Times New Roman" w:hAnsi="Calibri" w:cs="Calibri"/>
                <w:color w:val="1C1C2E"/>
                <w:sz w:val="24"/>
                <w:lang w:eastAsia="en-AU"/>
              </w:rPr>
              <w:t>83.1</w:t>
            </w:r>
          </w:p>
        </w:tc>
        <w:tc>
          <w:tcPr>
            <w:tcW w:w="576" w:type="pct"/>
            <w:hideMark/>
          </w:tcPr>
          <w:p w14:paraId="73ABB64C" w14:textId="77777777" w:rsidR="009D683D" w:rsidRPr="009D683D" w:rsidRDefault="009D683D" w:rsidP="009D683D">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1C1C2E"/>
                <w:sz w:val="24"/>
                <w:lang w:eastAsia="en-AU"/>
              </w:rPr>
            </w:pPr>
            <w:r w:rsidRPr="009D683D">
              <w:rPr>
                <w:rFonts w:ascii="Calibri" w:eastAsia="Times New Roman" w:hAnsi="Calibri" w:cs="Calibri"/>
                <w:color w:val="1C1C2E"/>
                <w:sz w:val="24"/>
                <w:lang w:eastAsia="en-AU"/>
              </w:rPr>
              <w:t>10.6</w:t>
            </w:r>
          </w:p>
        </w:tc>
        <w:tc>
          <w:tcPr>
            <w:tcW w:w="0" w:type="auto"/>
            <w:hideMark/>
          </w:tcPr>
          <w:p w14:paraId="1D7D650B" w14:textId="77777777" w:rsidR="009D683D" w:rsidRPr="009D683D" w:rsidRDefault="009D683D" w:rsidP="009D683D">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1C1C2E"/>
                <w:sz w:val="24"/>
                <w:lang w:eastAsia="en-AU"/>
              </w:rPr>
            </w:pPr>
            <w:r w:rsidRPr="009D683D">
              <w:rPr>
                <w:rFonts w:ascii="Calibri" w:eastAsia="Times New Roman" w:hAnsi="Calibri" w:cs="Calibri"/>
                <w:color w:val="1C1C2E"/>
                <w:sz w:val="24"/>
                <w:lang w:eastAsia="en-AU"/>
              </w:rPr>
              <w:t>9.5</w:t>
            </w:r>
          </w:p>
        </w:tc>
      </w:tr>
    </w:tbl>
    <w:p w14:paraId="26CA130B" w14:textId="77777777" w:rsidR="009D683D" w:rsidRPr="009D683D" w:rsidRDefault="009D683D" w:rsidP="009D683D">
      <w:pPr>
        <w:spacing w:before="60" w:line="276" w:lineRule="auto"/>
        <w:jc w:val="both"/>
        <w:rPr>
          <w:rFonts w:ascii="Calibri" w:eastAsia="Calibri" w:hAnsi="Calibri" w:cs="Times New Roman"/>
          <w:sz w:val="22"/>
          <w:lang w:val="en-US"/>
        </w:rPr>
      </w:pPr>
      <w:r w:rsidRPr="009D683D">
        <w:rPr>
          <w:rFonts w:ascii="Calibri" w:eastAsia="Calibri" w:hAnsi="Calibri" w:cs="Times New Roman"/>
          <w:sz w:val="22"/>
        </w:rPr>
        <w:t xml:space="preserve">Chronic kidney disease is a significant and rapidly growing public health problem that manifests in substantial burden of illness and premature mortality worldwide. CKD is gradual and progressive and comprises five recognised stages. </w:t>
      </w:r>
      <w:r w:rsidRPr="009D683D">
        <w:rPr>
          <w:rFonts w:ascii="Calibri" w:eastAsia="Calibri" w:hAnsi="Calibri" w:cs="Times New Roman"/>
          <w:sz w:val="22"/>
          <w:lang w:val="en-US"/>
        </w:rPr>
        <w:t xml:space="preserve">Stage 1 is the mildest and typically symptom free, while Stage 5 is the point where kidney function causes very substantial symptoms and complications and ultimately is incompatible with life unless renal replacement therapy (RRT), comprising dialysis or transplantation, is undertaken </w:t>
      </w:r>
      <w:r w:rsidRPr="009D683D">
        <w:rPr>
          <w:rFonts w:ascii="Calibri" w:eastAsia="Calibri" w:hAnsi="Calibri" w:cs="Times New Roman"/>
          <w:sz w:val="22"/>
          <w:lang w:val="en-US"/>
        </w:rPr>
        <w:fldChar w:fldCharType="begin"/>
      </w:r>
      <w:r w:rsidRPr="009D683D">
        <w:rPr>
          <w:rFonts w:ascii="Calibri" w:eastAsia="Calibri" w:hAnsi="Calibri" w:cs="Times New Roman"/>
          <w:sz w:val="22"/>
          <w:lang w:val="en-US"/>
        </w:rPr>
        <w:instrText xml:space="preserve"> ADDIN EN.CITE &lt;EndNote&gt;&lt;Cite&gt;&lt;Author&gt;AIHW&lt;/Author&gt;&lt;Year&gt;2011&lt;/Year&gt;&lt;RecNum&gt;360&lt;/RecNum&gt;&lt;DisplayText&gt;(AIHW, 2011a)&lt;/DisplayText&gt;&lt;record&gt;&lt;rec-number&gt;360&lt;/rec-number&gt;&lt;foreign-keys&gt;&lt;key app="EN" db-id="ews5ve9enfwav7etdtjvztfdrftvwrf9vrsx" timestamp="1546831835"&gt;360&lt;/key&gt;&lt;/foreign-keys&gt;&lt;ref-type name="Government Document"&gt;46&lt;/ref-type&gt;&lt;contributors&gt;&lt;authors&gt;&lt;author&gt;AIHW&lt;/author&gt;&lt;/authors&gt;&lt;secondary-authors&gt;&lt;author&gt;Australian Institute of Health and Welfare&lt;/author&gt;&lt;/secondary-authors&gt;&lt;/contributors&gt;&lt;titles&gt;&lt;title&gt;End-stage kidney disease in Australia: Total incidence, 2003-2007&lt;/title&gt;&lt;/titles&gt;&lt;dates&gt;&lt;year&gt;2011&lt;/year&gt;&lt;/dates&gt;&lt;pub-location&gt;Canberra, Australia&lt;/pub-location&gt;&lt;publisher&gt;Australian Institute of Health and Welfare&lt;/publisher&gt;&lt;urls&gt;&lt;related-urls&gt;&lt;url&gt;https://www.aihw.gov.au/getmedia/0b59410e-c277-4bde-8bd8-31054c51ee68/12787.pdf.aspx?inline=true&lt;/url&gt;&lt;/related-urls&gt;&lt;/urls&gt;&lt;/record&gt;&lt;/Cite&gt;&lt;/EndNote&gt;</w:instrText>
      </w:r>
      <w:r w:rsidRPr="009D683D">
        <w:rPr>
          <w:rFonts w:ascii="Calibri" w:eastAsia="Calibri" w:hAnsi="Calibri" w:cs="Times New Roman"/>
          <w:sz w:val="22"/>
          <w:lang w:val="en-US"/>
        </w:rPr>
        <w:fldChar w:fldCharType="separate"/>
      </w:r>
      <w:r w:rsidRPr="009D683D">
        <w:rPr>
          <w:rFonts w:ascii="Calibri" w:eastAsia="Calibri" w:hAnsi="Calibri" w:cs="Times New Roman"/>
          <w:noProof/>
          <w:sz w:val="22"/>
          <w:lang w:val="en-US"/>
        </w:rPr>
        <w:t>(AIHW, 2011a)</w:t>
      </w:r>
      <w:r w:rsidRPr="009D683D">
        <w:rPr>
          <w:rFonts w:ascii="Calibri" w:eastAsia="Calibri" w:hAnsi="Calibri" w:cs="Times New Roman"/>
          <w:sz w:val="22"/>
          <w:lang w:val="en-US"/>
        </w:rPr>
        <w:fldChar w:fldCharType="end"/>
      </w:r>
      <w:r w:rsidRPr="009D683D">
        <w:rPr>
          <w:rFonts w:ascii="Calibri" w:eastAsia="Calibri" w:hAnsi="Calibri" w:cs="Times New Roman"/>
          <w:sz w:val="22"/>
          <w:lang w:val="en-US"/>
        </w:rPr>
        <w:t xml:space="preserve">. Intervention to avoid or reduce the impact of kidney disease is targeted at all stages, but in the later stages kidney function is severely reduced, requiring more intensive intervention in preparation for Stage 5 </w:t>
      </w:r>
      <w:r w:rsidRPr="009D683D">
        <w:rPr>
          <w:rFonts w:ascii="Calibri" w:eastAsia="Calibri" w:hAnsi="Calibri" w:cs="Times New Roman"/>
          <w:sz w:val="22"/>
          <w:lang w:val="en-US"/>
        </w:rPr>
        <w:fldChar w:fldCharType="begin"/>
      </w:r>
      <w:r w:rsidRPr="009D683D">
        <w:rPr>
          <w:rFonts w:ascii="Calibri" w:eastAsia="Calibri" w:hAnsi="Calibri" w:cs="Times New Roman"/>
          <w:sz w:val="22"/>
          <w:lang w:val="en-US"/>
        </w:rPr>
        <w:instrText xml:space="preserve"> ADDIN EN.CITE &lt;EndNote&gt;&lt;Cite&gt;&lt;Author&gt;AIHW&lt;/Author&gt;&lt;Year&gt;2011&lt;/Year&gt;&lt;RecNum&gt;360&lt;/RecNum&gt;&lt;DisplayText&gt;(AIHW, 2011a)&lt;/DisplayText&gt;&lt;record&gt;&lt;rec-number&gt;360&lt;/rec-number&gt;&lt;foreign-keys&gt;&lt;key app="EN" db-id="ews5ve9enfwav7etdtjvztfdrftvwrf9vrsx" timestamp="1546831835"&gt;360&lt;/key&gt;&lt;/foreign-keys&gt;&lt;ref-type name="Government Document"&gt;46&lt;/ref-type&gt;&lt;contributors&gt;&lt;authors&gt;&lt;author&gt;AIHW&lt;/author&gt;&lt;/authors&gt;&lt;secondary-authors&gt;&lt;author&gt;Australian Institute of Health and Welfare&lt;/author&gt;&lt;/secondary-authors&gt;&lt;/contributors&gt;&lt;titles&gt;&lt;title&gt;End-stage kidney disease in Australia: Total incidence, 2003-2007&lt;/title&gt;&lt;/titles&gt;&lt;dates&gt;&lt;year&gt;2011&lt;/year&gt;&lt;/dates&gt;&lt;pub-location&gt;Canberra, Australia&lt;/pub-location&gt;&lt;publisher&gt;Australian Institute of Health and Welfare&lt;/publisher&gt;&lt;urls&gt;&lt;related-urls&gt;&lt;url&gt;https://www.aihw.gov.au/getmedia/0b59410e-c277-4bde-8bd8-31054c51ee68/12787.pdf.aspx?inline=true&lt;/url&gt;&lt;/related-urls&gt;&lt;/urls&gt;&lt;/record&gt;&lt;/Cite&gt;&lt;/EndNote&gt;</w:instrText>
      </w:r>
      <w:r w:rsidRPr="009D683D">
        <w:rPr>
          <w:rFonts w:ascii="Calibri" w:eastAsia="Calibri" w:hAnsi="Calibri" w:cs="Times New Roman"/>
          <w:sz w:val="22"/>
          <w:lang w:val="en-US"/>
        </w:rPr>
        <w:fldChar w:fldCharType="separate"/>
      </w:r>
      <w:r w:rsidRPr="009D683D">
        <w:rPr>
          <w:rFonts w:ascii="Calibri" w:eastAsia="Calibri" w:hAnsi="Calibri" w:cs="Times New Roman"/>
          <w:noProof/>
          <w:sz w:val="22"/>
          <w:lang w:val="en-US"/>
        </w:rPr>
        <w:t>(AIHW, 2011a)</w:t>
      </w:r>
      <w:r w:rsidRPr="009D683D">
        <w:rPr>
          <w:rFonts w:ascii="Calibri" w:eastAsia="Calibri" w:hAnsi="Calibri" w:cs="Times New Roman"/>
          <w:sz w:val="22"/>
          <w:lang w:val="en-US"/>
        </w:rPr>
        <w:fldChar w:fldCharType="end"/>
      </w:r>
      <w:r w:rsidRPr="009D683D">
        <w:rPr>
          <w:rFonts w:ascii="Calibri" w:eastAsia="Calibri" w:hAnsi="Calibri" w:cs="Times New Roman"/>
          <w:sz w:val="22"/>
          <w:lang w:val="en-US"/>
        </w:rPr>
        <w:t xml:space="preserve">. The five stages of CKD are outlined in Table 2. </w:t>
      </w:r>
    </w:p>
    <w:p w14:paraId="314960D8" w14:textId="77777777" w:rsidR="009D683D" w:rsidRPr="009D683D" w:rsidRDefault="009D683D" w:rsidP="009D683D">
      <w:pPr>
        <w:spacing w:after="120" w:line="276" w:lineRule="auto"/>
        <w:jc w:val="both"/>
        <w:rPr>
          <w:rFonts w:ascii="Calibri" w:eastAsia="Calibri" w:hAnsi="Calibri" w:cs="Times New Roman"/>
          <w:sz w:val="22"/>
          <w:lang w:val="en-US"/>
        </w:rPr>
      </w:pPr>
      <w:r w:rsidRPr="009D683D">
        <w:rPr>
          <w:rFonts w:ascii="Calibri" w:eastAsia="Calibri" w:hAnsi="Calibri" w:cs="Times New Roman"/>
          <w:i/>
          <w:sz w:val="22"/>
          <w:lang w:val="en-US"/>
        </w:rPr>
        <w:t xml:space="preserve">Table 2: </w:t>
      </w:r>
      <w:r w:rsidRPr="009D683D">
        <w:rPr>
          <w:rFonts w:ascii="Calibri" w:eastAsia="Calibri" w:hAnsi="Calibri" w:cs="Times New Roman"/>
          <w:sz w:val="22"/>
          <w:lang w:val="en-US"/>
        </w:rPr>
        <w:t xml:space="preserve">The Five Stages of CKD </w:t>
      </w:r>
      <w:r w:rsidRPr="009D683D">
        <w:rPr>
          <w:rFonts w:ascii="Calibri" w:eastAsia="Calibri" w:hAnsi="Calibri" w:cs="Times New Roman"/>
          <w:sz w:val="22"/>
          <w:lang w:val="en-US"/>
        </w:rPr>
        <w:fldChar w:fldCharType="begin"/>
      </w:r>
      <w:r w:rsidRPr="009D683D">
        <w:rPr>
          <w:rFonts w:ascii="Calibri" w:eastAsia="Calibri" w:hAnsi="Calibri" w:cs="Times New Roman"/>
          <w:sz w:val="22"/>
          <w:lang w:val="en-US"/>
        </w:rPr>
        <w:instrText xml:space="preserve"> ADDIN EN.CITE &lt;EndNote&gt;&lt;Cite&gt;&lt;Author&gt;AIHW&lt;/Author&gt;&lt;Year&gt;2011&lt;/Year&gt;&lt;RecNum&gt;360&lt;/RecNum&gt;&lt;DisplayText&gt;(AIHW, 2011a)&lt;/DisplayText&gt;&lt;record&gt;&lt;rec-number&gt;360&lt;/rec-number&gt;&lt;foreign-keys&gt;&lt;key app="EN" db-id="ews5ve9enfwav7etdtjvztfdrftvwrf9vrsx" timestamp="1546831835"&gt;360&lt;/key&gt;&lt;/foreign-keys&gt;&lt;ref-type name="Government Document"&gt;46&lt;/ref-type&gt;&lt;contributors&gt;&lt;authors&gt;&lt;author&gt;AIHW&lt;/author&gt;&lt;/authors&gt;&lt;secondary-authors&gt;&lt;author&gt;Australian Institute of Health and Welfare&lt;/author&gt;&lt;/secondary-authors&gt;&lt;/contributors&gt;&lt;titles&gt;&lt;title&gt;End-stage kidney disease in Australia: Total incidence, 2003-2007&lt;/title&gt;&lt;/titles&gt;&lt;dates&gt;&lt;year&gt;2011&lt;/year&gt;&lt;/dates&gt;&lt;pub-location&gt;Canberra, Australia&lt;/pub-location&gt;&lt;publisher&gt;Australian Institute of Health and Welfare&lt;/publisher&gt;&lt;urls&gt;&lt;related-urls&gt;&lt;url&gt;https://www.aihw.gov.au/getmedia/0b59410e-c277-4bde-8bd8-31054c51ee68/12787.pdf.aspx?inline=true&lt;/url&gt;&lt;/related-urls&gt;&lt;/urls&gt;&lt;/record&gt;&lt;/Cite&gt;&lt;/EndNote&gt;</w:instrText>
      </w:r>
      <w:r w:rsidRPr="009D683D">
        <w:rPr>
          <w:rFonts w:ascii="Calibri" w:eastAsia="Calibri" w:hAnsi="Calibri" w:cs="Times New Roman"/>
          <w:sz w:val="22"/>
          <w:lang w:val="en-US"/>
        </w:rPr>
        <w:fldChar w:fldCharType="separate"/>
      </w:r>
      <w:r w:rsidRPr="009D683D">
        <w:rPr>
          <w:rFonts w:ascii="Calibri" w:eastAsia="Calibri" w:hAnsi="Calibri" w:cs="Times New Roman"/>
          <w:noProof/>
          <w:sz w:val="22"/>
          <w:lang w:val="en-US"/>
        </w:rPr>
        <w:t>(AIHW, 2011a)</w:t>
      </w:r>
      <w:r w:rsidRPr="009D683D">
        <w:rPr>
          <w:rFonts w:ascii="Calibri" w:eastAsia="Calibri" w:hAnsi="Calibri" w:cs="Times New Roman"/>
          <w:sz w:val="22"/>
          <w:lang w:val="en-US"/>
        </w:rPr>
        <w:fldChar w:fldCharType="end"/>
      </w:r>
      <w:r w:rsidRPr="009D683D">
        <w:rPr>
          <w:rFonts w:ascii="Calibri" w:eastAsia="Calibri" w:hAnsi="Calibri" w:cs="Times New Roman"/>
          <w:sz w:val="22"/>
          <w:lang w:val="en-US"/>
        </w:rPr>
        <w:t>.</w:t>
      </w:r>
    </w:p>
    <w:tbl>
      <w:tblPr>
        <w:tblStyle w:val="ListTable311"/>
        <w:tblW w:w="9021" w:type="dxa"/>
        <w:tblLook w:val="04A0" w:firstRow="1" w:lastRow="0" w:firstColumn="1" w:lastColumn="0" w:noHBand="0" w:noVBand="1"/>
      </w:tblPr>
      <w:tblGrid>
        <w:gridCol w:w="766"/>
        <w:gridCol w:w="3912"/>
        <w:gridCol w:w="1133"/>
        <w:gridCol w:w="3210"/>
      </w:tblGrid>
      <w:tr w:rsidR="009D683D" w:rsidRPr="009D683D" w14:paraId="47CB9D1D" w14:textId="77777777" w:rsidTr="00CF2E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6" w:type="dxa"/>
          </w:tcPr>
          <w:p w14:paraId="677C5D8E" w14:textId="77777777" w:rsidR="009D683D" w:rsidRPr="009D683D" w:rsidRDefault="009D683D" w:rsidP="009D683D">
            <w:pPr>
              <w:jc w:val="center"/>
              <w:rPr>
                <w:rFonts w:ascii="Calibri" w:eastAsia="Calibri" w:hAnsi="Calibri" w:cs="Times New Roman"/>
                <w:sz w:val="24"/>
              </w:rPr>
            </w:pPr>
            <w:r w:rsidRPr="009D683D">
              <w:rPr>
                <w:rFonts w:ascii="Calibri" w:eastAsia="Calibri" w:hAnsi="Calibri" w:cs="Times New Roman"/>
                <w:sz w:val="24"/>
              </w:rPr>
              <w:t>Stage</w:t>
            </w:r>
          </w:p>
        </w:tc>
        <w:tc>
          <w:tcPr>
            <w:tcW w:w="3912" w:type="dxa"/>
          </w:tcPr>
          <w:p w14:paraId="291E0FE4" w14:textId="77777777" w:rsidR="009D683D" w:rsidRPr="009D683D" w:rsidRDefault="009D683D" w:rsidP="009D683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4"/>
              </w:rPr>
            </w:pPr>
            <w:r w:rsidRPr="009D683D">
              <w:rPr>
                <w:rFonts w:ascii="Calibri" w:eastAsia="Calibri" w:hAnsi="Calibri" w:cs="Times New Roman"/>
                <w:sz w:val="24"/>
              </w:rPr>
              <w:t>Description</w:t>
            </w:r>
          </w:p>
        </w:tc>
        <w:tc>
          <w:tcPr>
            <w:tcW w:w="1133" w:type="dxa"/>
          </w:tcPr>
          <w:p w14:paraId="0154689C" w14:textId="77777777" w:rsidR="009D683D" w:rsidRPr="009D683D" w:rsidRDefault="009D683D" w:rsidP="009D683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4"/>
              </w:rPr>
            </w:pPr>
            <w:r w:rsidRPr="009D683D">
              <w:rPr>
                <w:rFonts w:ascii="Calibri" w:eastAsia="Calibri" w:hAnsi="Calibri" w:cs="Times New Roman"/>
                <w:sz w:val="24"/>
              </w:rPr>
              <w:t>eGFR</w:t>
            </w:r>
          </w:p>
        </w:tc>
        <w:tc>
          <w:tcPr>
            <w:tcW w:w="3210" w:type="dxa"/>
          </w:tcPr>
          <w:p w14:paraId="1E3DE6CA" w14:textId="77777777" w:rsidR="009D683D" w:rsidRPr="009D683D" w:rsidRDefault="009D683D" w:rsidP="009D683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4"/>
              </w:rPr>
            </w:pPr>
            <w:r w:rsidRPr="009D683D">
              <w:rPr>
                <w:rFonts w:ascii="Calibri" w:eastAsia="Calibri" w:hAnsi="Calibri" w:cs="Times New Roman"/>
                <w:sz w:val="24"/>
              </w:rPr>
              <w:t>Kidney Function Deterioration</w:t>
            </w:r>
          </w:p>
        </w:tc>
      </w:tr>
      <w:tr w:rsidR="009D683D" w:rsidRPr="009D683D" w14:paraId="0B144923" w14:textId="77777777" w:rsidTr="00CF2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 w:type="dxa"/>
          </w:tcPr>
          <w:p w14:paraId="69573CAF" w14:textId="77777777" w:rsidR="009D683D" w:rsidRPr="009D683D" w:rsidRDefault="009D683D" w:rsidP="009D683D">
            <w:pPr>
              <w:jc w:val="center"/>
              <w:rPr>
                <w:rFonts w:ascii="Calibri" w:eastAsia="Calibri" w:hAnsi="Calibri" w:cs="Times New Roman"/>
                <w:sz w:val="22"/>
                <w:szCs w:val="20"/>
              </w:rPr>
            </w:pPr>
            <w:r w:rsidRPr="009D683D">
              <w:rPr>
                <w:rFonts w:ascii="Calibri" w:eastAsia="Calibri" w:hAnsi="Calibri" w:cs="Times New Roman"/>
                <w:sz w:val="22"/>
                <w:szCs w:val="20"/>
              </w:rPr>
              <w:t>1</w:t>
            </w:r>
          </w:p>
        </w:tc>
        <w:tc>
          <w:tcPr>
            <w:tcW w:w="3912" w:type="dxa"/>
          </w:tcPr>
          <w:p w14:paraId="52BFF152" w14:textId="77777777" w:rsidR="009D683D" w:rsidRPr="009D683D" w:rsidRDefault="009D683D" w:rsidP="009D683D">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szCs w:val="20"/>
              </w:rPr>
            </w:pPr>
            <w:r w:rsidRPr="009D683D">
              <w:rPr>
                <w:rFonts w:ascii="Calibri" w:eastAsia="Calibri" w:hAnsi="Calibri" w:cs="Times New Roman"/>
                <w:sz w:val="22"/>
                <w:szCs w:val="20"/>
              </w:rPr>
              <w:t>Kidney damage (protein in urine) and normal GFR</w:t>
            </w:r>
          </w:p>
        </w:tc>
        <w:tc>
          <w:tcPr>
            <w:tcW w:w="1133" w:type="dxa"/>
          </w:tcPr>
          <w:p w14:paraId="2899B846" w14:textId="77777777" w:rsidR="009D683D" w:rsidRPr="009D683D" w:rsidRDefault="009D683D" w:rsidP="009D683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szCs w:val="20"/>
              </w:rPr>
            </w:pPr>
            <w:r w:rsidRPr="009D683D">
              <w:rPr>
                <w:rFonts w:ascii="Calibri" w:eastAsia="Calibri" w:hAnsi="Calibri" w:cs="Times New Roman"/>
                <w:sz w:val="22"/>
                <w:szCs w:val="20"/>
              </w:rPr>
              <w:t>More than 90</w:t>
            </w:r>
          </w:p>
        </w:tc>
        <w:tc>
          <w:tcPr>
            <w:tcW w:w="3210" w:type="dxa"/>
          </w:tcPr>
          <w:p w14:paraId="2C3F14F8" w14:textId="77777777" w:rsidR="009D683D" w:rsidRPr="009D683D" w:rsidRDefault="009D683D" w:rsidP="009D683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szCs w:val="20"/>
              </w:rPr>
            </w:pPr>
            <w:r w:rsidRPr="009D683D">
              <w:rPr>
                <w:rFonts w:ascii="Calibri" w:eastAsia="Calibri" w:hAnsi="Calibri" w:cs="Times New Roman"/>
                <w:sz w:val="22"/>
                <w:szCs w:val="20"/>
              </w:rPr>
              <w:t>50% - 60%</w:t>
            </w:r>
          </w:p>
        </w:tc>
      </w:tr>
      <w:tr w:rsidR="009D683D" w:rsidRPr="009D683D" w14:paraId="1DCC3FC6" w14:textId="77777777" w:rsidTr="00CF2E5A">
        <w:tc>
          <w:tcPr>
            <w:cnfStyle w:val="001000000000" w:firstRow="0" w:lastRow="0" w:firstColumn="1" w:lastColumn="0" w:oddVBand="0" w:evenVBand="0" w:oddHBand="0" w:evenHBand="0" w:firstRowFirstColumn="0" w:firstRowLastColumn="0" w:lastRowFirstColumn="0" w:lastRowLastColumn="0"/>
            <w:tcW w:w="766" w:type="dxa"/>
          </w:tcPr>
          <w:p w14:paraId="24466B6E" w14:textId="77777777" w:rsidR="009D683D" w:rsidRPr="009D683D" w:rsidRDefault="009D683D" w:rsidP="009D683D">
            <w:pPr>
              <w:jc w:val="center"/>
              <w:rPr>
                <w:rFonts w:ascii="Calibri" w:eastAsia="Calibri" w:hAnsi="Calibri" w:cs="Times New Roman"/>
                <w:sz w:val="22"/>
                <w:szCs w:val="20"/>
              </w:rPr>
            </w:pPr>
            <w:r w:rsidRPr="009D683D">
              <w:rPr>
                <w:rFonts w:ascii="Calibri" w:eastAsia="Calibri" w:hAnsi="Calibri" w:cs="Times New Roman"/>
                <w:sz w:val="22"/>
                <w:szCs w:val="20"/>
              </w:rPr>
              <w:t>2</w:t>
            </w:r>
          </w:p>
        </w:tc>
        <w:tc>
          <w:tcPr>
            <w:tcW w:w="3912" w:type="dxa"/>
          </w:tcPr>
          <w:p w14:paraId="3C9418C7" w14:textId="77777777" w:rsidR="009D683D" w:rsidRPr="009D683D" w:rsidRDefault="009D683D" w:rsidP="009D683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szCs w:val="20"/>
              </w:rPr>
            </w:pPr>
            <w:r w:rsidRPr="009D683D">
              <w:rPr>
                <w:rFonts w:ascii="Calibri" w:eastAsia="Calibri" w:hAnsi="Calibri" w:cs="Times New Roman"/>
                <w:sz w:val="22"/>
                <w:szCs w:val="20"/>
              </w:rPr>
              <w:t>Kidney damage and mild decrease in GFR</w:t>
            </w:r>
          </w:p>
        </w:tc>
        <w:tc>
          <w:tcPr>
            <w:tcW w:w="1133" w:type="dxa"/>
          </w:tcPr>
          <w:p w14:paraId="18875E84" w14:textId="77777777" w:rsidR="009D683D" w:rsidRPr="009D683D" w:rsidRDefault="009D683D" w:rsidP="009D683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szCs w:val="20"/>
              </w:rPr>
            </w:pPr>
            <w:r w:rsidRPr="009D683D">
              <w:rPr>
                <w:rFonts w:ascii="Calibri" w:eastAsia="Calibri" w:hAnsi="Calibri" w:cs="Times New Roman"/>
                <w:sz w:val="22"/>
                <w:szCs w:val="20"/>
              </w:rPr>
              <w:t>60 – 88</w:t>
            </w:r>
          </w:p>
        </w:tc>
        <w:tc>
          <w:tcPr>
            <w:tcW w:w="3210" w:type="dxa"/>
          </w:tcPr>
          <w:p w14:paraId="1C41A7BA" w14:textId="77777777" w:rsidR="009D683D" w:rsidRPr="009D683D" w:rsidRDefault="009D683D" w:rsidP="009D683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szCs w:val="20"/>
              </w:rPr>
            </w:pPr>
            <w:r w:rsidRPr="009D683D">
              <w:rPr>
                <w:rFonts w:ascii="Calibri" w:eastAsia="Calibri" w:hAnsi="Calibri" w:cs="Times New Roman"/>
                <w:sz w:val="22"/>
                <w:szCs w:val="20"/>
              </w:rPr>
              <w:t>60% - 70%</w:t>
            </w:r>
          </w:p>
        </w:tc>
      </w:tr>
      <w:tr w:rsidR="009D683D" w:rsidRPr="009D683D" w14:paraId="2A5D18E9" w14:textId="77777777" w:rsidTr="00CF2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 w:type="dxa"/>
          </w:tcPr>
          <w:p w14:paraId="3FB7410F" w14:textId="77777777" w:rsidR="009D683D" w:rsidRPr="009D683D" w:rsidRDefault="009D683D" w:rsidP="009D683D">
            <w:pPr>
              <w:jc w:val="center"/>
              <w:rPr>
                <w:rFonts w:ascii="Calibri" w:eastAsia="Calibri" w:hAnsi="Calibri" w:cs="Times New Roman"/>
                <w:sz w:val="22"/>
                <w:szCs w:val="20"/>
              </w:rPr>
            </w:pPr>
            <w:r w:rsidRPr="009D683D">
              <w:rPr>
                <w:rFonts w:ascii="Calibri" w:eastAsia="Calibri" w:hAnsi="Calibri" w:cs="Times New Roman"/>
                <w:sz w:val="22"/>
                <w:szCs w:val="20"/>
              </w:rPr>
              <w:t>3</w:t>
            </w:r>
          </w:p>
        </w:tc>
        <w:tc>
          <w:tcPr>
            <w:tcW w:w="3912" w:type="dxa"/>
          </w:tcPr>
          <w:p w14:paraId="7447A3C7" w14:textId="77777777" w:rsidR="009D683D" w:rsidRPr="009D683D" w:rsidRDefault="009D683D" w:rsidP="009D683D">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szCs w:val="20"/>
              </w:rPr>
            </w:pPr>
            <w:r w:rsidRPr="009D683D">
              <w:rPr>
                <w:rFonts w:ascii="Calibri" w:eastAsia="Calibri" w:hAnsi="Calibri" w:cs="Times New Roman"/>
                <w:sz w:val="22"/>
                <w:szCs w:val="20"/>
              </w:rPr>
              <w:t>Moderate decrease in GFR</w:t>
            </w:r>
          </w:p>
        </w:tc>
        <w:tc>
          <w:tcPr>
            <w:tcW w:w="1133" w:type="dxa"/>
          </w:tcPr>
          <w:p w14:paraId="7B63067F" w14:textId="77777777" w:rsidR="009D683D" w:rsidRPr="009D683D" w:rsidRDefault="009D683D" w:rsidP="009D683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szCs w:val="20"/>
              </w:rPr>
            </w:pPr>
            <w:r w:rsidRPr="009D683D">
              <w:rPr>
                <w:rFonts w:ascii="Calibri" w:eastAsia="Calibri" w:hAnsi="Calibri" w:cs="Times New Roman"/>
                <w:sz w:val="22"/>
                <w:szCs w:val="20"/>
              </w:rPr>
              <w:t>30 – 59</w:t>
            </w:r>
          </w:p>
        </w:tc>
        <w:tc>
          <w:tcPr>
            <w:tcW w:w="3210" w:type="dxa"/>
          </w:tcPr>
          <w:p w14:paraId="20FD240F" w14:textId="77777777" w:rsidR="009D683D" w:rsidRPr="009D683D" w:rsidRDefault="009D683D" w:rsidP="009D683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szCs w:val="20"/>
              </w:rPr>
            </w:pPr>
            <w:r w:rsidRPr="009D683D">
              <w:rPr>
                <w:rFonts w:ascii="Calibri" w:eastAsia="Calibri" w:hAnsi="Calibri" w:cs="Times New Roman"/>
                <w:sz w:val="22"/>
                <w:szCs w:val="20"/>
              </w:rPr>
              <w:t>70% - 77.5%</w:t>
            </w:r>
          </w:p>
        </w:tc>
      </w:tr>
      <w:tr w:rsidR="009D683D" w:rsidRPr="009D683D" w14:paraId="288623F6" w14:textId="77777777" w:rsidTr="00CF2E5A">
        <w:tc>
          <w:tcPr>
            <w:cnfStyle w:val="001000000000" w:firstRow="0" w:lastRow="0" w:firstColumn="1" w:lastColumn="0" w:oddVBand="0" w:evenVBand="0" w:oddHBand="0" w:evenHBand="0" w:firstRowFirstColumn="0" w:firstRowLastColumn="0" w:lastRowFirstColumn="0" w:lastRowLastColumn="0"/>
            <w:tcW w:w="766" w:type="dxa"/>
          </w:tcPr>
          <w:p w14:paraId="509164BB" w14:textId="77777777" w:rsidR="009D683D" w:rsidRPr="009D683D" w:rsidRDefault="009D683D" w:rsidP="009D683D">
            <w:pPr>
              <w:jc w:val="center"/>
              <w:rPr>
                <w:rFonts w:ascii="Calibri" w:eastAsia="Calibri" w:hAnsi="Calibri" w:cs="Times New Roman"/>
                <w:sz w:val="22"/>
                <w:szCs w:val="20"/>
              </w:rPr>
            </w:pPr>
            <w:r w:rsidRPr="009D683D">
              <w:rPr>
                <w:rFonts w:ascii="Calibri" w:eastAsia="Calibri" w:hAnsi="Calibri" w:cs="Times New Roman"/>
                <w:sz w:val="22"/>
                <w:szCs w:val="20"/>
              </w:rPr>
              <w:t>4</w:t>
            </w:r>
          </w:p>
        </w:tc>
        <w:tc>
          <w:tcPr>
            <w:tcW w:w="3912" w:type="dxa"/>
          </w:tcPr>
          <w:p w14:paraId="74D23BB6" w14:textId="77777777" w:rsidR="009D683D" w:rsidRPr="009D683D" w:rsidRDefault="009D683D" w:rsidP="009D683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szCs w:val="20"/>
              </w:rPr>
            </w:pPr>
            <w:r w:rsidRPr="009D683D">
              <w:rPr>
                <w:rFonts w:ascii="Calibri" w:eastAsia="Calibri" w:hAnsi="Calibri" w:cs="Times New Roman"/>
                <w:sz w:val="22"/>
                <w:szCs w:val="20"/>
              </w:rPr>
              <w:t>Severe decrease in GFR</w:t>
            </w:r>
          </w:p>
        </w:tc>
        <w:tc>
          <w:tcPr>
            <w:tcW w:w="1133" w:type="dxa"/>
          </w:tcPr>
          <w:p w14:paraId="4049B6E5" w14:textId="77777777" w:rsidR="009D683D" w:rsidRPr="009D683D" w:rsidRDefault="009D683D" w:rsidP="009D683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szCs w:val="20"/>
              </w:rPr>
            </w:pPr>
            <w:r w:rsidRPr="009D683D">
              <w:rPr>
                <w:rFonts w:ascii="Calibri" w:eastAsia="Calibri" w:hAnsi="Calibri" w:cs="Times New Roman"/>
                <w:sz w:val="22"/>
                <w:szCs w:val="20"/>
              </w:rPr>
              <w:t>15 – 29</w:t>
            </w:r>
          </w:p>
        </w:tc>
        <w:tc>
          <w:tcPr>
            <w:tcW w:w="3210" w:type="dxa"/>
          </w:tcPr>
          <w:p w14:paraId="66FA39BE" w14:textId="77777777" w:rsidR="009D683D" w:rsidRPr="009D683D" w:rsidRDefault="009D683D" w:rsidP="009D683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szCs w:val="20"/>
              </w:rPr>
            </w:pPr>
            <w:r w:rsidRPr="009D683D">
              <w:rPr>
                <w:rFonts w:ascii="Calibri" w:eastAsia="Calibri" w:hAnsi="Calibri" w:cs="Times New Roman"/>
                <w:sz w:val="22"/>
                <w:szCs w:val="20"/>
              </w:rPr>
              <w:t>77.5% - 85%</w:t>
            </w:r>
          </w:p>
        </w:tc>
      </w:tr>
      <w:tr w:rsidR="009D683D" w:rsidRPr="009D683D" w14:paraId="52398A85" w14:textId="77777777" w:rsidTr="00CF2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 w:type="dxa"/>
          </w:tcPr>
          <w:p w14:paraId="3D1E6A76" w14:textId="77777777" w:rsidR="009D683D" w:rsidRPr="009D683D" w:rsidRDefault="009D683D" w:rsidP="009D683D">
            <w:pPr>
              <w:jc w:val="center"/>
              <w:rPr>
                <w:rFonts w:ascii="Calibri" w:eastAsia="Calibri" w:hAnsi="Calibri" w:cs="Times New Roman"/>
                <w:sz w:val="22"/>
                <w:szCs w:val="20"/>
              </w:rPr>
            </w:pPr>
            <w:r w:rsidRPr="009D683D">
              <w:rPr>
                <w:rFonts w:ascii="Calibri" w:eastAsia="Calibri" w:hAnsi="Calibri" w:cs="Times New Roman"/>
                <w:sz w:val="22"/>
                <w:szCs w:val="20"/>
              </w:rPr>
              <w:t>5</w:t>
            </w:r>
          </w:p>
        </w:tc>
        <w:tc>
          <w:tcPr>
            <w:tcW w:w="3912" w:type="dxa"/>
          </w:tcPr>
          <w:p w14:paraId="52E6FF64" w14:textId="77777777" w:rsidR="009D683D" w:rsidRPr="009D683D" w:rsidRDefault="009D683D" w:rsidP="009D683D">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szCs w:val="20"/>
              </w:rPr>
            </w:pPr>
            <w:r w:rsidRPr="009D683D">
              <w:rPr>
                <w:rFonts w:ascii="Calibri" w:eastAsia="Calibri" w:hAnsi="Calibri" w:cs="Times New Roman"/>
                <w:sz w:val="22"/>
                <w:szCs w:val="20"/>
              </w:rPr>
              <w:t>Kidney failure, including ESKD (dialysis or kidney transplant needed)</w:t>
            </w:r>
          </w:p>
        </w:tc>
        <w:tc>
          <w:tcPr>
            <w:tcW w:w="1133" w:type="dxa"/>
          </w:tcPr>
          <w:p w14:paraId="02E086F5" w14:textId="77777777" w:rsidR="009D683D" w:rsidRPr="009D683D" w:rsidRDefault="009D683D" w:rsidP="009D683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szCs w:val="20"/>
              </w:rPr>
            </w:pPr>
            <w:r w:rsidRPr="009D683D">
              <w:rPr>
                <w:rFonts w:ascii="Calibri" w:eastAsia="Calibri" w:hAnsi="Calibri" w:cs="Times New Roman"/>
                <w:sz w:val="22"/>
                <w:szCs w:val="20"/>
              </w:rPr>
              <w:t>Less than 15</w:t>
            </w:r>
          </w:p>
        </w:tc>
        <w:tc>
          <w:tcPr>
            <w:tcW w:w="3210" w:type="dxa"/>
          </w:tcPr>
          <w:p w14:paraId="6455FA15" w14:textId="77777777" w:rsidR="009D683D" w:rsidRDefault="009D683D" w:rsidP="009D683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szCs w:val="20"/>
              </w:rPr>
            </w:pPr>
            <w:r w:rsidRPr="009D683D">
              <w:rPr>
                <w:rFonts w:ascii="Calibri" w:eastAsia="Calibri" w:hAnsi="Calibri" w:cs="Times New Roman"/>
                <w:sz w:val="22"/>
                <w:szCs w:val="20"/>
              </w:rPr>
              <w:t>85% and above</w:t>
            </w:r>
          </w:p>
          <w:p w14:paraId="7AA6207E" w14:textId="654D5F82" w:rsidR="0055104B" w:rsidRPr="0055104B" w:rsidRDefault="0055104B" w:rsidP="0055104B">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szCs w:val="20"/>
              </w:rPr>
            </w:pPr>
          </w:p>
        </w:tc>
      </w:tr>
    </w:tbl>
    <w:p w14:paraId="0483EDC2" w14:textId="77777777" w:rsidR="009D683D" w:rsidRPr="009D683D" w:rsidRDefault="009D683D" w:rsidP="009D683D">
      <w:pPr>
        <w:spacing w:before="60" w:line="276" w:lineRule="auto"/>
        <w:jc w:val="both"/>
        <w:rPr>
          <w:rFonts w:ascii="Calibri" w:eastAsia="Calibri" w:hAnsi="Calibri" w:cs="Times New Roman"/>
          <w:sz w:val="22"/>
        </w:rPr>
      </w:pPr>
    </w:p>
    <w:p w14:paraId="5444CBFF" w14:textId="77777777" w:rsidR="009D683D" w:rsidRPr="009D683D" w:rsidRDefault="009D683D" w:rsidP="009D683D">
      <w:pPr>
        <w:spacing w:before="60" w:line="276" w:lineRule="auto"/>
        <w:jc w:val="both"/>
        <w:rPr>
          <w:rFonts w:ascii="Calibri" w:eastAsia="Calibri" w:hAnsi="Calibri" w:cs="Times New Roman"/>
          <w:sz w:val="22"/>
        </w:rPr>
      </w:pPr>
      <w:r w:rsidRPr="009D683D">
        <w:rPr>
          <w:rFonts w:ascii="Calibri" w:eastAsia="Calibri" w:hAnsi="Calibri" w:cs="Times New Roman"/>
          <w:sz w:val="22"/>
        </w:rPr>
        <w:t xml:space="preserve">Since the mid-1980s, Indigenous Australians have had a higher incidence of ESKD receiving RRT than non-Indigenous Australians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&lt;EndNote&gt;&lt;Cite&gt;&lt;Author&gt;Lawton&lt;/Author&gt;&lt;Year&gt;2015&lt;/Year&gt;&lt;RecNum&gt;64&lt;/RecNum&gt;&lt;DisplayText&gt;(ANZDATA, 2017; Lawton et al., 2015)&lt;/DisplayText&gt;&lt;record&gt;&lt;rec-number&gt;64&lt;/rec-number&gt;&lt;foreign-keys&gt;&lt;key app="EN" db-id="ews5ve9enfwav7etdtjvztfdrftvwrf9vrsx" timestamp="1543209419"&gt;64&lt;/key&gt;&lt;/foreign-keys&gt;&lt;ref-type name="Journal Article"&gt;17&lt;/ref-type&gt;&lt;contributors&gt;&lt;authors&gt;&lt;author&gt;Lawton, P. D.&lt;/author&gt;&lt;author&gt;Cunningham, J.&lt;/author&gt;&lt;author&gt;Zhao, Y.&lt;/author&gt;&lt;author&gt;Gray, N. A.&lt;/author&gt;&lt;author&gt;Chatfield, M. D.&lt;/author&gt;&lt;author&gt;Baade, P. D.&lt;/author&gt;&lt;author&gt;Murali, K.&lt;/author&gt;&lt;author&gt;Jose, M. D.&lt;/author&gt;&lt;/authors&gt;&lt;/contributors&gt;&lt;titles&gt;&lt;title&gt;Survival of Indigenous Australians receiving renal replacement therapy: closing the gap?&lt;/title&gt;&lt;secondary-title&gt;Med J Aust&lt;/secondary-title&gt;&lt;/titles&gt;&lt;periodical&gt;&lt;full-title&gt;Med J Aust&lt;/full-title&gt;&lt;/periodical&gt;&lt;volume&gt;202&lt;/volume&gt;&lt;dates&gt;&lt;year&gt;2015&lt;/year&gt;&lt;/dates&gt;&lt;label&gt;Lawton2015&lt;/label&gt;&lt;urls&gt;&lt;related-urls&gt;&lt;url&gt;https://doi.org/10.5694/mja14.00664&lt;/url&gt;&lt;/related-urls&gt;&lt;/urls&gt;&lt;electronic-resource-num&gt;10.5694/mja14.00664&lt;/electronic-resource-num&gt;&lt;/record&gt;&lt;/Cite&gt;&lt;Cite&gt;&lt;Author&gt;ANZDATA&lt;/Author&gt;&lt;Year&gt;2017&lt;/Year&gt;&lt;RecNum&gt;325&lt;/RecNum&gt;&lt;record&gt;&lt;rec-number&gt;325&lt;/rec-number&gt;&lt;foreign-keys&gt;&lt;key app="EN" db-id="ews5ve9enfwav7etdtjvztfdrftvwrf9vrsx" timestamp="1545620306"&gt;325&lt;/key&gt;&lt;/foreign-keys&gt;&lt;ref-type name="Government Document"&gt;46&lt;/ref-type&gt;&lt;contributors&gt;&lt;authors&gt;&lt;author&gt;ANZDATA&lt;/author&gt;&lt;/authors&gt;&lt;/contributors&gt;&lt;titles&gt;&lt;title&gt;Chapter 10: ESKD in Indigenous Peoples of Australia and Aotearoa/New Zealand&lt;/title&gt;&lt;/titles&gt;&lt;dates&gt;&lt;year&gt;2017&lt;/year&gt;&lt;/dates&gt;&lt;pub-location&gt;Adelaide, Australia&lt;/pub-location&gt;&lt;publisher&gt;ANZDATA Registry&lt;/publisher&gt;&lt;urls&gt;&lt;related-urls&gt;&lt;url&gt;http://www.anzdata.org.au/anzdata/AnzdataReport/40thReport/c10_indigenous_2016_v1.0_20181008.pdf&lt;/url&gt;&lt;/related-urls&gt;&lt;/urls&gt;&lt;access-date&gt;7 January 2019&lt;/access-date&gt;&lt;/record&gt;&lt;/Cite&gt;&lt;/EndNote&gt;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(ANZDATA, 2018; Lawton et al., 2015)</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ESKD was the underlying or associated cause of death for 15.8% of Indigenous deaths between 2008 and 2012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&lt;EndNote&gt;&lt;Cite&gt;&lt;Author&gt;AIHW&lt;/Author&gt;&lt;Year&gt;2015&lt;/Year&gt;&lt;RecNum&gt;328&lt;/RecNum&gt;&lt;DisplayText&gt;(AIHW, 2015)&lt;/DisplayText&gt;&lt;record&gt;&lt;rec-number&gt;328&lt;/rec-number&gt;&lt;foreign-keys&gt;&lt;key app="EN" db-id="ews5ve9enfwav7etdtjvztfdrftvwrf9vrsx" timestamp="1545628174"&gt;328&lt;/key&gt;&lt;/foreign-keys&gt;&lt;ref-type name="Government Document"&gt;46&lt;/ref-type&gt;&lt;contributors&gt;&lt;authors&gt;&lt;author&gt;AIHW&lt;/author&gt;&lt;/authors&gt;&lt;secondary-authors&gt;&lt;author&gt;Australian Institute of Health and Welfare&lt;/author&gt;&lt;/secondary-authors&gt;&lt;/contributors&gt;&lt;titles&gt;&lt;title&gt;The health and welfare of Australia&amp;apos;s Aboriginal and Torres Strait Islander peoples&lt;/title&gt;&lt;/titles&gt;&lt;dates&gt;&lt;year&gt;2015&lt;/year&gt;&lt;/dates&gt;&lt;pub-location&gt;Canberra, Australia&lt;/pub-location&gt;&lt;publisher&gt;Australian Institute of Health and Welfare&lt;/publisher&gt;&lt;urls&gt;&lt;related-urls&gt;&lt;url&gt;https://www.aihw.gov.au/reports/indigenous-health-welfare/indigenous-health-welfare-2015/contents/table-of-contents&lt;/url&gt;&lt;/related-urls&gt;&lt;/urls&gt;&lt;/record&gt;&lt;/Cite&gt;&lt;/EndNote&gt;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(AIHW, 2015)</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contributing 5% of the total disparity between Indigenous and non-Indigenous mortality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&lt;EndNote&gt;&lt;Cite&gt;&lt;Author&gt;AIHW&lt;/Author&gt;&lt;Year&gt;2014&lt;/Year&gt;&lt;RecNum&gt;332&lt;/RecNum&gt;&lt;DisplayText&gt;(AIHW, 2014)&lt;/DisplayText&gt;&lt;record&gt;&lt;rec-number&gt;332&lt;/rec-number&gt;&lt;foreign-keys&gt;&lt;key app="EN" db-id="ews5ve9enfwav7etdtjvztfdrftvwrf9vrsx" timestamp="1545629327"&gt;332&lt;/key&gt;&lt;/foreign-keys&gt;&lt;ref-type name="Government Document"&gt;46&lt;/ref-type&gt;&lt;contributors&gt;&lt;authors&gt;&lt;author&gt;AIHW&lt;/author&gt;&lt;/authors&gt;&lt;secondary-authors&gt;&lt;author&gt;Australian Institute of Health and Welfare&lt;/author&gt;&lt;/secondary-authors&gt;&lt;/contributors&gt;&lt;titles&gt;&lt;title&gt;Mortality and life expectancy of Indigenous Australians 2008 to 2012&lt;/title&gt;&lt;/titles&gt;&lt;dates&gt;&lt;year&gt;2014&lt;/year&gt;&lt;/dates&gt;&lt;pub-location&gt;Canberra, Australia&lt;/pub-location&gt;&lt;publisher&gt;Australian Institute of Health and Welfare&lt;/publisher&gt;&lt;urls&gt;&lt;related-urls&gt;&lt;url&gt;https://www.aihw.gov.au/reports/indigenous-australians/mortality-life-expectancy-2008-2012/contents/summary&lt;/url&gt;&lt;/related-urls&gt;&lt;/urls&gt;&lt;/record&gt;&lt;/Cite&gt;&lt;/EndNote&gt;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(AIHW, 2014)</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The current incidence rates of ESKD for Indigenous patients are markedly and persistently higher than those for non-Indigenous patients, as shown in Figure 1. </w:t>
      </w:r>
    </w:p>
    <w:p w14:paraId="6E52C908" w14:textId="77777777" w:rsidR="009D683D" w:rsidRPr="009D683D" w:rsidRDefault="009D683D" w:rsidP="009D683D">
      <w:pPr>
        <w:spacing w:after="0" w:line="276" w:lineRule="auto"/>
        <w:jc w:val="both"/>
        <w:rPr>
          <w:rFonts w:ascii="Calibri" w:eastAsia="Calibri" w:hAnsi="Calibri" w:cs="Times New Roman"/>
          <w:sz w:val="22"/>
        </w:rPr>
      </w:pPr>
      <w:r w:rsidRPr="009D683D">
        <w:rPr>
          <w:rFonts w:ascii="Calibri" w:eastAsia="Calibri" w:hAnsi="Calibri" w:cs="Times New Roman"/>
          <w:i/>
          <w:sz w:val="22"/>
        </w:rPr>
        <w:t xml:space="preserve">Figure 1: </w:t>
      </w:r>
      <w:bookmarkStart w:id="25" w:name="_Hlk536538105"/>
      <w:r w:rsidRPr="009D683D">
        <w:rPr>
          <w:rFonts w:ascii="Calibri" w:eastAsia="Calibri" w:hAnsi="Calibri" w:cs="Times New Roman"/>
          <w:sz w:val="22"/>
        </w:rPr>
        <w:t xml:space="preserve">Unadjusted incident RRT rate – Australia </w:t>
      </w:r>
      <w:bookmarkEnd w:id="25"/>
      <w:r w:rsidRPr="009D683D">
        <w:rPr>
          <w:rFonts w:ascii="Calibri" w:eastAsia="Calibri" w:hAnsi="Calibri" w:cs="Times New Roman"/>
          <w:sz w:val="22"/>
        </w:rPr>
        <w:t>(ANZDATA, 2018).</w:t>
      </w:r>
    </w:p>
    <w:p w14:paraId="78F7181C" w14:textId="77777777" w:rsidR="009D683D" w:rsidRPr="009D683D" w:rsidRDefault="009D683D" w:rsidP="009D683D">
      <w:pPr>
        <w:spacing w:after="0" w:line="276" w:lineRule="auto"/>
        <w:jc w:val="center"/>
        <w:rPr>
          <w:rFonts w:ascii="Calibri" w:eastAsia="Calibri" w:hAnsi="Calibri" w:cs="Times New Roman"/>
          <w:sz w:val="22"/>
        </w:rPr>
      </w:pPr>
      <w:r w:rsidRPr="009D683D">
        <w:rPr>
          <w:rFonts w:ascii="Calibri" w:eastAsia="Calibri" w:hAnsi="Calibri" w:cs="Times New Roman"/>
          <w:noProof/>
          <w:sz w:val="22"/>
          <w:lang w:eastAsia="en-AU"/>
        </w:rPr>
        <w:drawing>
          <wp:inline distT="0" distB="0" distL="0" distR="0" wp14:anchorId="0D6075D2" wp14:editId="5FDA6FF4">
            <wp:extent cx="3340060" cy="2428875"/>
            <wp:effectExtent l="0" t="0" r="0" b="0"/>
            <wp:docPr id="111" name="Picture 111" descr="Graph of incident renal replacement therapy rate comparing Indigenous and Non-Indigenous populations. The current incidence rates of end stage kidney disease for Indigenous patients are markedly and persistently higher than those for non-Indigenous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367358" cy="2448726"/>
                    </a:xfrm>
                    <a:prstGeom prst="rect">
                      <a:avLst/>
                    </a:prstGeom>
                  </pic:spPr>
                </pic:pic>
              </a:graphicData>
            </a:graphic>
          </wp:inline>
        </w:drawing>
      </w:r>
    </w:p>
    <w:p w14:paraId="3A64F311" w14:textId="77777777" w:rsidR="009D683D" w:rsidRPr="009D683D" w:rsidRDefault="009D683D" w:rsidP="009D683D">
      <w:pPr>
        <w:spacing w:after="0" w:line="276" w:lineRule="auto"/>
        <w:jc w:val="both"/>
        <w:rPr>
          <w:rFonts w:ascii="Calibri" w:eastAsia="Calibri" w:hAnsi="Calibri" w:cs="Times New Roman"/>
          <w:sz w:val="22"/>
        </w:rPr>
      </w:pPr>
    </w:p>
    <w:p w14:paraId="4DCDA79F" w14:textId="4BE06224" w:rsid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Indigenous patients receiving RRT are generally much younger and live in more remote areas than non-Indigenous patients. </w:t>
      </w:r>
      <w:bookmarkStart w:id="26" w:name="_Hlk536538181"/>
      <w:r w:rsidRPr="009D683D">
        <w:rPr>
          <w:rFonts w:ascii="Calibri" w:eastAsia="Calibri" w:hAnsi="Calibri" w:cs="Times New Roman"/>
          <w:sz w:val="22"/>
        </w:rPr>
        <w:t xml:space="preserve">The discrepancy in ESKD incidence is most prominent among Indigenous adults aged 25 to 64 where rates are up to 15 times higher than in the non-Indigenous population, as shown in Figure 2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&lt;EndNote&gt;&lt;Cite&gt;&lt;Author&gt;ANZDATA&lt;/Author&gt;&lt;Year&gt;2017&lt;/Year&gt;&lt;RecNum&gt;325&lt;/RecNum&gt;&lt;DisplayText&gt;(ANZDATA, 2017)&lt;/DisplayText&gt;&lt;record&gt;&lt;rec-number&gt;325&lt;/rec-number&gt;&lt;foreign-keys&gt;&lt;key app="EN" db-id="ews5ve9enfwav7etdtjvztfdrftvwrf9vrsx" timestamp="1545620306"&gt;325&lt;/key&gt;&lt;/foreign-keys&gt;&lt;ref-type name="Government Document"&gt;46&lt;/ref-type&gt;&lt;contributors&gt;&lt;authors&gt;&lt;author&gt;ANZDATA&lt;/author&gt;&lt;/authors&gt;&lt;/contributors&gt;&lt;titles&gt;&lt;title&gt;Chapter 10: ESKD in Indigenous Peoples of Australia and Aotearoa/New Zealand&lt;/title&gt;&lt;/titles&gt;&lt;dates&gt;&lt;year&gt;2017&lt;/year&gt;&lt;/dates&gt;&lt;pub-location&gt;Adelaide, Australia&lt;/pub-location&gt;&lt;publisher&gt;ANZDATA Registry&lt;/publisher&gt;&lt;urls&gt;&lt;related-urls&gt;&lt;url&gt;http://www.anzdata.org.au/anzdata/AnzdataReport/40thReport/c10_indigenous_2016_v1.0_20181008.pdf&lt;/url&gt;&lt;/related-urls&gt;&lt;/urls&gt;&lt;access-date&gt;7 January 2019&lt;/access-date&gt;&lt;/record&gt;&lt;/Cite&gt;&lt;/EndNote&gt;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(ANZDATA, 2018)</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t>
      </w:r>
      <w:bookmarkEnd w:id="26"/>
      <w:r w:rsidRPr="009D683D">
        <w:rPr>
          <w:rFonts w:ascii="Calibri" w:eastAsia="Calibri" w:hAnsi="Calibri" w:cs="Times New Roman"/>
          <w:sz w:val="22"/>
        </w:rPr>
        <w:t xml:space="preserve">and a 20-fold higher rate of ESKD has been found among Indigenous Australians living in remote compared with urban areas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&lt;EndNote&gt;&lt;Cite&gt;&lt;Author&gt;Cass&lt;/Author&gt;&lt;Year&gt;2001&lt;/Year&gt;&lt;RecNum&gt;305&lt;/RecNum&gt;&lt;DisplayText&gt;(Cass, Cunningham, Wang, &amp;amp; Hoy, 2001)&lt;/DisplayText&gt;&lt;record&gt;&lt;rec-number&gt;305&lt;/rec-number&gt;&lt;foreign-keys&gt;&lt;key app="EN" db-id="ews5ve9enfwav7etdtjvztfdrftvwrf9vrsx" timestamp="1545259926"&gt;305&lt;/key&gt;&lt;/foreign-keys&gt;&lt;ref-type name="Journal Article"&gt;17&lt;/ref-type&gt;&lt;contributors&gt;&lt;authors&gt;&lt;author&gt;Cass, A.&lt;/author&gt;&lt;author&gt;Cunningham, J.&lt;/author&gt;&lt;author&gt;Wang, Z.&lt;/author&gt;&lt;author&gt;Hoy, W.&lt;/author&gt;&lt;/authors&gt;&lt;/contributors&gt;&lt;auth-address&gt;Menzies School of Health Research, Casuarina, NT.&lt;/auth-address&gt;&lt;titles&gt;&lt;title&gt;Regional variation in the incidence of end-stage renal disease in Indigenous Australians&lt;/title&gt;&lt;secondary-title&gt;Med J Aust&lt;/secondary-title&gt;&lt;alt-title&gt;The Medical journal of Australia&lt;/alt-title&gt;&lt;/titles&gt;&lt;periodical&gt;&lt;full-title&gt;Med J Aust&lt;/full-title&gt;&lt;/periodical&gt;&lt;alt-periodical&gt;&lt;full-title&gt;The Medical journal of Australia&lt;/full-title&gt;&lt;/alt-periodical&gt;&lt;pages&gt;24-7&lt;/pages&gt;&lt;volume&gt;175&lt;/volume&gt;&lt;number&gt;1&lt;/number&gt;&lt;edition&gt;2001/07/31&lt;/edition&gt;&lt;keywords&gt;&lt;keyword&gt;Australia/epidemiology&lt;/keyword&gt;&lt;keyword&gt;*Ethnic Groups&lt;/keyword&gt;&lt;keyword&gt;*Health Services Accessibility&lt;/keyword&gt;&lt;keyword&gt;Humans&lt;/keyword&gt;&lt;keyword&gt;Incidence&lt;/keyword&gt;&lt;keyword&gt;Kidney Failure, Chronic/*epidemiology/therapy&lt;/keyword&gt;&lt;keyword&gt;*Oceanic Ancestry Group&lt;/keyword&gt;&lt;keyword&gt;Registries&lt;/keyword&gt;&lt;/keywords&gt;&lt;dates&gt;&lt;year&gt;2001&lt;/year&gt;&lt;pub-dates&gt;&lt;date&gt;Jul 2&lt;/date&gt;&lt;/pub-dates&gt;&lt;/dates&gt;&lt;isbn&gt;0025-729X (Print)&amp;#xD;0025-729X (Linking)&lt;/isbn&gt;&lt;accession-num&gt;11476198&lt;/accession-num&gt;&lt;urls&gt;&lt;related-urls&gt;&lt;url&gt;https://www.ncbi.nlm.nih.gov/pubmed/11476198&lt;/url&gt;&lt;/related-urls&gt;&lt;/urls&gt;&lt;/record&gt;&lt;/Cite&gt;&lt;/EndNote&gt;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(Cass, Cunningham, Wang, &amp; Hoy, 2001)</w:t>
      </w:r>
      <w:r w:rsidRPr="009D683D">
        <w:rPr>
          <w:rFonts w:ascii="Calibri" w:eastAsia="Calibri" w:hAnsi="Calibri" w:cs="Times New Roman"/>
          <w:sz w:val="22"/>
        </w:rPr>
        <w:fldChar w:fldCharType="end"/>
      </w:r>
      <w:r w:rsidRPr="009D683D">
        <w:rPr>
          <w:rFonts w:ascii="Calibri" w:eastAsia="Calibri" w:hAnsi="Calibri" w:cs="Times New Roman"/>
          <w:sz w:val="22"/>
        </w:rPr>
        <w:t>. This reinforces the importance of transplantation as a treatment option for Indigenous patients, who would otherwise be required to undergo dialysis for several years or even decades.</w:t>
      </w:r>
    </w:p>
    <w:p w14:paraId="7F6622B8" w14:textId="77777777" w:rsidR="00D516FF" w:rsidRPr="009D683D" w:rsidRDefault="00D516FF" w:rsidP="00D516FF">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Kidney transplantation is the optimal treatment for ESKD, but there is a significant and persistent disparity in transplants to Indigenous and non-Indigenous Australians, a situation that is similar to Indigenous patients in New Zealand, Canada and the United States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&lt;EndNote&gt;&lt;Cite&gt;&lt;Author&gt;Yeates&lt;/Author&gt;&lt;Year&gt;2009&lt;/Year&gt;&lt;RecNum&gt;60&lt;/RecNum&gt;&lt;DisplayText&gt;(Yeates et al., 2009)&lt;/DisplayText&gt;&lt;record&gt;&lt;rec-number&gt;60&lt;/rec-number&gt;&lt;foreign-keys&gt;&lt;key app="EN" db-id="ews5ve9enfwav7etdtjvztfdrftvwrf9vrsx" timestamp="1543209419"&gt;60&lt;/key&gt;&lt;/foreign-keys&gt;&lt;ref-type name="Journal Article"&gt;17&lt;/ref-type&gt;&lt;contributors&gt;&lt;authors&gt;&lt;author&gt;Yeates, K. E.&lt;/author&gt;&lt;author&gt;Cass, A.&lt;/author&gt;&lt;author&gt;Sequist, T. D.&lt;/author&gt;&lt;author&gt;McDonald, S. P.&lt;/author&gt;&lt;author&gt;Jardine, M. J.&lt;/author&gt;&lt;author&gt;Trpeski, L.&lt;/author&gt;&lt;author&gt;Ayanian, J. Z.&lt;/author&gt;&lt;/authors&gt;&lt;/contributors&gt;&lt;titles&gt;&lt;title&gt;Indigenous people in Australia, Canada, New Zealand and the United States are less likely to receive renal transplantation&lt;/title&gt;&lt;secondary-title&gt;Kidney Int&lt;/secondary-title&gt;&lt;/titles&gt;&lt;periodical&gt;&lt;full-title&gt;Kidney Int&lt;/full-title&gt;&lt;/periodical&gt;&lt;volume&gt;76&lt;/volume&gt;&lt;dates&gt;&lt;year&gt;2009&lt;/year&gt;&lt;/dates&gt;&lt;label&gt;Yeates2009&lt;/label&gt;&lt;urls&gt;&lt;related-urls&gt;&lt;url&gt;https://doi.org/10.1038/ki.2009.236&lt;/url&gt;&lt;/related-urls&gt;&lt;/urls&gt;&lt;electronic-resource-num&gt;10.1038/ki.2009.236&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(Yeates et al., 2009)</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In 2017, there were 2,161 Indigenous Australians registered for RRT. Of these, 87% were reliant on dialysis and 13% had received a kidney transplant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&lt;EndNote&gt;&lt;Cite&gt;&lt;Author&gt;ANZDATA&lt;/Author&gt;&lt;Year&gt;2018&lt;/Year&gt;&lt;RecNum&gt;388&lt;/RecNum&gt;&lt;DisplayText&gt;(ANZDATA, 2018)&lt;/DisplayText&gt;&lt;record&gt;&lt;rec-number&gt;388&lt;/rec-number&gt;&lt;foreign-keys&gt;&lt;key app="EN" db-id="ews5ve9enfwav7etdtjvztfdrftvwrf9vrsx" timestamp="1548731729"&gt;388&lt;/key&gt;&lt;/foreign-keys&gt;&lt;ref-type name="Government Document"&gt;46&lt;/ref-type&gt;&lt;contributors&gt;&lt;authors&gt;&lt;author&gt;ANZDATA&lt;/author&gt;&lt;/authors&gt;&lt;secondary-authors&gt;&lt;author&gt;ANZDATA&lt;/author&gt;&lt;/secondary-authors&gt;&lt;/contributors&gt;&lt;titles&gt;&lt;title&gt;Chapter 10: ESKD in Indigenous Peoples of Australia and Aotearoa/New Zealand&lt;/title&gt;&lt;/titles&gt;&lt;dates&gt;&lt;year&gt;2018&lt;/year&gt;&lt;/dates&gt;&lt;pub-location&gt;Adelaide, Australia&lt;/pub-location&gt;&lt;publisher&gt;ANZDATA Registry&lt;/publisher&gt;&lt;urls&gt;&lt;/urls&gt;&lt;/record&gt;&lt;/Cite&gt;&lt;/EndNote&gt;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(ANZDATA, 2018)</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In comparison, 49% of non-Indigenous Australians with ESKD were reliant on dialysis and 51% had received a kidney transplant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&lt;EndNote&gt;&lt;Cite&gt;&lt;Author&gt;ANZDATA&lt;/Author&gt;&lt;Year&gt;2018&lt;/Year&gt;&lt;RecNum&gt;388&lt;/RecNum&gt;&lt;DisplayText&gt;(ANZDATA, 2018)&lt;/DisplayText&gt;&lt;record&gt;&lt;rec-number&gt;388&lt;/rec-number&gt;&lt;foreign-keys&gt;&lt;key app="EN" db-id="ews5ve9enfwav7etdtjvztfdrftvwrf9vrsx" timestamp="1548731729"&gt;388&lt;/key&gt;&lt;/foreign-keys&gt;&lt;ref-type name="Government Document"&gt;46&lt;/ref-type&gt;&lt;contributors&gt;&lt;authors&gt;&lt;author&gt;ANZDATA&lt;/author&gt;&lt;/authors&gt;&lt;secondary-authors&gt;&lt;author&gt;ANZDATA&lt;/author&gt;&lt;/secondary-authors&gt;&lt;/contributors&gt;&lt;titles&gt;&lt;title&gt;Chapter 10: ESKD in Indigenous Peoples of Australia and Aotearoa/New Zealand&lt;/title&gt;&lt;/titles&gt;&lt;dates&gt;&lt;year&gt;2018&lt;/year&gt;&lt;/dates&gt;&lt;pub-location&gt;Adelaide, Australia&lt;/pub-location&gt;&lt;publisher&gt;ANZDATA Registry&lt;/publisher&gt;&lt;urls&gt;&lt;/urls&gt;&lt;/record&gt;&lt;/Cite&gt;&lt;/EndNote&gt;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(ANZDATA, 2018)</w:t>
      </w:r>
      <w:r w:rsidRPr="009D683D">
        <w:rPr>
          <w:rFonts w:ascii="Calibri" w:eastAsia="Calibri" w:hAnsi="Calibri" w:cs="Times New Roman"/>
          <w:sz w:val="22"/>
        </w:rPr>
        <w:fldChar w:fldCharType="end"/>
      </w:r>
      <w:r w:rsidRPr="009D683D">
        <w:rPr>
          <w:rFonts w:ascii="Calibri" w:eastAsia="Calibri" w:hAnsi="Calibri" w:cs="Times New Roman"/>
          <w:sz w:val="22"/>
        </w:rPr>
        <w:t>, as outlined in Figure 3.</w:t>
      </w:r>
    </w:p>
    <w:p w14:paraId="7A21D7F1" w14:textId="77777777" w:rsidR="00D516FF" w:rsidRPr="009D683D" w:rsidRDefault="00D516FF" w:rsidP="009D683D">
      <w:pPr>
        <w:spacing w:line="276" w:lineRule="auto"/>
        <w:jc w:val="both"/>
        <w:rPr>
          <w:rFonts w:ascii="Calibri" w:eastAsia="Calibri" w:hAnsi="Calibri" w:cs="Times New Roman"/>
          <w:sz w:val="22"/>
        </w:rPr>
      </w:pPr>
    </w:p>
    <w:p w14:paraId="4D21DD80" w14:textId="77777777" w:rsidR="00D516FF" w:rsidRDefault="00D516FF" w:rsidP="009D683D">
      <w:pPr>
        <w:spacing w:after="120" w:line="276" w:lineRule="auto"/>
        <w:jc w:val="both"/>
        <w:rPr>
          <w:rFonts w:ascii="Calibri" w:eastAsia="Calibri" w:hAnsi="Calibri" w:cs="Times New Roman"/>
          <w:i/>
          <w:sz w:val="22"/>
        </w:rPr>
      </w:pPr>
      <w:bookmarkStart w:id="27" w:name="_Hlk536538193"/>
    </w:p>
    <w:p w14:paraId="2919AEE0" w14:textId="77777777" w:rsidR="00D516FF" w:rsidRDefault="00D516FF" w:rsidP="009D683D">
      <w:pPr>
        <w:spacing w:after="120" w:line="276" w:lineRule="auto"/>
        <w:jc w:val="both"/>
        <w:rPr>
          <w:rFonts w:ascii="Calibri" w:eastAsia="Calibri" w:hAnsi="Calibri" w:cs="Times New Roman"/>
          <w:i/>
          <w:sz w:val="22"/>
        </w:rPr>
      </w:pPr>
    </w:p>
    <w:p w14:paraId="0B7E2612" w14:textId="77777777" w:rsidR="0055104B" w:rsidRDefault="0055104B" w:rsidP="009D683D">
      <w:pPr>
        <w:spacing w:after="120" w:line="276" w:lineRule="auto"/>
        <w:jc w:val="both"/>
        <w:rPr>
          <w:rFonts w:ascii="Calibri" w:eastAsia="Calibri" w:hAnsi="Calibri" w:cs="Times New Roman"/>
          <w:i/>
          <w:sz w:val="22"/>
        </w:rPr>
      </w:pPr>
    </w:p>
    <w:p w14:paraId="3DAF0EEC" w14:textId="77777777" w:rsidR="0055104B" w:rsidRDefault="0055104B" w:rsidP="009D683D">
      <w:pPr>
        <w:spacing w:after="120" w:line="276" w:lineRule="auto"/>
        <w:jc w:val="both"/>
        <w:rPr>
          <w:rFonts w:ascii="Calibri" w:eastAsia="Calibri" w:hAnsi="Calibri" w:cs="Times New Roman"/>
          <w:i/>
          <w:sz w:val="22"/>
        </w:rPr>
      </w:pPr>
    </w:p>
    <w:p w14:paraId="65A44D6F" w14:textId="018746AD" w:rsidR="009D683D" w:rsidRPr="009D683D" w:rsidRDefault="009D683D" w:rsidP="009D683D">
      <w:pPr>
        <w:spacing w:after="120" w:line="276" w:lineRule="auto"/>
        <w:jc w:val="both"/>
        <w:rPr>
          <w:rFonts w:ascii="Calibri" w:eastAsia="Calibri" w:hAnsi="Calibri" w:cs="Times New Roman"/>
          <w:sz w:val="22"/>
        </w:rPr>
      </w:pPr>
      <w:r w:rsidRPr="009D683D">
        <w:rPr>
          <w:rFonts w:ascii="Calibri" w:eastAsia="Calibri" w:hAnsi="Calibri" w:cs="Times New Roman"/>
          <w:i/>
          <w:sz w:val="22"/>
        </w:rPr>
        <w:lastRenderedPageBreak/>
        <w:t xml:space="preserve">Figure 2: </w:t>
      </w:r>
      <w:bookmarkStart w:id="28" w:name="_Hlk536538130"/>
      <w:r w:rsidRPr="009D683D">
        <w:rPr>
          <w:rFonts w:ascii="Calibri" w:eastAsia="Calibri" w:hAnsi="Calibri" w:cs="Times New Roman"/>
          <w:sz w:val="22"/>
        </w:rPr>
        <w:t>Relative incidence rate of treated ESKD for Indigenous patients by gender Australia 2013-2017 (ANZDATA, 2018).</w:t>
      </w:r>
    </w:p>
    <w:bookmarkEnd w:id="27"/>
    <w:bookmarkEnd w:id="28"/>
    <w:p w14:paraId="6B3B90E2" w14:textId="77777777" w:rsidR="009D683D" w:rsidRPr="009D683D" w:rsidRDefault="009D683D" w:rsidP="009D683D">
      <w:pPr>
        <w:spacing w:after="0" w:line="276" w:lineRule="auto"/>
        <w:jc w:val="center"/>
        <w:rPr>
          <w:rFonts w:ascii="Calibri" w:eastAsia="Calibri" w:hAnsi="Calibri" w:cs="Times New Roman"/>
          <w:sz w:val="22"/>
        </w:rPr>
      </w:pPr>
      <w:r w:rsidRPr="009D683D">
        <w:rPr>
          <w:rFonts w:ascii="Calibri" w:eastAsia="Calibri" w:hAnsi="Calibri" w:cs="Times New Roman"/>
          <w:noProof/>
          <w:sz w:val="22"/>
          <w:lang w:eastAsia="en-AU"/>
        </w:rPr>
        <w:drawing>
          <wp:inline distT="0" distB="0" distL="0" distR="0" wp14:anchorId="0C63D97B" wp14:editId="56D9459E">
            <wp:extent cx="3369027" cy="2303976"/>
            <wp:effectExtent l="0" t="0" r="3175" b="1270"/>
            <wp:docPr id="112" name="Picture 112" descr="Graph showing the discrepancy in ESKD incidence is most prominent among Indigenous adults aged 25 to 64 where rates are up to 15 times higher than in the non-Indigenous population, 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468628" cy="2372090"/>
                    </a:xfrm>
                    <a:prstGeom prst="rect">
                      <a:avLst/>
                    </a:prstGeom>
                  </pic:spPr>
                </pic:pic>
              </a:graphicData>
            </a:graphic>
          </wp:inline>
        </w:drawing>
      </w:r>
    </w:p>
    <w:p w14:paraId="1CB78C74" w14:textId="77777777" w:rsidR="00D516FF" w:rsidRDefault="00D516FF" w:rsidP="009D683D">
      <w:pPr>
        <w:spacing w:after="120" w:line="276" w:lineRule="auto"/>
        <w:jc w:val="both"/>
        <w:rPr>
          <w:rFonts w:ascii="Calibri" w:eastAsia="Calibri" w:hAnsi="Calibri" w:cs="Times New Roman"/>
          <w:i/>
          <w:sz w:val="22"/>
        </w:rPr>
      </w:pPr>
    </w:p>
    <w:p w14:paraId="6862CFF5" w14:textId="06483F78" w:rsidR="00D516FF" w:rsidRPr="009D683D" w:rsidRDefault="009D683D" w:rsidP="009D683D">
      <w:pPr>
        <w:spacing w:after="120" w:line="276" w:lineRule="auto"/>
        <w:jc w:val="both"/>
        <w:rPr>
          <w:rFonts w:ascii="Calibri" w:eastAsia="Calibri" w:hAnsi="Calibri" w:cs="Times New Roman"/>
          <w:sz w:val="22"/>
        </w:rPr>
      </w:pPr>
      <w:r w:rsidRPr="009D683D">
        <w:rPr>
          <w:rFonts w:ascii="Calibri" w:eastAsia="Calibri" w:hAnsi="Calibri" w:cs="Times New Roman"/>
          <w:i/>
          <w:sz w:val="22"/>
        </w:rPr>
        <w:t xml:space="preserve">Figure 3: </w:t>
      </w:r>
      <w:r w:rsidRPr="009D683D">
        <w:rPr>
          <w:rFonts w:ascii="Calibri" w:eastAsia="Calibri" w:hAnsi="Calibri" w:cs="Times New Roman"/>
          <w:sz w:val="22"/>
        </w:rPr>
        <w:t xml:space="preserve">Prevalent Patients by Ethnicity and Treatment Modality 2017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&lt;EndNote&gt;&lt;Cite&gt;&lt;Author&gt;ANZDATA&lt;/Author&gt;&lt;Year&gt;2018&lt;/Year&gt;&lt;RecNum&gt;388&lt;/RecNum&gt;&lt;DisplayText&gt;(ANZDATA, 2018)&lt;/DisplayText&gt;&lt;record&gt;&lt;rec-number&gt;388&lt;/rec-number&gt;&lt;foreign-keys&gt;&lt;key app="EN" db-id="ews5ve9enfwav7etdtjvztfdrftvwrf9vrsx" timestamp="1548731729"&gt;388&lt;/key&gt;&lt;/foreign-keys&gt;&lt;ref-type name="Government Document"&gt;46&lt;/ref-type&gt;&lt;contributors&gt;&lt;authors&gt;&lt;author&gt;ANZDATA&lt;/author&gt;&lt;/authors&gt;&lt;secondary-authors&gt;&lt;author&gt;ANZDATA&lt;/author&gt;&lt;/secondary-authors&gt;&lt;/contributors&gt;&lt;titles&gt;&lt;title&gt;Chapter 10: ESKD in Indigenous Peoples of Australia and Aotearoa/New Zealand&lt;/title&gt;&lt;/titles&gt;&lt;dates&gt;&lt;year&gt;2018&lt;/year&gt;&lt;/dates&gt;&lt;pub-location&gt;Adelaide, Australia&lt;/pub-location&gt;&lt;publisher&gt;ANZDATA Registry&lt;/publisher&gt;&lt;urls&gt;&lt;/urls&gt;&lt;/record&gt;&lt;/Cite&gt;&lt;/EndNote&gt;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(ANZDATA, 2018)</w:t>
      </w:r>
      <w:r w:rsidRPr="009D683D">
        <w:rPr>
          <w:rFonts w:ascii="Calibri" w:eastAsia="Calibri" w:hAnsi="Calibri" w:cs="Times New Roman"/>
          <w:sz w:val="22"/>
        </w:rPr>
        <w:fldChar w:fldCharType="end"/>
      </w:r>
      <w:r w:rsidRPr="009D683D">
        <w:rPr>
          <w:rFonts w:ascii="Calibri" w:eastAsia="Calibri" w:hAnsi="Calibri" w:cs="Times New Roman"/>
          <w:sz w:val="22"/>
        </w:rPr>
        <w:t>. (HD=haemodialysis, PD=peritoneal dialysis).</w:t>
      </w:r>
    </w:p>
    <w:p w14:paraId="2FC94072" w14:textId="77777777" w:rsidR="009D683D" w:rsidRPr="009D683D" w:rsidRDefault="009D683D" w:rsidP="009D683D">
      <w:pPr>
        <w:spacing w:after="0" w:line="276" w:lineRule="auto"/>
        <w:jc w:val="center"/>
        <w:rPr>
          <w:rFonts w:ascii="Calibri" w:eastAsia="Calibri" w:hAnsi="Calibri" w:cs="Times New Roman"/>
          <w:sz w:val="22"/>
        </w:rPr>
      </w:pPr>
      <w:r w:rsidRPr="009D683D">
        <w:rPr>
          <w:rFonts w:ascii="Calibri" w:eastAsia="Calibri" w:hAnsi="Calibri" w:cs="Times New Roman"/>
          <w:noProof/>
          <w:sz w:val="22"/>
          <w:lang w:eastAsia="en-AU"/>
        </w:rPr>
        <w:drawing>
          <wp:inline distT="0" distB="0" distL="0" distR="0" wp14:anchorId="6C50B9D7" wp14:editId="781F3323">
            <wp:extent cx="2181225" cy="2781300"/>
            <wp:effectExtent l="0" t="0" r="9525" b="0"/>
            <wp:docPr id="102" name="Chart 102" descr="Prevalent Indigenous Patients by and Treatment Modality 2017. 81% of patients were treated by HD, 13% transplant and 6% PD.">
              <a:extLst xmlns:a="http://schemas.openxmlformats.org/drawingml/2006/main">
                <a:ext uri="{FF2B5EF4-FFF2-40B4-BE49-F238E27FC236}">
                  <a16:creationId xmlns:a16="http://schemas.microsoft.com/office/drawing/2014/main" id="{5D1A2472-45D7-43F4-A78B-C237C7E5BA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9D683D">
        <w:rPr>
          <w:rFonts w:ascii="Calibri" w:eastAsia="Calibri" w:hAnsi="Calibri" w:cs="Times New Roman"/>
          <w:noProof/>
          <w:sz w:val="22"/>
          <w:lang w:eastAsia="en-AU"/>
        </w:rPr>
        <w:drawing>
          <wp:inline distT="0" distB="0" distL="0" distR="0" wp14:anchorId="5B08CA3D" wp14:editId="6734DB0D">
            <wp:extent cx="2257425" cy="2781300"/>
            <wp:effectExtent l="0" t="0" r="9525" b="0"/>
            <wp:docPr id="104" name="Chart 104" descr="Prevalent Non-Indigenous Patients by and Treatment Modality 2017. 51% of patients were treated by transplant, 39% HD and 10% PD.">
              <a:extLst xmlns:a="http://schemas.openxmlformats.org/drawingml/2006/main">
                <a:ext uri="{FF2B5EF4-FFF2-40B4-BE49-F238E27FC236}">
                  <a16:creationId xmlns:a16="http://schemas.microsoft.com/office/drawing/2014/main" id="{5F923695-10ED-4415-87BC-AD9321EFA6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F9A8134" w14:textId="77777777" w:rsidR="00D516FF" w:rsidRDefault="00D516FF" w:rsidP="009D683D">
      <w:pPr>
        <w:keepNext/>
        <w:keepLines/>
        <w:numPr>
          <w:ilvl w:val="1"/>
          <w:numId w:val="0"/>
        </w:numPr>
        <w:spacing w:before="40" w:after="0"/>
        <w:ind w:left="576" w:hanging="576"/>
        <w:outlineLvl w:val="1"/>
        <w:rPr>
          <w:rFonts w:ascii="Calibri Light" w:eastAsia="Times New Roman" w:hAnsi="Calibri Light" w:cs="Times New Roman"/>
          <w:sz w:val="26"/>
          <w:szCs w:val="26"/>
        </w:rPr>
      </w:pPr>
      <w:bookmarkStart w:id="29" w:name="_Toc2585794"/>
    </w:p>
    <w:p w14:paraId="56BA2284" w14:textId="4893F7E9" w:rsidR="009D683D" w:rsidRPr="009D683D" w:rsidRDefault="009D683D" w:rsidP="009D683D">
      <w:pPr>
        <w:keepNext/>
        <w:keepLines/>
        <w:numPr>
          <w:ilvl w:val="1"/>
          <w:numId w:val="0"/>
        </w:numPr>
        <w:spacing w:before="40" w:after="0"/>
        <w:ind w:left="576" w:hanging="576"/>
        <w:outlineLvl w:val="1"/>
        <w:rPr>
          <w:rFonts w:ascii="Calibri Light" w:eastAsia="Times New Roman" w:hAnsi="Calibri Light" w:cs="Times New Roman"/>
          <w:sz w:val="26"/>
          <w:szCs w:val="26"/>
        </w:rPr>
      </w:pPr>
      <w:r w:rsidRPr="009D683D">
        <w:rPr>
          <w:rFonts w:ascii="Calibri Light" w:eastAsia="Times New Roman" w:hAnsi="Calibri Light" w:cs="Times New Roman"/>
          <w:sz w:val="26"/>
          <w:szCs w:val="26"/>
        </w:rPr>
        <w:t>Organ donation</w:t>
      </w:r>
      <w:bookmarkEnd w:id="29"/>
    </w:p>
    <w:p w14:paraId="3DCAF845"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Over the last ten years the number of Indigenous organ and tissue donors across Australia has steadily increased – primarily due to improved community awareness, and because conversations about organ and tissue donation with Indigenous people are now being conducted in a culturally appropriate manner by expert trained health professionals. In 2008, 1.5% (4/259) of donors were Indigenous, which increased to 3.2% (18/554 donors) in 2018.  Culturally appropriate educational materials using pictures, stories and language have been developed with Indigenous people to aid discussions about donation. Previous work undertaken in the Northern Territory identified no cultural barriers that preclude organ donation from being discussed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&lt;EndNote&gt;&lt;Cite&gt;&lt;Author&gt;Stephens&lt;/Author&gt;&lt;Year&gt;2007&lt;/Year&gt;&lt;RecNum&gt;372&lt;/RecNum&gt;&lt;DisplayText&gt;(Stephens, 2007)&lt;/DisplayText&gt;&lt;record&gt;&lt;rec-number&gt;372&lt;/rec-number&gt;&lt;foreign-keys&gt;&lt;key app="EN" db-id="ews5ve9enfwav7etdtjvztfdrftvwrf9vrsx" timestamp="1547069478"&gt;372&lt;/key&gt;&lt;/foreign-keys&gt;&lt;ref-type name="Journal Article"&gt;17&lt;/ref-type&gt;&lt;contributors&gt;&lt;authors&gt;&lt;author&gt;Stephens, D.&lt;/author&gt;&lt;/authors&gt;&lt;/contributors&gt;&lt;titles&gt;&lt;title&gt;Exploring pathways to improve indigenous organ donation&lt;/title&gt;&lt;secondary-title&gt;Internal Medicine Journal&lt;/secondary-title&gt;&lt;/titles&gt;&lt;periodical&gt;&lt;full-title&gt;Internal Medicine Journal&lt;/full-title&gt;&lt;/periodical&gt;&lt;pages&gt;713-716&lt;/pages&gt;&lt;volume&gt;37&lt;/volume&gt;&lt;number&gt;10&lt;/number&gt;&lt;dates&gt;&lt;year&gt;2007&lt;/year&gt;&lt;/dates&gt;&lt;urls&gt;&lt;related-urls&gt;&lt;url&gt;https://onlinelibrary.wiley.com/doi/abs/10.1111/j.1445-5994.2007.01500.x&lt;/url&gt;&lt;/related-urls&gt;&lt;/urls&gt;&lt;electronic-resource-num&gt;doi:10.1111/j.1445-5994.2007.01500.x&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(Stephens, 2007)</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However, a number of factors continue to impact on the potential for donation from Indigenous people, including: </w:t>
      </w:r>
    </w:p>
    <w:p w14:paraId="2EA3527F" w14:textId="77777777" w:rsidR="009D683D" w:rsidRPr="009D683D" w:rsidRDefault="009D683D" w:rsidP="00782640">
      <w:pPr>
        <w:numPr>
          <w:ilvl w:val="0"/>
          <w:numId w:val="31"/>
        </w:numPr>
        <w:spacing w:after="0" w:line="276" w:lineRule="auto"/>
        <w:jc w:val="both"/>
        <w:rPr>
          <w:rFonts w:ascii="Calibri" w:eastAsia="Calibri" w:hAnsi="Calibri" w:cs="Times New Roman"/>
          <w:sz w:val="22"/>
        </w:rPr>
      </w:pPr>
      <w:r w:rsidRPr="009D683D">
        <w:rPr>
          <w:rFonts w:ascii="Calibri" w:eastAsia="Calibri" w:hAnsi="Calibri" w:cs="Times New Roman"/>
          <w:sz w:val="22"/>
        </w:rPr>
        <w:lastRenderedPageBreak/>
        <w:t xml:space="preserve">Pre-existing comorbidities such as diabetes, hypertension and alcohol misuse, often at a young age, which precludes some Indigenous patients from being considered medically suitable for donation, particularly when coupled with the distance from the potential receiving transplant units. </w:t>
      </w:r>
    </w:p>
    <w:p w14:paraId="4AA0AD66" w14:textId="77777777" w:rsidR="009D683D" w:rsidRPr="009D683D" w:rsidRDefault="009D683D" w:rsidP="00782640">
      <w:pPr>
        <w:numPr>
          <w:ilvl w:val="0"/>
          <w:numId w:val="31"/>
        </w:numPr>
        <w:spacing w:after="0" w:line="276" w:lineRule="auto"/>
        <w:jc w:val="both"/>
        <w:rPr>
          <w:rFonts w:ascii="Calibri" w:eastAsia="Calibri" w:hAnsi="Calibri" w:cs="Times New Roman"/>
          <w:sz w:val="22"/>
        </w:rPr>
      </w:pPr>
      <w:r w:rsidRPr="009D683D">
        <w:rPr>
          <w:rFonts w:ascii="Calibri" w:eastAsia="Calibri" w:hAnsi="Calibri" w:cs="Times New Roman"/>
          <w:sz w:val="22"/>
        </w:rPr>
        <w:t>A consent rate for donation of approximately 30-40%, which is around half the national rate.</w:t>
      </w:r>
    </w:p>
    <w:p w14:paraId="1129050A" w14:textId="77777777" w:rsidR="009D683D" w:rsidRPr="009D683D" w:rsidRDefault="009D683D" w:rsidP="00782640">
      <w:pPr>
        <w:numPr>
          <w:ilvl w:val="0"/>
          <w:numId w:val="31"/>
        </w:numPr>
        <w:spacing w:after="0" w:line="276" w:lineRule="auto"/>
        <w:jc w:val="both"/>
        <w:rPr>
          <w:rFonts w:ascii="Calibri" w:eastAsia="Calibri" w:hAnsi="Calibri" w:cs="Times New Roman"/>
          <w:sz w:val="22"/>
        </w:rPr>
      </w:pPr>
      <w:r w:rsidRPr="009D683D">
        <w:rPr>
          <w:rFonts w:ascii="Calibri" w:eastAsia="Calibri" w:hAnsi="Calibri" w:cs="Times New Roman"/>
          <w:sz w:val="22"/>
        </w:rPr>
        <w:t xml:space="preserve">Indigenous people not being aware of and understanding the link between organ donation and transplantation and how donation may benefit someone in their community. </w:t>
      </w:r>
    </w:p>
    <w:p w14:paraId="6DB30215" w14:textId="77777777" w:rsidR="009D683D" w:rsidRPr="009D683D" w:rsidRDefault="009D683D" w:rsidP="00782640">
      <w:pPr>
        <w:numPr>
          <w:ilvl w:val="0"/>
          <w:numId w:val="31"/>
        </w:numPr>
        <w:spacing w:after="0" w:line="276" w:lineRule="auto"/>
        <w:jc w:val="both"/>
        <w:rPr>
          <w:rFonts w:ascii="Calibri" w:eastAsia="Calibri" w:hAnsi="Calibri" w:cs="Times New Roman"/>
          <w:sz w:val="22"/>
        </w:rPr>
      </w:pPr>
      <w:r w:rsidRPr="009D683D">
        <w:rPr>
          <w:rFonts w:ascii="Calibri" w:eastAsia="Calibri" w:hAnsi="Calibri" w:cs="Times New Roman"/>
          <w:sz w:val="22"/>
        </w:rPr>
        <w:t>Challenges of conducting donation conversations with large Indigenous families split between the community and the hospital often many kilometres away, and the difficulties that sometimes arise in identifying the senior next of kin/community spokesperson.</w:t>
      </w:r>
    </w:p>
    <w:p w14:paraId="0763DB57" w14:textId="77777777" w:rsidR="009D683D" w:rsidRPr="009D683D" w:rsidRDefault="009D683D" w:rsidP="00782640">
      <w:pPr>
        <w:numPr>
          <w:ilvl w:val="0"/>
          <w:numId w:val="31"/>
        </w:numPr>
        <w:spacing w:after="0" w:line="276" w:lineRule="auto"/>
        <w:jc w:val="both"/>
        <w:rPr>
          <w:rFonts w:ascii="Calibri" w:eastAsia="Calibri" w:hAnsi="Calibri" w:cs="Times New Roman"/>
          <w:sz w:val="22"/>
        </w:rPr>
      </w:pPr>
      <w:r w:rsidRPr="009D683D">
        <w:rPr>
          <w:rFonts w:ascii="Calibri" w:eastAsia="Calibri" w:hAnsi="Calibri" w:cs="Times New Roman"/>
          <w:sz w:val="22"/>
        </w:rPr>
        <w:t xml:space="preserve">Heterogeneity between the different Indigenous communities in terms of health literacy, awareness and the likelihood of giving consent to donation – urban Indigenous people are more likely to give consent to donation than Indigenous people from remote communities. </w:t>
      </w:r>
    </w:p>
    <w:p w14:paraId="1CE247E3" w14:textId="77777777" w:rsidR="009D683D" w:rsidRPr="009D683D" w:rsidRDefault="009D683D" w:rsidP="00782640">
      <w:pPr>
        <w:numPr>
          <w:ilvl w:val="0"/>
          <w:numId w:val="31"/>
        </w:numPr>
        <w:spacing w:after="0" w:line="276" w:lineRule="auto"/>
        <w:jc w:val="both"/>
        <w:rPr>
          <w:rFonts w:ascii="Calibri" w:eastAsia="Calibri" w:hAnsi="Calibri" w:cs="Times New Roman"/>
          <w:sz w:val="22"/>
        </w:rPr>
      </w:pPr>
      <w:r w:rsidRPr="009D683D">
        <w:rPr>
          <w:rFonts w:ascii="Calibri" w:eastAsia="Calibri" w:hAnsi="Calibri" w:cs="Times New Roman"/>
          <w:sz w:val="22"/>
        </w:rPr>
        <w:t>Cultural beliefs that preclude organ donation, such as belief in the importance of being buried whole and in the transference of the spirit of the donor with their donated organ to the recipient.</w:t>
      </w:r>
    </w:p>
    <w:p w14:paraId="2FEC9A8B" w14:textId="77777777" w:rsidR="009D683D" w:rsidRPr="009D683D" w:rsidRDefault="009D683D" w:rsidP="00782640">
      <w:pPr>
        <w:numPr>
          <w:ilvl w:val="0"/>
          <w:numId w:val="31"/>
        </w:numPr>
        <w:spacing w:after="0" w:line="276" w:lineRule="auto"/>
        <w:jc w:val="both"/>
        <w:rPr>
          <w:rFonts w:ascii="Calibri" w:eastAsia="Calibri" w:hAnsi="Calibri" w:cs="Times New Roman"/>
          <w:sz w:val="22"/>
        </w:rPr>
      </w:pPr>
      <w:r w:rsidRPr="009D683D">
        <w:rPr>
          <w:rFonts w:ascii="Calibri" w:eastAsia="Calibri" w:hAnsi="Calibri" w:cs="Times New Roman"/>
          <w:sz w:val="22"/>
        </w:rPr>
        <w:t>The time frame over which donation occurs which may be unacceptable for some Indigenous (and non-Indigenous) families, particularly those from remote communities.</w:t>
      </w:r>
    </w:p>
    <w:p w14:paraId="22F1A07D" w14:textId="77777777" w:rsidR="009D683D" w:rsidRPr="009D683D" w:rsidRDefault="009D683D" w:rsidP="00782640">
      <w:pPr>
        <w:numPr>
          <w:ilvl w:val="0"/>
          <w:numId w:val="31"/>
        </w:numPr>
        <w:spacing w:line="276" w:lineRule="auto"/>
        <w:ind w:left="714" w:hanging="357"/>
        <w:jc w:val="both"/>
        <w:rPr>
          <w:rFonts w:ascii="Calibri" w:eastAsia="Calibri" w:hAnsi="Calibri" w:cs="Times New Roman"/>
          <w:sz w:val="22"/>
        </w:rPr>
      </w:pPr>
      <w:r w:rsidRPr="009D683D">
        <w:rPr>
          <w:rFonts w:ascii="Calibri" w:eastAsia="Calibri" w:hAnsi="Calibri" w:cs="Times New Roman"/>
          <w:sz w:val="22"/>
        </w:rPr>
        <w:t>Mistrust of the health system.</w:t>
      </w:r>
    </w:p>
    <w:p w14:paraId="2AA694A8"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There has been considerable debate about the merits of an ‘opt-out’ approach to organ and tissue donation in Australia, but this concept would likely be difficult to explain to Indigenous people, many of whom have low health literacy. Consequently, the main priorities should be:</w:t>
      </w:r>
    </w:p>
    <w:p w14:paraId="53A1C22D" w14:textId="77777777" w:rsidR="009D683D" w:rsidRPr="009D683D" w:rsidRDefault="009D683D" w:rsidP="00782640">
      <w:pPr>
        <w:numPr>
          <w:ilvl w:val="0"/>
          <w:numId w:val="77"/>
        </w:numPr>
        <w:spacing w:after="0" w:line="276" w:lineRule="auto"/>
        <w:contextualSpacing/>
        <w:jc w:val="both"/>
        <w:rPr>
          <w:rFonts w:ascii="Calibri" w:eastAsia="Calibri" w:hAnsi="Calibri" w:cs="Times New Roman"/>
          <w:sz w:val="22"/>
        </w:rPr>
      </w:pPr>
      <w:r w:rsidRPr="009D683D">
        <w:rPr>
          <w:rFonts w:ascii="Calibri" w:eastAsia="Calibri" w:hAnsi="Calibri" w:cs="Times New Roman"/>
          <w:sz w:val="22"/>
        </w:rPr>
        <w:t>Systematically reviewing the evidence on the outcomes of kidney transplantation using a live donor in the Indigenous patient population to inform health service protocols; and</w:t>
      </w:r>
    </w:p>
    <w:p w14:paraId="7FA32DAF" w14:textId="77777777" w:rsidR="009D683D" w:rsidRPr="009D683D" w:rsidRDefault="009D683D" w:rsidP="00782640">
      <w:pPr>
        <w:numPr>
          <w:ilvl w:val="0"/>
          <w:numId w:val="77"/>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Educating Indigenous communities about the value of organ donation and how it links to transplantation, ideally in partnership with local transplant recipients and donor families.</w:t>
      </w:r>
    </w:p>
    <w:p w14:paraId="42FA6DA2" w14:textId="77777777" w:rsidR="0055104B" w:rsidRDefault="0055104B" w:rsidP="009D683D">
      <w:pPr>
        <w:keepNext/>
        <w:keepLines/>
        <w:numPr>
          <w:ilvl w:val="1"/>
          <w:numId w:val="0"/>
        </w:numPr>
        <w:spacing w:before="40" w:after="0"/>
        <w:ind w:left="576" w:hanging="576"/>
        <w:outlineLvl w:val="1"/>
        <w:rPr>
          <w:rFonts w:ascii="Calibri Light" w:eastAsia="Times New Roman" w:hAnsi="Calibri Light" w:cs="Times New Roman"/>
          <w:sz w:val="26"/>
          <w:szCs w:val="26"/>
        </w:rPr>
      </w:pPr>
      <w:bookmarkStart w:id="30" w:name="_Toc2585795"/>
    </w:p>
    <w:p w14:paraId="321C7DA6" w14:textId="7FDC56CA" w:rsidR="009D683D" w:rsidRPr="009D683D" w:rsidRDefault="009D683D" w:rsidP="009D683D">
      <w:pPr>
        <w:keepNext/>
        <w:keepLines/>
        <w:numPr>
          <w:ilvl w:val="1"/>
          <w:numId w:val="0"/>
        </w:numPr>
        <w:spacing w:before="40" w:after="0"/>
        <w:ind w:left="576" w:hanging="576"/>
        <w:outlineLvl w:val="1"/>
        <w:rPr>
          <w:rFonts w:ascii="Calibri Light" w:eastAsia="Times New Roman" w:hAnsi="Calibri Light" w:cs="Times New Roman"/>
          <w:sz w:val="26"/>
          <w:szCs w:val="26"/>
        </w:rPr>
      </w:pPr>
      <w:r w:rsidRPr="009D683D">
        <w:rPr>
          <w:rFonts w:ascii="Calibri Light" w:eastAsia="Times New Roman" w:hAnsi="Calibri Light" w:cs="Times New Roman"/>
          <w:sz w:val="26"/>
          <w:szCs w:val="26"/>
        </w:rPr>
        <w:t>Pre- and post-transplant barriers</w:t>
      </w:r>
      <w:bookmarkEnd w:id="30"/>
    </w:p>
    <w:p w14:paraId="0A0D1283" w14:textId="77777777" w:rsidR="009D683D" w:rsidRPr="009D683D" w:rsidRDefault="009D683D" w:rsidP="009D683D">
      <w:pPr>
        <w:spacing w:line="276" w:lineRule="auto"/>
        <w:jc w:val="both"/>
        <w:rPr>
          <w:rFonts w:ascii="Times New Roman" w:eastAsia="Times New Roman" w:hAnsi="Times New Roman" w:cs="Times New Roman"/>
          <w:sz w:val="24"/>
          <w:szCs w:val="24"/>
        </w:rPr>
      </w:pPr>
      <w:r w:rsidRPr="009D683D">
        <w:rPr>
          <w:rFonts w:ascii="Calibri" w:eastAsia="Calibri" w:hAnsi="Calibri" w:cs="Times New Roman"/>
          <w:sz w:val="22"/>
        </w:rPr>
        <w:t xml:space="preserve">In addition to donation issues, numerous pre- and post-transplant barriers that may impede Indigenous Australians’ access to a kidney transplant have been identified. Pre-transplant barriers commonly comprise sociocultural and geographic factors, such as a cultural and/or communication divide between the patient and the practitioner, and logistical difficulties in accessing regular assessment and workup tests that are only available in metropolitan areas. Additionally, Indigenous ESKD patients are far more likely to be smokers, diabetic, overweight or obese, and to suffer from cerebrovascular, coronary artery and peripheral vascular disease </w:t>
      </w:r>
      <w:r w:rsidRPr="009D683D">
        <w:rPr>
          <w:rFonts w:ascii="Calibri" w:eastAsia="Calibri" w:hAnsi="Calibri" w:cs="Times New Roman"/>
          <w:sz w:val="22"/>
        </w:rPr>
        <w:fldChar w:fldCharType="begin">
          <w:fldData xml:space="preserve">PEVuZE5vdGU+PENpdGU+PEF1dGhvcj5CYXJyYWNsb3VnaDwvQXV0aG9yPjxZZWFyPjIwMTY8L1ll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PEVuZE5vdGU+PENpdGU+PEF1dGhvcj5CYXJyYWNsb3VnaDwvQXV0aG9yPjxZZWFyPjIwMTY8L1ll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(Barraclough, Grace, Lawton, &amp; McDonald, 2016; McDonald, 2004; Rogers, Lawton, &amp; Jose, 2006)</w:t>
      </w:r>
      <w:r w:rsidRPr="009D683D">
        <w:rPr>
          <w:rFonts w:ascii="Calibri" w:eastAsia="Calibri" w:hAnsi="Calibri" w:cs="Times New Roman"/>
          <w:sz w:val="22"/>
        </w:rPr>
        <w:fldChar w:fldCharType="end"/>
      </w:r>
      <w:r w:rsidRPr="009D683D">
        <w:rPr>
          <w:rFonts w:ascii="Calibri" w:eastAsia="Calibri" w:hAnsi="Calibri" w:cs="Times New Roman"/>
          <w:sz w:val="22"/>
        </w:rPr>
        <w:t>. High comorbidity profiles result in a significant proportion of Indigenous ESKD patients being deemed unsuitable for transplantation.</w:t>
      </w:r>
    </w:p>
    <w:p w14:paraId="328BF0D3" w14:textId="77777777" w:rsidR="009D683D" w:rsidRPr="009D683D" w:rsidRDefault="009D683D" w:rsidP="009D683D">
      <w:pPr>
        <w:spacing w:line="276" w:lineRule="auto"/>
        <w:jc w:val="both"/>
        <w:rPr>
          <w:rFonts w:ascii="Times New Roman" w:eastAsia="Times New Roman" w:hAnsi="Times New Roman" w:cs="Times New Roman"/>
          <w:sz w:val="24"/>
          <w:szCs w:val="24"/>
        </w:rPr>
      </w:pPr>
      <w:r w:rsidRPr="009D683D">
        <w:rPr>
          <w:rFonts w:ascii="Calibri" w:eastAsia="Calibri" w:hAnsi="Calibri" w:cs="Times New Roman"/>
          <w:sz w:val="22"/>
        </w:rPr>
        <w:t xml:space="preserve">The poorer post-transplant outcomes experienced by Indigenous patients also presents a significant barrier to transplantation. Indigenous patients are more likely to experience greater sensitisation and human leukocyte antigen (HLA) mismatches, acute rejection, bolus doses of steroids, monoclonal antibody treatment for rejection, hospitalisation with a longer length of stay, and post-transplant infection, particularly bacterial and fungal infections </w:t>
      </w:r>
      <w:r w:rsidRPr="009D683D">
        <w:rPr>
          <w:rFonts w:ascii="Calibri" w:eastAsia="Calibri" w:hAnsi="Calibri" w:cs="Times New Roman"/>
          <w:sz w:val="22"/>
        </w:rPr>
        <w:fldChar w:fldCharType="begin">
          <w:fldData xml:space="preserve">PEVuZE5vdGU+PENpdGU+PEF1dGhvcj5Cb2FuPC9BdXRob3I+PFllYXI+MjAxNzwvWWVhcj48UmVj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PEVuZE5vdGU+PENpdGU+PEF1dGhvcj5Cb2FuPC9BdXRob3I+PFllYXI+MjAxNzwvWWVhcj48UmVj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(Boan, Swaminathan, &amp; Irish, 2017; Rogers et al., 2006)</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The 2017 ANZDATA Annual Report identified a difference in survival after kidney </w:t>
      </w:r>
      <w:r w:rsidRPr="009D683D">
        <w:rPr>
          <w:rFonts w:ascii="Calibri" w:eastAsia="Calibri" w:hAnsi="Calibri" w:cs="Times New Roman"/>
          <w:sz w:val="22"/>
        </w:rPr>
        <w:lastRenderedPageBreak/>
        <w:t xml:space="preserve">transplantation from a deceased donor between non-Indigenous and Indigenous recipients, evident from 1.5 years post-transplantation. At 5 years post-transplant, 84% of Indigenous recipients and 91% of non-Indigenous recipients were alive, and transplant kidney function was maintained in 71% of Indigenous recipients compared with 83% of non-Indigenous persons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&lt;EndNote&gt;&lt;Cite&gt;&lt;Author&gt;ANZDATA&lt;/Author&gt;&lt;Year&gt;2017&lt;/Year&gt;&lt;RecNum&gt;325&lt;/RecNum&gt;&lt;DisplayText&gt;(ANZDATA, 2017)&lt;/DisplayText&gt;&lt;record&gt;&lt;rec-number&gt;325&lt;/rec-number&gt;&lt;foreign-keys&gt;&lt;key app="EN" db-id="ews5ve9enfwav7etdtjvztfdrftvwrf9vrsx" timestamp="1545620306"&gt;325&lt;/key&gt;&lt;/foreign-keys&gt;&lt;ref-type name="Government Document"&gt;46&lt;/ref-type&gt;&lt;contributors&gt;&lt;authors&gt;&lt;author&gt;ANZDATA&lt;/author&gt;&lt;/authors&gt;&lt;/contributors&gt;&lt;titles&gt;&lt;title&gt;Chapter 10: ESKD in Indigenous Peoples of Australia and Aotearoa/New Zealand&lt;/title&gt;&lt;/titles&gt;&lt;dates&gt;&lt;year&gt;2017&lt;/year&gt;&lt;/dates&gt;&lt;pub-location&gt;Adelaide, Australia&lt;/pub-location&gt;&lt;publisher&gt;ANZDATA Registry&lt;/publisher&gt;&lt;urls&gt;&lt;related-urls&gt;&lt;url&gt;http://www.anzdata.org.au/anzdata/AnzdataReport/40thReport/c10_indigenous_2016_v1.0_20181008.pdf&lt;/url&gt;&lt;/related-urls&gt;&lt;/urls&gt;&lt;access-date&gt;7 January 2019&lt;/access-date&gt;&lt;/record&gt;&lt;/Cite&gt;&lt;/EndNote&gt;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(ANZDATA, 2018)</w:t>
      </w:r>
      <w:r w:rsidRPr="009D683D">
        <w:rPr>
          <w:rFonts w:ascii="Calibri" w:eastAsia="Calibri" w:hAnsi="Calibri" w:cs="Times New Roman"/>
          <w:sz w:val="22"/>
        </w:rPr>
        <w:fldChar w:fldCharType="end"/>
      </w:r>
      <w:r w:rsidRPr="009D683D">
        <w:rPr>
          <w:rFonts w:ascii="Calibri" w:eastAsia="Calibri" w:hAnsi="Calibri" w:cs="Times New Roman"/>
          <w:sz w:val="22"/>
        </w:rPr>
        <w:t>.</w:t>
      </w:r>
    </w:p>
    <w:p w14:paraId="3DA2A233"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At the end of 2017, 964 patients were active on the Australian kidney transplant waiting list, 31 of whom were Indigenous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&lt;EndNote&gt;&lt;Cite&gt;&lt;Author&gt;ANZDATA&lt;/Author&gt;&lt;Year&gt;2018&lt;/Year&gt;&lt;RecNum&gt;388&lt;/RecNum&gt;&lt;DisplayText&gt;(ANZDATA, 2018)&lt;/DisplayText&gt;&lt;record&gt;&lt;rec-number&gt;388&lt;/rec-number&gt;&lt;foreign-keys&gt;&lt;key app="EN" db-id="ews5ve9enfwav7etdtjvztfdrftvwrf9vrsx" timestamp="1548731729"&gt;388&lt;/key&gt;&lt;/foreign-keys&gt;&lt;ref-type name="Government Document"&gt;46&lt;/ref-type&gt;&lt;contributors&gt;&lt;authors&gt;&lt;author&gt;ANZDATA&lt;/author&gt;&lt;/authors&gt;&lt;secondary-authors&gt;&lt;author&gt;ANZDATA&lt;/author&gt;&lt;/secondary-authors&gt;&lt;/contributors&gt;&lt;titles&gt;&lt;title&gt;Chapter 10: ESKD in Indigenous Peoples of Australia and Aotearoa/New Zealand&lt;/title&gt;&lt;/titles&gt;&lt;dates&gt;&lt;year&gt;2018&lt;/year&gt;&lt;/dates&gt;&lt;pub-location&gt;Adelaide, Australia&lt;/pub-location&gt;&lt;publisher&gt;ANZDATA Registry&lt;/publisher&gt;&lt;urls&gt;&lt;/urls&gt;&lt;/record&gt;&lt;/Cite&gt;&lt;/EndNote&gt;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(ANZDATA, 2018)</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However, the number of deceased donor kidneys available for transplantation is far lower than the number of patients who might benefit from a transplant, and the average time spent on the waitlist before receiving a transplant is 3 years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&lt;EndNote&gt;&lt;Cite&gt;&lt;Author&gt;KHA&lt;/Author&gt;&lt;Year&gt;2019&lt;/Year&gt;&lt;RecNum&gt;361&lt;/RecNum&gt;&lt;DisplayText&gt;(KHA, 2019)&lt;/DisplayText&gt;&lt;record&gt;&lt;rec-number&gt;361&lt;/rec-number&gt;&lt;foreign-keys&gt;&lt;key app="EN" db-id="ews5ve9enfwav7etdtjvztfdrftvwrf9vrsx" timestamp="1546837593"&gt;361&lt;/key&gt;&lt;/foreign-keys&gt;&lt;ref-type name="Web Page"&gt;12&lt;/ref-type&gt;&lt;contributors&gt;&lt;authors&gt;&lt;author&gt;KHA&lt;/author&gt;&lt;/authors&gt;&lt;/contributors&gt;&lt;titles&gt;&lt;title&gt;Kidney Transplant &lt;/title&gt;&lt;/titles&gt;&lt;volume&gt;2019&lt;/volume&gt;&lt;number&gt;7 January&lt;/number&gt;&lt;dates&gt;&lt;year&gt;2019&lt;/year&gt;&lt;/dates&gt;&lt;publisher&gt;Kidney Health Australia&lt;/publisher&gt;&lt;urls&gt;&lt;related-urls&gt;&lt;url&gt;https://kidney.org.au/your-kidneys/support/kidney-transplant&lt;/url&gt;&lt;/related-urls&gt;&lt;/urls&gt;&lt;/record&gt;&lt;/Cite&gt;&lt;/EndNote&gt;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(KHA, 2019)</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Prior to 2018, national protocols in Australia required that patients have an anticipated 80% likelihood of survival at 5 years post-transplantation to be eligible for the kidney transplant waitlist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&lt;EndNote&gt;&lt;Cite&gt;&lt;Author&gt;TSANZ&lt;/Author&gt;&lt;Year&gt;2018&lt;/Year&gt;&lt;RecNum&gt;359&lt;/RecNum&gt;&lt;DisplayText&gt;(TSANZ, 2018)&lt;/DisplayText&gt;&lt;record&gt;&lt;rec-number&gt;359&lt;/rec-number&gt;&lt;foreign-keys&gt;&lt;key app="EN" db-id="ews5ve9enfwav7etdtjvztfdrftvwrf9vrsx" timestamp="1546831435"&gt;359&lt;/key&gt;&lt;/foreign-keys&gt;&lt;ref-type name="Government Document"&gt;46&lt;/ref-type&gt;&lt;contributors&gt;&lt;authors&gt;&lt;author&gt;TSANZ&lt;/author&gt;&lt;/authors&gt;&lt;secondary-authors&gt;&lt;author&gt;TSANZ&lt;/author&gt;&lt;/secondary-authors&gt;&lt;/contributors&gt;&lt;titles&gt;&lt;title&gt;Clinical Guidelines for Organ Transplantation from Deceased Donors&lt;/title&gt;&lt;/titles&gt;&lt;dates&gt;&lt;year&gt;2018&lt;/year&gt;&lt;/dates&gt;&lt;pub-location&gt;Sydney, Australia&lt;/pub-location&gt;&lt;publisher&gt;Transplant Society of Australia and New Zealand&lt;/publisher&gt;&lt;urls&gt;&lt;related-urls&gt;&lt;url&gt;https://www.tsanz.com.au/Clinical%20Guidelines%20-Dec%202018.pdf&lt;/url&gt;&lt;/related-urls&gt;&lt;/urls&gt;&lt;/record&gt;&lt;/Cite&gt;&lt;/EndNote&gt;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(TSANZ, 2018)</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This is no longer an absolute requirement, and eligibility for deceased donor kidney transplant waitlisting now requires that kidney transplant candidates have a high likelihood of significant benefit from receiving a kidney transplant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&lt;EndNote&gt;&lt;Cite&gt;&lt;Author&gt;TSANZ&lt;/Author&gt;&lt;Year&gt;2018&lt;/Year&gt;&lt;RecNum&gt;359&lt;/RecNum&gt;&lt;DisplayText&gt;(TSANZ, 2018)&lt;/DisplayText&gt;&lt;record&gt;&lt;rec-number&gt;359&lt;/rec-number&gt;&lt;foreign-keys&gt;&lt;key app="EN" db-id="ews5ve9enfwav7etdtjvztfdrftvwrf9vrsx" timestamp="1546831435"&gt;359&lt;/key&gt;&lt;/foreign-keys&gt;&lt;ref-type name="Government Document"&gt;46&lt;/ref-type&gt;&lt;contributors&gt;&lt;authors&gt;&lt;author&gt;TSANZ&lt;/author&gt;&lt;/authors&gt;&lt;secondary-authors&gt;&lt;author&gt;TSANZ&lt;/author&gt;&lt;/secondary-authors&gt;&lt;/contributors&gt;&lt;titles&gt;&lt;title&gt;Clinical Guidelines for Organ Transplantation from Deceased Donors&lt;/title&gt;&lt;/titles&gt;&lt;dates&gt;&lt;year&gt;2018&lt;/year&gt;&lt;/dates&gt;&lt;pub-location&gt;Sydney, Australia&lt;/pub-location&gt;&lt;publisher&gt;Transplant Society of Australia and New Zealand&lt;/publisher&gt;&lt;urls&gt;&lt;related-urls&gt;&lt;url&gt;https://www.tsanz.com.au/Clinical%20Guidelines%20-Dec%202018.pdf&lt;/url&gt;&lt;/related-urls&gt;&lt;/urls&gt;&lt;/record&gt;&lt;/Cite&gt;&lt;/EndNote&gt;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(TSANZ, 2018)</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However, the substantial pre- and post-transplant challenges experienced by Indigenous ESKD patients ultimately means that they have a poorer prospect of successful transplantation compared to non-Indigenous patients, and are thus less likely to be listed for a kidney transplant. </w:t>
      </w:r>
    </w:p>
    <w:p w14:paraId="23354650" w14:textId="77777777" w:rsidR="009D683D" w:rsidRPr="009D683D" w:rsidRDefault="009D683D" w:rsidP="009D683D">
      <w:pPr>
        <w:keepNext/>
        <w:keepLines/>
        <w:numPr>
          <w:ilvl w:val="1"/>
          <w:numId w:val="0"/>
        </w:numPr>
        <w:spacing w:before="40" w:after="0"/>
        <w:ind w:left="576" w:hanging="576"/>
        <w:outlineLvl w:val="1"/>
        <w:rPr>
          <w:rFonts w:ascii="Calibri Light" w:eastAsia="Times New Roman" w:hAnsi="Calibri Light" w:cs="Times New Roman"/>
          <w:sz w:val="26"/>
          <w:szCs w:val="26"/>
        </w:rPr>
      </w:pPr>
      <w:bookmarkStart w:id="31" w:name="_Toc2585796"/>
      <w:r w:rsidRPr="009D683D">
        <w:rPr>
          <w:rFonts w:ascii="Calibri Light" w:eastAsia="Times New Roman" w:hAnsi="Calibri Light" w:cs="Times New Roman"/>
          <w:sz w:val="26"/>
          <w:szCs w:val="26"/>
        </w:rPr>
        <w:t>Aims of this report</w:t>
      </w:r>
      <w:bookmarkEnd w:id="31"/>
    </w:p>
    <w:p w14:paraId="4DD71EFD"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This report has three interrelated aims, comprising:</w:t>
      </w:r>
    </w:p>
    <w:p w14:paraId="50CCA507" w14:textId="77777777" w:rsidR="009D683D" w:rsidRPr="009D683D" w:rsidRDefault="009D683D" w:rsidP="00782640">
      <w:pPr>
        <w:numPr>
          <w:ilvl w:val="0"/>
          <w:numId w:val="32"/>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 xml:space="preserve">Summarising the literature on Indigenous kidney transplant candidates’ barriers to: a) being waitlisted for transplant, b) receiving a transplant, and c) maintaining transplant function. </w:t>
      </w:r>
    </w:p>
    <w:p w14:paraId="55E3E491" w14:textId="77777777" w:rsidR="009D683D" w:rsidRPr="009D683D" w:rsidRDefault="009D683D" w:rsidP="00782640">
      <w:pPr>
        <w:numPr>
          <w:ilvl w:val="0"/>
          <w:numId w:val="32"/>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Identifying data and knowledge gaps that prevent the attainment of a comprehensive understanding of pre- and post-transplant barriers.</w:t>
      </w:r>
    </w:p>
    <w:p w14:paraId="22C48584" w14:textId="77777777" w:rsidR="009D683D" w:rsidRPr="009D683D" w:rsidRDefault="009D683D" w:rsidP="00782640">
      <w:pPr>
        <w:numPr>
          <w:ilvl w:val="0"/>
          <w:numId w:val="32"/>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 xml:space="preserve">Proposing a series of recommendations for research, practice and policy to either: </w:t>
      </w:r>
    </w:p>
    <w:p w14:paraId="6842CF93" w14:textId="77777777" w:rsidR="009D683D" w:rsidRPr="009D683D" w:rsidRDefault="009D683D" w:rsidP="00782640">
      <w:pPr>
        <w:numPr>
          <w:ilvl w:val="0"/>
          <w:numId w:val="76"/>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 xml:space="preserve">address data and knowledge gaps, or </w:t>
      </w:r>
    </w:p>
    <w:p w14:paraId="66222433" w14:textId="77777777" w:rsidR="009D683D" w:rsidRPr="009D683D" w:rsidRDefault="009D683D" w:rsidP="00782640">
      <w:pPr>
        <w:numPr>
          <w:ilvl w:val="0"/>
          <w:numId w:val="76"/>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 xml:space="preserve">draw upon current knowledge to inform pre- and post-transplant initiatives that are tailored for the Indigenous patient cohort. </w:t>
      </w:r>
    </w:p>
    <w:p w14:paraId="46D3A4A6"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It is anticipated that the report will serve as a precursor to a series of projects and health service initiatives that target identified transplantation barriers, practice issues and evidence gaps. The report’s findings will also be presented to an international audience at the World Congress of Nephrology Satellite Symposium, “First Nation Kidney Health – a focus on transplantation”, in April 2019, which will facilitate an international exchange of ideas on First Nation transplant issues. It is planned that a workshop will be held in the second half of 2019 to engage the local health care sector in Indigenous kidney health issues and enable a diverse range of voices to be heard.  </w:t>
      </w:r>
    </w:p>
    <w:p w14:paraId="40605244"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To ensure the momentum generated by this report is not lost, it is proposed that the TSANZ, in partnership with the Australian and New Zealand Society of Nephrology (ANZSN) and Organ and Tissue Authority (OTA), establish a Taskforce to provide oversight and input into Indigenous kidney transplantation issues, consult the Indigenous and health care communities on the report’s recommendations, and drive action across research, practice and policy domains.</w:t>
      </w:r>
    </w:p>
    <w:p w14:paraId="4404296D" w14:textId="77777777" w:rsidR="0055104B" w:rsidRDefault="0055104B" w:rsidP="009D683D">
      <w:pPr>
        <w:keepNext/>
        <w:keepLines/>
        <w:numPr>
          <w:ilvl w:val="1"/>
          <w:numId w:val="0"/>
        </w:numPr>
        <w:spacing w:before="40" w:after="0"/>
        <w:ind w:left="576" w:hanging="576"/>
        <w:outlineLvl w:val="1"/>
        <w:rPr>
          <w:rFonts w:ascii="Calibri Light" w:eastAsia="Times New Roman" w:hAnsi="Calibri Light" w:cs="Times New Roman"/>
          <w:sz w:val="26"/>
          <w:szCs w:val="26"/>
        </w:rPr>
      </w:pPr>
      <w:bookmarkStart w:id="32" w:name="_Toc2585797"/>
    </w:p>
    <w:p w14:paraId="580D3773" w14:textId="77777777" w:rsidR="0055104B" w:rsidRDefault="0055104B" w:rsidP="009D683D">
      <w:pPr>
        <w:keepNext/>
        <w:keepLines/>
        <w:numPr>
          <w:ilvl w:val="1"/>
          <w:numId w:val="0"/>
        </w:numPr>
        <w:spacing w:before="40" w:after="0"/>
        <w:ind w:left="576" w:hanging="576"/>
        <w:outlineLvl w:val="1"/>
        <w:rPr>
          <w:rFonts w:ascii="Calibri Light" w:eastAsia="Times New Roman" w:hAnsi="Calibri Light" w:cs="Times New Roman"/>
          <w:sz w:val="26"/>
          <w:szCs w:val="26"/>
        </w:rPr>
      </w:pPr>
    </w:p>
    <w:p w14:paraId="04AC6939" w14:textId="77777777" w:rsidR="0055104B" w:rsidRDefault="0055104B" w:rsidP="009D683D">
      <w:pPr>
        <w:keepNext/>
        <w:keepLines/>
        <w:numPr>
          <w:ilvl w:val="1"/>
          <w:numId w:val="0"/>
        </w:numPr>
        <w:spacing w:before="40" w:after="0"/>
        <w:ind w:left="576" w:hanging="576"/>
        <w:outlineLvl w:val="1"/>
        <w:rPr>
          <w:rFonts w:ascii="Calibri Light" w:eastAsia="Times New Roman" w:hAnsi="Calibri Light" w:cs="Times New Roman"/>
          <w:sz w:val="26"/>
          <w:szCs w:val="26"/>
        </w:rPr>
      </w:pPr>
      <w:r>
        <w:rPr>
          <w:rFonts w:ascii="Calibri Light" w:eastAsia="Times New Roman" w:hAnsi="Calibri Light" w:cs="Times New Roman"/>
          <w:sz w:val="26"/>
          <w:szCs w:val="26"/>
        </w:rPr>
        <w:br w:type="page"/>
      </w:r>
    </w:p>
    <w:p w14:paraId="4A40CC00" w14:textId="09906CD9" w:rsidR="009D683D" w:rsidRPr="009D683D" w:rsidRDefault="009D683D" w:rsidP="009D683D">
      <w:pPr>
        <w:keepNext/>
        <w:keepLines/>
        <w:numPr>
          <w:ilvl w:val="1"/>
          <w:numId w:val="0"/>
        </w:numPr>
        <w:spacing w:before="40" w:after="0"/>
        <w:ind w:left="576" w:hanging="576"/>
        <w:outlineLvl w:val="1"/>
        <w:rPr>
          <w:rFonts w:ascii="Calibri Light" w:eastAsia="Times New Roman" w:hAnsi="Calibri Light" w:cs="Times New Roman"/>
          <w:sz w:val="26"/>
          <w:szCs w:val="26"/>
        </w:rPr>
      </w:pPr>
      <w:r w:rsidRPr="009D683D">
        <w:rPr>
          <w:rFonts w:ascii="Calibri Light" w:eastAsia="Times New Roman" w:hAnsi="Calibri Light" w:cs="Times New Roman"/>
          <w:sz w:val="26"/>
          <w:szCs w:val="26"/>
        </w:rPr>
        <w:lastRenderedPageBreak/>
        <w:t>Structure of this report</w:t>
      </w:r>
      <w:bookmarkEnd w:id="32"/>
    </w:p>
    <w:p w14:paraId="32DEF8EA"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The remainder of this report is structured as follows: </w:t>
      </w:r>
    </w:p>
    <w:p w14:paraId="2EFFE57A" w14:textId="77777777" w:rsidR="009D683D" w:rsidRPr="009D683D" w:rsidRDefault="009D683D" w:rsidP="00782640">
      <w:pPr>
        <w:numPr>
          <w:ilvl w:val="0"/>
          <w:numId w:val="33"/>
        </w:numPr>
        <w:spacing w:after="0" w:line="276" w:lineRule="auto"/>
        <w:jc w:val="both"/>
        <w:rPr>
          <w:rFonts w:ascii="Calibri" w:eastAsia="Calibri" w:hAnsi="Calibri" w:cs="Times New Roman"/>
          <w:sz w:val="22"/>
        </w:rPr>
      </w:pPr>
      <w:r w:rsidRPr="009D683D">
        <w:rPr>
          <w:rFonts w:ascii="Calibri" w:eastAsia="Calibri" w:hAnsi="Calibri" w:cs="Times New Roman"/>
          <w:b/>
          <w:sz w:val="22"/>
        </w:rPr>
        <w:t>Chapter 2</w:t>
      </w:r>
      <w:r w:rsidRPr="009D683D">
        <w:rPr>
          <w:rFonts w:ascii="Calibri" w:eastAsia="Calibri" w:hAnsi="Calibri" w:cs="Times New Roman"/>
          <w:sz w:val="22"/>
        </w:rPr>
        <w:t xml:space="preserve"> describes the work that has been undertaken to date in the consumer engagement space, existing literature on pre- and post-transplant barriers for Indigenous patients, and overarching data issues.</w:t>
      </w:r>
    </w:p>
    <w:p w14:paraId="2A134334" w14:textId="77777777" w:rsidR="009D683D" w:rsidRPr="009D683D" w:rsidRDefault="009D683D" w:rsidP="00782640">
      <w:pPr>
        <w:numPr>
          <w:ilvl w:val="0"/>
          <w:numId w:val="33"/>
        </w:numPr>
        <w:spacing w:after="0" w:line="276" w:lineRule="auto"/>
        <w:jc w:val="both"/>
        <w:rPr>
          <w:rFonts w:ascii="Calibri" w:eastAsia="Calibri" w:hAnsi="Calibri" w:cs="Times New Roman"/>
          <w:sz w:val="22"/>
        </w:rPr>
      </w:pPr>
      <w:r w:rsidRPr="009D683D">
        <w:rPr>
          <w:rFonts w:ascii="Calibri" w:eastAsia="Calibri" w:hAnsi="Calibri" w:cs="Times New Roman"/>
          <w:b/>
          <w:sz w:val="22"/>
        </w:rPr>
        <w:t>Chapter 3</w:t>
      </w:r>
      <w:r w:rsidRPr="009D683D">
        <w:rPr>
          <w:rFonts w:ascii="Calibri" w:eastAsia="Calibri" w:hAnsi="Calibri" w:cs="Times New Roman"/>
          <w:sz w:val="22"/>
        </w:rPr>
        <w:t xml:space="preserve"> outlines pre-transplant knowledge and data gaps, as well as next steps and recommendations for research, practice and policy.</w:t>
      </w:r>
    </w:p>
    <w:p w14:paraId="4005D91D" w14:textId="77777777" w:rsidR="009D683D" w:rsidRPr="009D683D" w:rsidRDefault="009D683D" w:rsidP="00782640">
      <w:pPr>
        <w:numPr>
          <w:ilvl w:val="0"/>
          <w:numId w:val="33"/>
        </w:numPr>
        <w:spacing w:after="0" w:line="276" w:lineRule="auto"/>
        <w:jc w:val="both"/>
        <w:rPr>
          <w:rFonts w:ascii="Calibri" w:eastAsia="Calibri" w:hAnsi="Calibri" w:cs="Times New Roman"/>
          <w:sz w:val="22"/>
        </w:rPr>
      </w:pPr>
      <w:r w:rsidRPr="009D683D">
        <w:rPr>
          <w:rFonts w:ascii="Calibri" w:eastAsia="Calibri" w:hAnsi="Calibri" w:cs="Times New Roman"/>
          <w:b/>
          <w:sz w:val="22"/>
        </w:rPr>
        <w:t>Chapter 4</w:t>
      </w:r>
      <w:r w:rsidRPr="009D683D">
        <w:rPr>
          <w:rFonts w:ascii="Calibri" w:eastAsia="Calibri" w:hAnsi="Calibri" w:cs="Times New Roman"/>
          <w:sz w:val="22"/>
        </w:rPr>
        <w:t xml:space="preserve"> outlines post-transplant knowledge and data gaps, as well as next steps and recommendations for research, practice and policy.</w:t>
      </w:r>
    </w:p>
    <w:p w14:paraId="3B67025B" w14:textId="77777777" w:rsidR="009D683D" w:rsidRPr="009D683D" w:rsidRDefault="009D683D" w:rsidP="00782640">
      <w:pPr>
        <w:numPr>
          <w:ilvl w:val="0"/>
          <w:numId w:val="33"/>
        </w:numPr>
        <w:spacing w:line="276" w:lineRule="auto"/>
        <w:ind w:left="714" w:hanging="357"/>
        <w:jc w:val="both"/>
        <w:rPr>
          <w:rFonts w:ascii="Calibri" w:eastAsia="Calibri" w:hAnsi="Calibri" w:cs="Times New Roman"/>
          <w:sz w:val="22"/>
        </w:rPr>
      </w:pPr>
      <w:r w:rsidRPr="009D683D">
        <w:rPr>
          <w:rFonts w:ascii="Calibri" w:eastAsia="Calibri" w:hAnsi="Calibri" w:cs="Times New Roman"/>
          <w:b/>
          <w:sz w:val="22"/>
        </w:rPr>
        <w:t xml:space="preserve">Chapter 5 </w:t>
      </w:r>
      <w:r w:rsidRPr="009D683D">
        <w:rPr>
          <w:rFonts w:ascii="Calibri" w:eastAsia="Calibri" w:hAnsi="Calibri" w:cs="Times New Roman"/>
          <w:sz w:val="22"/>
        </w:rPr>
        <w:t xml:space="preserve">presents a summary of the report.  </w:t>
      </w:r>
      <w:r w:rsidRPr="009D683D">
        <w:rPr>
          <w:rFonts w:ascii="Calibri" w:eastAsia="Calibri" w:hAnsi="Calibri" w:cs="Times New Roman"/>
          <w:sz w:val="22"/>
        </w:rPr>
        <w:br w:type="page"/>
      </w:r>
    </w:p>
    <w:p w14:paraId="79D22835" w14:textId="77777777" w:rsidR="009D683D" w:rsidRPr="009D683D" w:rsidRDefault="009D683D" w:rsidP="009D683D">
      <w:pPr>
        <w:keepNext/>
        <w:keepLines/>
        <w:spacing w:before="160" w:after="0"/>
        <w:ind w:left="357" w:hanging="357"/>
        <w:outlineLvl w:val="0"/>
        <w:rPr>
          <w:rFonts w:ascii="Calibri Light" w:eastAsia="Times New Roman" w:hAnsi="Calibri Light" w:cs="Times New Roman"/>
          <w:sz w:val="32"/>
          <w:szCs w:val="32"/>
        </w:rPr>
      </w:pPr>
      <w:bookmarkStart w:id="33" w:name="_Toc2585798"/>
      <w:r w:rsidRPr="009D683D">
        <w:rPr>
          <w:rFonts w:ascii="Calibri Light" w:eastAsia="Times New Roman" w:hAnsi="Calibri Light" w:cs="Times New Roman"/>
          <w:sz w:val="32"/>
          <w:szCs w:val="32"/>
        </w:rPr>
        <w:lastRenderedPageBreak/>
        <w:t>Current Evidence</w:t>
      </w:r>
      <w:bookmarkEnd w:id="33"/>
    </w:p>
    <w:p w14:paraId="0E5D8094" w14:textId="77777777" w:rsidR="009D683D" w:rsidRPr="009D683D" w:rsidRDefault="009D683D" w:rsidP="009D683D">
      <w:pPr>
        <w:keepNext/>
        <w:keepLines/>
        <w:numPr>
          <w:ilvl w:val="1"/>
          <w:numId w:val="0"/>
        </w:numPr>
        <w:spacing w:before="40" w:after="0"/>
        <w:ind w:left="576" w:hanging="576"/>
        <w:outlineLvl w:val="1"/>
        <w:rPr>
          <w:rFonts w:ascii="Calibri Light" w:eastAsia="Times New Roman" w:hAnsi="Calibri Light" w:cs="Times New Roman"/>
          <w:sz w:val="26"/>
          <w:szCs w:val="26"/>
        </w:rPr>
      </w:pPr>
      <w:bookmarkStart w:id="34" w:name="_Toc2585799"/>
      <w:r w:rsidRPr="009D683D">
        <w:rPr>
          <w:rFonts w:ascii="Calibri Light" w:eastAsia="Times New Roman" w:hAnsi="Calibri Light" w:cs="Times New Roman"/>
          <w:sz w:val="26"/>
          <w:szCs w:val="26"/>
        </w:rPr>
        <w:t>Consumer Engagement</w:t>
      </w:r>
      <w:bookmarkEnd w:id="34"/>
    </w:p>
    <w:p w14:paraId="341A630A"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Historically, much of the focus on the performance of the health care system has been from the perspective of the providers and funders. More recently, the active involvement of consumers and community has become central to both health care service provision and research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&lt;EndNote&gt;&lt;Cite&gt;&lt;Author&gt;ACSQHC&lt;/Author&gt;&lt;Year&gt;2017&lt;/Year&gt;&lt;RecNum&gt;378&lt;/RecNum&gt;&lt;DisplayText&gt;(ACSQHC, 2017)&lt;/DisplayText&gt;&lt;record&gt;&lt;rec-number&gt;378&lt;/rec-number&gt;&lt;foreign-keys&gt;&lt;key app="EN" db-id="ews5ve9enfwav7etdtjvztfdrftvwrf9vrsx" timestamp="1547513317"&gt;378&lt;/key&gt;&lt;/foreign-keys&gt;&lt;ref-type name="Government Document"&gt;46&lt;/ref-type&gt;&lt;contributors&gt;&lt;authors&gt;&lt;author&gt;ACSQHC&lt;/author&gt;&lt;/authors&gt;&lt;secondary-authors&gt;&lt;author&gt;Australian Commission on Safety and Quality in Health Care&lt;/author&gt;&lt;/secondary-authors&gt;&lt;/contributors&gt;&lt;titles&gt;&lt;title&gt;National Safety and Quality Health Service Standards: User Guide for Aboriginal and Torres Strait Islander Health&lt;/title&gt;&lt;/titles&gt;&lt;dates&gt;&lt;year&gt;2017&lt;/year&gt;&lt;/dates&gt;&lt;pub-location&gt;Sydney, Australia&lt;/pub-location&gt;&lt;publisher&gt;Australian Commission on Safety and Quality in Health Care&lt;/publisher&gt;&lt;urls&gt;&lt;related-urls&gt;&lt;url&gt;https://www.safetyandquality.gov.au/our-work/assessment-to-the-nsqhs-standards/improving-care-for-aboriginal-and-torres-strait-islander-people/&lt;/url&gt;&lt;/related-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(ACSQHC, 2017)</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Over the past decade extensive consumer engagement research has been undertaken within the Indigenous ESKD patient population, and much is now known about the experiences of Indigenous dialysis patients, particularly perceptions of key barriers to treatment and support (Devitt et al., 2008; Dwyer et al., 2011; Hughes, </w:t>
      </w:r>
      <w:proofErr w:type="spellStart"/>
      <w:r w:rsidRPr="009D683D">
        <w:rPr>
          <w:rFonts w:ascii="Calibri" w:eastAsia="Calibri" w:hAnsi="Calibri" w:cs="Times New Roman"/>
          <w:sz w:val="22"/>
        </w:rPr>
        <w:t>Dembski</w:t>
      </w:r>
      <w:proofErr w:type="spellEnd"/>
      <w:r w:rsidRPr="009D683D">
        <w:rPr>
          <w:rFonts w:ascii="Calibri" w:eastAsia="Calibri" w:hAnsi="Calibri" w:cs="Times New Roman"/>
          <w:sz w:val="22"/>
        </w:rPr>
        <w:t xml:space="preserve"> et al., 2018; </w:t>
      </w:r>
      <w:r w:rsidRPr="009D683D">
        <w:rPr>
          <w:rFonts w:ascii="Calibri" w:eastAsia="Calibri" w:hAnsi="Calibri" w:cs="Times New Roman"/>
          <w:noProof/>
          <w:sz w:val="22"/>
        </w:rPr>
        <w:t xml:space="preserve">Hughes, Kelly, Mick-Ramsamy, &amp; Mills, 2018; </w:t>
      </w:r>
      <w:r w:rsidRPr="009D683D">
        <w:rPr>
          <w:rFonts w:ascii="Calibri" w:eastAsia="Calibri" w:hAnsi="Calibri" w:cs="Times New Roman"/>
          <w:sz w:val="22"/>
        </w:rPr>
        <w:t xml:space="preserve">Kelly et al., 2015; KHA, 2018; Kirkham et al., 2018; </w:t>
      </w:r>
      <w:proofErr w:type="spellStart"/>
      <w:r w:rsidRPr="009D683D">
        <w:rPr>
          <w:rFonts w:ascii="Calibri" w:eastAsia="Calibri" w:hAnsi="Calibri" w:cs="Times New Roman"/>
          <w:sz w:val="22"/>
        </w:rPr>
        <w:t>Togni</w:t>
      </w:r>
      <w:proofErr w:type="spellEnd"/>
      <w:r w:rsidRPr="009D683D">
        <w:rPr>
          <w:rFonts w:ascii="Calibri" w:eastAsia="Calibri" w:hAnsi="Calibri" w:cs="Times New Roman"/>
          <w:sz w:val="22"/>
        </w:rPr>
        <w:t xml:space="preserve"> et al., 2017). A clear and consistent message from these research activities has been a high degree of interest in kidney transplantation among Indigenous dialysis patients and their families. </w:t>
      </w:r>
    </w:p>
    <w:p w14:paraId="73565617"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This chapter outlines seven consumer engagement projects that focus on the subjective experiences of Indigenous ESKD patients, their families and communities. While these projects utilise disparate methodologies and explore different issues and themes, they all share one commonality: the experiences and insights of the consumer (i.e. patients, families and carers) are prioritised and harnessed to guide the direction of the research and subsequent recommendations for policy and practice.</w:t>
      </w:r>
    </w:p>
    <w:p w14:paraId="523199EE" w14:textId="77777777" w:rsidR="009D683D" w:rsidRPr="009D683D" w:rsidRDefault="009D683D" w:rsidP="009D683D">
      <w:pPr>
        <w:keepNext/>
        <w:keepLines/>
        <w:numPr>
          <w:ilvl w:val="2"/>
          <w:numId w:val="0"/>
        </w:numPr>
        <w:spacing w:before="40" w:after="0"/>
        <w:ind w:left="720" w:hanging="720"/>
        <w:outlineLvl w:val="2"/>
        <w:rPr>
          <w:rFonts w:ascii="Calibri Light" w:eastAsia="Times New Roman" w:hAnsi="Calibri Light" w:cs="Times New Roman"/>
          <w:sz w:val="24"/>
          <w:szCs w:val="24"/>
        </w:rPr>
      </w:pPr>
      <w:bookmarkStart w:id="35" w:name="_Toc2585800"/>
      <w:r w:rsidRPr="009D683D">
        <w:rPr>
          <w:rFonts w:ascii="Calibri Light" w:eastAsia="Times New Roman" w:hAnsi="Calibri Light" w:cs="Times New Roman"/>
          <w:sz w:val="24"/>
          <w:szCs w:val="24"/>
        </w:rPr>
        <w:t>Catching Some Air – Asserting Indigenous Information Rights in Renal Disease</w:t>
      </w:r>
      <w:bookmarkEnd w:id="35"/>
    </w:p>
    <w:p w14:paraId="53EB16C0"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The Catching Some Air project, led by the Menzies School of Health Research, is due to be completed in May 2019. This project’s primary focus is consulting with the Indigenous CKD/ESKD community to obtain guidance on:</w:t>
      </w:r>
    </w:p>
    <w:p w14:paraId="7CD4B50A" w14:textId="77777777" w:rsidR="009D683D" w:rsidRPr="009D683D" w:rsidRDefault="009D683D" w:rsidP="00782640">
      <w:pPr>
        <w:numPr>
          <w:ilvl w:val="0"/>
          <w:numId w:val="37"/>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The development of an Indigenous data governance framework and implementation processes within the ANZDATA Registry; and</w:t>
      </w:r>
    </w:p>
    <w:p w14:paraId="0732330D" w14:textId="26FF5E40" w:rsidR="009D683D" w:rsidRDefault="009D683D" w:rsidP="00782640">
      <w:pPr>
        <w:numPr>
          <w:ilvl w:val="0"/>
          <w:numId w:val="37"/>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 xml:space="preserve">How to create effective, safe, culturally appropriate health systems for patients and communities most impacted by kidney disease. These recommendations will feed into the Kidney Health Australia – Caring for Australasians with Renal Impairment (KHA-CARI) Guideline for Management of CKD in Aboriginal and Torres Strait Islander and Maori peoples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&lt;EndNote&gt;&lt;Cite&gt;&lt;Author&gt;Hughes&lt;/Author&gt;&lt;Year&gt;2018&lt;/Year&gt;&lt;RecNum&gt;321&lt;/RecNum&gt;&lt;DisplayText&gt;(Duff, Jesudason, Howell, &amp;amp; Hughes, 2018; Hughes, Kelly, Mick-Ramsamy, &amp;amp; Mills, 2018)&lt;/DisplayText&gt;&lt;record&gt;&lt;rec-number&gt;321&lt;/rec-number&gt;&lt;foreign-keys&gt;&lt;key app="EN" db-id="ews5ve9enfwav7etdtjvztfdrftvwrf9vrsx" timestamp="1545365373"&gt;321&lt;/key&gt;&lt;/foreign-keys&gt;&lt;ref-type name="Government Document"&gt;46&lt;/ref-type&gt;&lt;contributors&gt;&lt;authors&gt;&lt;author&gt;Hughes, J. T.&lt;/author&gt;&lt;author&gt;Kelly, J.&lt;/author&gt;&lt;author&gt;Mick-Ramsamy, L.&lt;/author&gt;&lt;author&gt;Mills, P.&lt;/author&gt;&lt;/authors&gt;&lt;/contributors&gt;&lt;titles&gt;&lt;title&gt;Summary Report, Thursday Island, Catching Some Air - Asserting Aboriginal and Torres Strait Islander Information Rights in Renal Disease&lt;/title&gt;&lt;/titles&gt;&lt;dates&gt;&lt;year&gt;2018&lt;/year&gt;&lt;/dates&gt;&lt;pub-location&gt;Darwin&lt;/pub-location&gt;&lt;publisher&gt;Menzies School of Health Research&lt;/publisher&gt;&lt;urls&gt;&lt;/urls&gt;&lt;/record&gt;&lt;/Cite&gt;&lt;Cite&gt;&lt;Author&gt;Duff&lt;/Author&gt;&lt;Year&gt;2018&lt;/Year&gt;&lt;RecNum&gt;364&lt;/RecNum&gt;&lt;record&gt;&lt;rec-number&gt;364&lt;/rec-number&gt;&lt;foreign-keys&gt;&lt;key app="EN" db-id="ews5ve9enfwav7etdtjvztfdrftvwrf9vrsx" timestamp="1546919839"&gt;364&lt;/key&gt;&lt;/foreign-keys&gt;&lt;ref-type name="Journal Article"&gt;17&lt;/ref-type&gt;&lt;contributors&gt;&lt;authors&gt;&lt;author&gt;Duff, D.&lt;/author&gt;&lt;author&gt;Jesudason, Shilpanjali.&lt;/author&gt;&lt;author&gt;Howell, M.&lt;/author&gt;&lt;author&gt;Hughes, J. T.&lt;/author&gt;&lt;/authors&gt;&lt;/contributors&gt;&lt;titles&gt;&lt;title&gt;A partnership approach to engage Aboriginal and Torres Strait Islander peoples with clinical guideline development for chronic kidney disease&lt;/title&gt;&lt;secondary-title&gt;Renal Society of Australasia Journal&lt;/secondary-title&gt;&lt;alt-title&gt;Renal Society of Australasia Journal&lt;/alt-title&gt;&lt;/titles&gt;&lt;periodical&gt;&lt;full-title&gt;Renal Society of Australasia Journal&lt;/full-title&gt;&lt;abbr-1&gt;Renal Society of Australasia Journal&lt;/abbr-1&gt;&lt;/periodical&gt;&lt;alt-periodical&gt;&lt;full-title&gt;Renal Society of Australasia Journal&lt;/full-title&gt;&lt;abbr-1&gt;Renal Society of Australasia Journal&lt;/abbr-1&gt;&lt;/alt-periodical&gt;&lt;pages&gt;84-88&lt;/pages&gt;&lt;volume&gt;14&lt;/volume&gt;&lt;dates&gt;&lt;year&gt;2018&lt;/year&gt;&lt;/dates&gt;&lt;urls&gt;&lt;/urls&gt;&lt;/record&gt;&lt;/Cite&gt;&lt;/EndNote&gt;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(Duff, Jesudason, Howell, &amp; Hughes, 2018; Hughes, Kelly, Mick-Ramsamy, &amp; Mills, 2018)</w:t>
      </w:r>
      <w:r w:rsidRPr="009D683D">
        <w:rPr>
          <w:rFonts w:ascii="Calibri" w:eastAsia="Calibri" w:hAnsi="Calibri" w:cs="Times New Roman"/>
          <w:sz w:val="22"/>
        </w:rPr>
        <w:fldChar w:fldCharType="end"/>
      </w:r>
      <w:r w:rsidRPr="009D683D">
        <w:rPr>
          <w:rFonts w:ascii="Calibri" w:eastAsia="Calibri" w:hAnsi="Calibri" w:cs="Times New Roman"/>
          <w:sz w:val="22"/>
        </w:rPr>
        <w:t>.</w:t>
      </w:r>
    </w:p>
    <w:p w14:paraId="2DCF742D" w14:textId="77777777" w:rsidR="00AB0366" w:rsidRPr="009D683D" w:rsidRDefault="00AB0366" w:rsidP="00AB0366">
      <w:pPr>
        <w:spacing w:line="276" w:lineRule="auto"/>
        <w:ind w:left="720"/>
        <w:contextualSpacing/>
        <w:jc w:val="both"/>
        <w:rPr>
          <w:rFonts w:ascii="Calibri" w:eastAsia="Calibri" w:hAnsi="Calibri" w:cs="Times New Roman"/>
          <w:sz w:val="22"/>
        </w:rPr>
      </w:pPr>
    </w:p>
    <w:p w14:paraId="1230DF87" w14:textId="77777777" w:rsidR="00AB0366" w:rsidRDefault="009D683D" w:rsidP="009D683D">
      <w:pPr>
        <w:spacing w:after="120" w:line="276" w:lineRule="auto"/>
        <w:jc w:val="both"/>
        <w:rPr>
          <w:rFonts w:ascii="Calibri" w:eastAsia="Calibri" w:hAnsi="Calibri" w:cs="Times New Roman"/>
          <w:sz w:val="22"/>
        </w:rPr>
      </w:pPr>
      <w:r w:rsidRPr="009D683D">
        <w:rPr>
          <w:rFonts w:ascii="Calibri" w:eastAsia="Calibri" w:hAnsi="Calibri" w:cs="Times New Roman"/>
          <w:noProof/>
          <w:sz w:val="22"/>
          <w:lang w:eastAsia="en-AU"/>
        </w:rPr>
        <mc:AlternateContent>
          <mc:Choice Requires="wps">
            <w:drawing>
              <wp:inline distT="0" distB="0" distL="0" distR="0" wp14:anchorId="6584121D" wp14:editId="2D33603A">
                <wp:extent cx="5715000" cy="1638300"/>
                <wp:effectExtent l="0" t="0" r="19050" b="190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638300"/>
                        </a:xfrm>
                        <a:prstGeom prst="rect">
                          <a:avLst/>
                        </a:prstGeom>
                        <a:solidFill>
                          <a:srgbClr val="70AD47">
                            <a:lumMod val="20000"/>
                            <a:lumOff val="80000"/>
                          </a:srgbClr>
                        </a:solidFill>
                        <a:ln w="9525">
                          <a:solidFill>
                            <a:srgbClr val="000000"/>
                          </a:solidFill>
                          <a:miter lim="800000"/>
                          <a:headEnd/>
                          <a:tailEnd/>
                        </a:ln>
                      </wps:spPr>
                      <wps:txbx>
                        <w:txbxContent>
                          <w:p w14:paraId="19F2DDA7" w14:textId="77777777" w:rsidR="00A41391" w:rsidRPr="00BB1690" w:rsidRDefault="00A41391" w:rsidP="009D683D">
                            <w:pPr>
                              <w:spacing w:line="276" w:lineRule="auto"/>
                              <w:jc w:val="both"/>
                              <w:rPr>
                                <w:b/>
                                <w:sz w:val="24"/>
                              </w:rPr>
                            </w:pPr>
                            <w:r w:rsidRPr="00BB1690">
                              <w:rPr>
                                <w:b/>
                                <w:sz w:val="24"/>
                              </w:rPr>
                              <w:t xml:space="preserve">Box </w:t>
                            </w:r>
                            <w:r>
                              <w:rPr>
                                <w:b/>
                                <w:sz w:val="24"/>
                              </w:rPr>
                              <w:t>2</w:t>
                            </w:r>
                            <w:r w:rsidRPr="00BB1690">
                              <w:rPr>
                                <w:b/>
                                <w:sz w:val="24"/>
                              </w:rPr>
                              <w:t>: Catching Some Air transplant-related recommendations</w:t>
                            </w:r>
                          </w:p>
                          <w:p w14:paraId="152E132E" w14:textId="77777777" w:rsidR="00A41391" w:rsidRDefault="00A41391" w:rsidP="00782640">
                            <w:pPr>
                              <w:pStyle w:val="ListParagraph"/>
                              <w:numPr>
                                <w:ilvl w:val="0"/>
                                <w:numId w:val="35"/>
                              </w:numPr>
                              <w:spacing w:line="276" w:lineRule="auto"/>
                              <w:jc w:val="both"/>
                            </w:pPr>
                            <w:r>
                              <w:t xml:space="preserve">Community-based education is important, not only to prevent ESKD, but to learn about the available treatment options, including the transplantation pathway. </w:t>
                            </w:r>
                          </w:p>
                          <w:p w14:paraId="23A29871" w14:textId="77777777" w:rsidR="00A41391" w:rsidRDefault="00A41391" w:rsidP="00782640">
                            <w:pPr>
                              <w:pStyle w:val="ListParagraph"/>
                              <w:numPr>
                                <w:ilvl w:val="0"/>
                                <w:numId w:val="35"/>
                              </w:numPr>
                              <w:spacing w:line="276" w:lineRule="auto"/>
                              <w:jc w:val="both"/>
                            </w:pPr>
                            <w:r>
                              <w:t>Transplant care guidelines need to adopt a holistic approach that reflects Indigenous patients, families and communities’ world view.</w:t>
                            </w:r>
                          </w:p>
                          <w:p w14:paraId="2FBEDA87" w14:textId="77777777" w:rsidR="00A41391" w:rsidRDefault="00A41391" w:rsidP="00782640">
                            <w:pPr>
                              <w:pStyle w:val="ListParagraph"/>
                              <w:numPr>
                                <w:ilvl w:val="0"/>
                                <w:numId w:val="35"/>
                              </w:numPr>
                              <w:spacing w:line="276" w:lineRule="auto"/>
                              <w:jc w:val="both"/>
                            </w:pPr>
                            <w:r>
                              <w:t xml:space="preserve">Indigenous ESKD patients should be supported to receive post-transplant care and treatment in their community, in a way that supports them to ‘live with culture’. </w:t>
                            </w:r>
                          </w:p>
                          <w:p w14:paraId="47D23EB7" w14:textId="77777777" w:rsidR="00A41391" w:rsidRDefault="00A41391" w:rsidP="009D683D">
                            <w:pPr>
                              <w:spacing w:line="276" w:lineRule="auto"/>
                              <w:jc w:val="both"/>
                            </w:pPr>
                          </w:p>
                        </w:txbxContent>
                      </wps:txbx>
                      <wps:bodyPr rot="0" vert="horz" wrap="square" lIns="91440" tIns="45720" rIns="91440" bIns="45720" anchor="t" anchorCtr="0">
                        <a:noAutofit/>
                      </wps:bodyPr>
                    </wps:wsp>
                  </a:graphicData>
                </a:graphic>
              </wp:inline>
            </w:drawing>
          </mc:Choice>
          <mc:Fallback>
            <w:pict>
              <v:shape w14:anchorId="6584121D" id="Text Box 2" o:spid="_x0000_s1030" type="#_x0000_t202" style="width:450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" fillcolor="#e2f0d9">
                <v:textbox>
                  <w:txbxContent>
                    <w:p w14:paraId="19F2DDA7" w14:textId="77777777" w:rsidR="00A41391" w:rsidRPr="00BB1690" w:rsidRDefault="00A41391" w:rsidP="009D683D">
                      <w:pPr>
                        <w:spacing w:line="276" w:lineRule="auto"/>
                        <w:jc w:val="both"/>
                        <w:rPr>
                          <w:b/>
                          <w:sz w:val="24"/>
                        </w:rPr>
                      </w:pPr>
                      <w:r w:rsidRPr="00BB1690">
                        <w:rPr>
                          <w:b/>
                          <w:sz w:val="24"/>
                        </w:rPr>
                        <w:t xml:space="preserve">Box </w:t>
                      </w:r>
                      <w:r>
                        <w:rPr>
                          <w:b/>
                          <w:sz w:val="24"/>
                        </w:rPr>
                        <w:t>2</w:t>
                      </w:r>
                      <w:r w:rsidRPr="00BB1690">
                        <w:rPr>
                          <w:b/>
                          <w:sz w:val="24"/>
                        </w:rPr>
                        <w:t>: Catching Some Air transplant-related recommendations</w:t>
                      </w:r>
                    </w:p>
                    <w:p w14:paraId="152E132E" w14:textId="77777777" w:rsidR="00A41391" w:rsidRDefault="00A41391" w:rsidP="00782640">
                      <w:pPr>
                        <w:pStyle w:val="ListParagraph"/>
                        <w:numPr>
                          <w:ilvl w:val="0"/>
                          <w:numId w:val="35"/>
                        </w:numPr>
                        <w:spacing w:line="276" w:lineRule="auto"/>
                        <w:jc w:val="both"/>
                      </w:pPr>
                      <w:r>
                        <w:t xml:space="preserve">Community-based education is important, not only to prevent ESKD, but to learn about the available treatment options, including the transplantation pathway. </w:t>
                      </w:r>
                    </w:p>
                    <w:p w14:paraId="23A29871" w14:textId="77777777" w:rsidR="00A41391" w:rsidRDefault="00A41391" w:rsidP="00782640">
                      <w:pPr>
                        <w:pStyle w:val="ListParagraph"/>
                        <w:numPr>
                          <w:ilvl w:val="0"/>
                          <w:numId w:val="35"/>
                        </w:numPr>
                        <w:spacing w:line="276" w:lineRule="auto"/>
                        <w:jc w:val="both"/>
                      </w:pPr>
                      <w:r>
                        <w:t>Transplant care guidelines need to adopt a holistic approach that reflects Indigenous patients, families and communities’ world view.</w:t>
                      </w:r>
                    </w:p>
                    <w:p w14:paraId="2FBEDA87" w14:textId="77777777" w:rsidR="00A41391" w:rsidRDefault="00A41391" w:rsidP="00782640">
                      <w:pPr>
                        <w:pStyle w:val="ListParagraph"/>
                        <w:numPr>
                          <w:ilvl w:val="0"/>
                          <w:numId w:val="35"/>
                        </w:numPr>
                        <w:spacing w:line="276" w:lineRule="auto"/>
                        <w:jc w:val="both"/>
                      </w:pPr>
                      <w:r>
                        <w:t xml:space="preserve">Indigenous ESKD patients should be supported to receive post-transplant care and treatment in their community, in a way that supports them to ‘live with culture’. </w:t>
                      </w:r>
                    </w:p>
                    <w:p w14:paraId="47D23EB7" w14:textId="77777777" w:rsidR="00A41391" w:rsidRDefault="00A41391" w:rsidP="009D683D">
                      <w:pPr>
                        <w:spacing w:line="276" w:lineRule="auto"/>
                        <w:jc w:val="both"/>
                      </w:pPr>
                    </w:p>
                  </w:txbxContent>
                </v:textbox>
                <w10:anchorlock/>
              </v:shape>
            </w:pict>
          </mc:Fallback>
        </mc:AlternateContent>
      </w:r>
    </w:p>
    <w:p w14:paraId="2BDD3B49" w14:textId="04502890" w:rsidR="009D683D" w:rsidRPr="009D683D" w:rsidRDefault="009D683D" w:rsidP="009D683D">
      <w:pPr>
        <w:spacing w:after="120" w:line="276" w:lineRule="auto"/>
        <w:jc w:val="both"/>
        <w:rPr>
          <w:rFonts w:ascii="Calibri" w:eastAsia="Calibri" w:hAnsi="Calibri" w:cs="Times New Roman"/>
          <w:sz w:val="22"/>
        </w:rPr>
      </w:pPr>
      <w:r w:rsidRPr="009D683D">
        <w:rPr>
          <w:rFonts w:ascii="Calibri" w:eastAsia="Calibri" w:hAnsi="Calibri" w:cs="Times New Roman"/>
          <w:sz w:val="22"/>
        </w:rPr>
        <w:t xml:space="preserve">Consultation meetings in three main sites, Darwin, Alice Springs and Thursday Island, comprise the main method of gathering evidence to inform the aforementioned initiatives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&lt;EndNote&gt;&lt;Cite&gt;&lt;Author&gt;Hughes&lt;/Author&gt;&lt;Year&gt;2018&lt;/Year&gt;&lt;RecNum&gt;321&lt;/RecNum&gt;&lt;DisplayText&gt;(Hughes, Kelly, et al., 2018)&lt;/DisplayText&gt;&lt;record&gt;&lt;rec-number&gt;321&lt;/rec-number&gt;&lt;foreign-keys&gt;&lt;key app="EN" db-id="ews5ve9enfwav7etdtjvztfdrftvwrf9vrsx" timestamp="1545365373"&gt;321&lt;/key&gt;&lt;/foreign-keys&gt;&lt;ref-type name="Government Document"&gt;46&lt;/ref-type&gt;&lt;contributors&gt;&lt;authors&gt;&lt;author&gt;Hughes, J. T.&lt;/author&gt;&lt;author&gt;Kelly, J.&lt;/author&gt;&lt;author&gt;Mick-Ramsamy, L.&lt;/author&gt;&lt;author&gt;Mills, P.&lt;/author&gt;&lt;/authors&gt;&lt;/contributors&gt;&lt;titles&gt;&lt;title&gt;Summary Report, Thursday Island, Catching Some Air - Asserting Aboriginal and Torres Strait Islander Information Rights in Renal Disease&lt;/title&gt;&lt;/titles&gt;&lt;dates&gt;&lt;year&gt;2018&lt;/year&gt;&lt;/dates&gt;&lt;pub-location&gt;Darwin&lt;/pub-location&gt;&lt;publisher&gt;Menzies School of Health Research&lt;/publisher&gt;&lt;urls&gt;&lt;/urls&gt;&lt;/record&gt;&lt;/Cite&gt;&lt;/EndNote&gt;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(Hughes, Kelly, et al., 2018)</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A number of secondary consultation sites will also be used to test the consolidated recommendations provided by the three main sites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&lt;EndNote&gt;&lt;Cite&gt;&lt;Author&gt;Hughes&lt;/Author&gt;&lt;Year&gt;2018&lt;/Year&gt;&lt;RecNum&gt;321&lt;/RecNum&gt;&lt;DisplayText&gt;(Hughes, Kelly, et al., 2018)&lt;/DisplayText&gt;&lt;record&gt;&lt;rec-number&gt;321&lt;/rec-number&gt;&lt;foreign-keys&gt;&lt;key app="EN" db-id="ews5ve9enfwav7etdtjvztfdrftvwrf9vrsx" timestamp="1545365373"&gt;321&lt;/key&gt;&lt;/foreign-keys&gt;&lt;ref-type name="Government Document"&gt;46&lt;/ref-type&gt;&lt;contributors&gt;&lt;authors&gt;&lt;author&gt;Hughes, J. T.&lt;/author&gt;&lt;author&gt;Kelly, J.&lt;/author&gt;&lt;author&gt;Mick-Ramsamy, L.&lt;/author&gt;&lt;author&gt;Mills, P.&lt;/author&gt;&lt;/authors&gt;&lt;/contributors&gt;&lt;titles&gt;&lt;title&gt;Summary Report, Thursday Island, Catching Some Air - Asserting Aboriginal and Torres Strait Islander Information Rights in Renal Disease&lt;/title&gt;&lt;/titles&gt;&lt;dates&gt;&lt;year&gt;2018&lt;/year&gt;&lt;/dates&gt;&lt;pub-location&gt;Darwin&lt;/pub-location&gt;&lt;publisher&gt;Menzies School of Health Research&lt;/publisher&gt;&lt;urls&gt;&lt;/urls&gt;&lt;/record&gt;&lt;/Cite&gt;&lt;/EndNote&gt;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(Hughes, Kelly, et al., 2018)</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t>
      </w:r>
    </w:p>
    <w:p w14:paraId="613836E2" w14:textId="77777777" w:rsidR="009D683D" w:rsidRPr="009D683D" w:rsidRDefault="009D683D" w:rsidP="009D683D">
      <w:pPr>
        <w:keepNext/>
        <w:keepLines/>
        <w:numPr>
          <w:ilvl w:val="2"/>
          <w:numId w:val="0"/>
        </w:numPr>
        <w:spacing w:before="40" w:after="0"/>
        <w:ind w:left="720" w:hanging="720"/>
        <w:outlineLvl w:val="2"/>
        <w:rPr>
          <w:rFonts w:ascii="Calibri Light" w:eastAsia="Times New Roman" w:hAnsi="Calibri Light" w:cs="Times New Roman"/>
          <w:sz w:val="24"/>
          <w:szCs w:val="24"/>
        </w:rPr>
      </w:pPr>
      <w:bookmarkStart w:id="36" w:name="_Toc2585801"/>
      <w:r w:rsidRPr="009D683D">
        <w:rPr>
          <w:rFonts w:ascii="Calibri Light" w:eastAsia="Times New Roman" w:hAnsi="Calibri Light" w:cs="Times New Roman"/>
          <w:sz w:val="24"/>
          <w:szCs w:val="24"/>
        </w:rPr>
        <w:lastRenderedPageBreak/>
        <w:t>Kidney Health Australia’s Indigenous Community Consultations</w:t>
      </w:r>
      <w:bookmarkEnd w:id="36"/>
    </w:p>
    <w:p w14:paraId="449E745D"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Complementing the Catching Some Air project in the Northern Territory, Kidney Health Australia (KHA) is currently conducting a series of community consultations in 16-18 non-Northern Territory Indigenous communities around Australia to further inform the development of the KHA-CARI Guideline for Management of CKD in Aboriginal and Torres Strait Islander peoples. These community consultations, also referred to as ‘yarning circles’, are part of a 2-year federally-funded program, supported by the office of the Indigenous Health Minister, the Hon Ken Wyatt MP. The consultations have two specific aims:</w:t>
      </w:r>
    </w:p>
    <w:p w14:paraId="0DE2DBB8" w14:textId="77777777" w:rsidR="009D683D" w:rsidRPr="009D683D" w:rsidRDefault="009D683D" w:rsidP="00782640">
      <w:pPr>
        <w:numPr>
          <w:ilvl w:val="0"/>
          <w:numId w:val="38"/>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To seek feedback and advice on the focus and content of the proposed KHA-CARI clinical guideline for the Management of CKD among Aboriginal and Torres Strait Islander Peoples; and</w:t>
      </w:r>
    </w:p>
    <w:p w14:paraId="5313E3B4" w14:textId="77777777" w:rsidR="009D683D" w:rsidRPr="009D683D" w:rsidRDefault="009D683D" w:rsidP="00782640">
      <w:pPr>
        <w:numPr>
          <w:ilvl w:val="0"/>
          <w:numId w:val="38"/>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 xml:space="preserve">To seek feedback and advice on the opportunities for translation of the new clinical guideline into culturally-safe consumer information, tools and education materials (KHA, 2018). </w:t>
      </w:r>
    </w:p>
    <w:p w14:paraId="3D1363A1"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The methodology for this project is outlined in Duff et al. (2018), and is underpinned by local Indigenous governance and clear pathways for feedback to community. Local Aboriginal and Torres Strait Islander Reference Groups will be identified and established in the selected urban and regional communities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&lt;EndNote&gt;&lt;Cite&gt;&lt;Author&gt;KHA&lt;/Author&gt;&lt;Year&gt;2018&lt;/Year&gt;&lt;RecNum&gt;362&lt;/RecNum&gt;&lt;DisplayText&gt;(KHA, 2018a)&lt;/DisplayText&gt;&lt;record&gt;&lt;rec-number&gt;362&lt;/rec-number&gt;&lt;foreign-keys&gt;&lt;key app="EN" db-id="ews5ve9enfwav7etdtjvztfdrftvwrf9vrsx" timestamp="1546839180"&gt;362&lt;/key&gt;&lt;/foreign-keys&gt;&lt;ref-type name="Unpublished Work"&gt;34&lt;/ref-type&gt;&lt;contributors&gt;&lt;authors&gt;&lt;author&gt;KHA&lt;/author&gt;&lt;/authors&gt;&lt;/contributors&gt;&lt;titles&gt;&lt;title&gt;KHA-CARI Indigenous Guidelines: Australian Community Consultation Methodology&lt;/title&gt;&lt;/titles&gt;&lt;dates&gt;&lt;year&gt;2018&lt;/year&gt;&lt;/dates&gt;&lt;publisher&gt;Kidney Health Australia&lt;/publisher&gt;&lt;urls&gt;&lt;/urls&gt;&lt;/record&gt;&lt;/Cite&gt;&lt;/EndNote&gt;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(KHA, 2018a)</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The Reference Groups’ role will be to provide input on the questions and format of the consultation in each site, inform Elders and other relevant community members about the consultation and invite them to be involved, and provide feedback on draft consultation reports which will be developed for each site based on specific needs at that site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&lt;EndNote&gt;&lt;Cite&gt;&lt;Author&gt;KHA&lt;/Author&gt;&lt;Year&gt;2018&lt;/Year&gt;&lt;RecNum&gt;362&lt;/RecNum&gt;&lt;DisplayText&gt;(KHA, 2018a)&lt;/DisplayText&gt;&lt;record&gt;&lt;rec-number&gt;362&lt;/rec-number&gt;&lt;foreign-keys&gt;&lt;key app="EN" db-id="ews5ve9enfwav7etdtjvztfdrftvwrf9vrsx" timestamp="1546839180"&gt;362&lt;/key&gt;&lt;/foreign-keys&gt;&lt;ref-type name="Unpublished Work"&gt;34&lt;/ref-type&gt;&lt;contributors&gt;&lt;authors&gt;&lt;author&gt;KHA&lt;/author&gt;&lt;/authors&gt;&lt;/contributors&gt;&lt;titles&gt;&lt;title&gt;KHA-CARI Indigenous Guidelines: Australian Community Consultation Methodology&lt;/title&gt;&lt;/titles&gt;&lt;dates&gt;&lt;year&gt;2018&lt;/year&gt;&lt;/dates&gt;&lt;publisher&gt;Kidney Health Australia&lt;/publisher&gt;&lt;urls&gt;&lt;/urls&gt;&lt;/record&gt;&lt;/Cite&gt;&lt;/EndNote&gt;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(KHA, 2018a)</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Consultations will be co-convened by a lead clinical contact or researcher in partnership with a local Indigenous community contact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&lt;EndNote&gt;&lt;Cite&gt;&lt;Author&gt;KHA&lt;/Author&gt;&lt;Year&gt;2018&lt;/Year&gt;&lt;RecNum&gt;362&lt;/RecNum&gt;&lt;DisplayText&gt;(KHA, 2018a)&lt;/DisplayText&gt;&lt;record&gt;&lt;rec-number&gt;362&lt;/rec-number&gt;&lt;foreign-keys&gt;&lt;key app="EN" db-id="ews5ve9enfwav7etdtjvztfdrftvwrf9vrsx" timestamp="1546839180"&gt;362&lt;/key&gt;&lt;/foreign-keys&gt;&lt;ref-type name="Unpublished Work"&gt;34&lt;/ref-type&gt;&lt;contributors&gt;&lt;authors&gt;&lt;author&gt;KHA&lt;/author&gt;&lt;/authors&gt;&lt;/contributors&gt;&lt;titles&gt;&lt;title&gt;KHA-CARI Indigenous Guidelines: Australian Community Consultation Methodology&lt;/title&gt;&lt;/titles&gt;&lt;dates&gt;&lt;year&gt;2018&lt;/year&gt;&lt;/dates&gt;&lt;publisher&gt;Kidney Health Australia&lt;/publisher&gt;&lt;urls&gt;&lt;/urls&gt;&lt;/record&gt;&lt;/Cite&gt;&lt;/EndNote&gt;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(KHA, 2018a)</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Consultations will include discussions around the scope, content and implementation of the KHA-CARI CKD management guidelines, in addition to general discussions about renal care including transplantation. </w:t>
      </w:r>
    </w:p>
    <w:p w14:paraId="2BE1FF44" w14:textId="77777777" w:rsidR="009D683D" w:rsidRPr="009D683D" w:rsidRDefault="009D683D" w:rsidP="009D683D">
      <w:pPr>
        <w:keepNext/>
        <w:keepLines/>
        <w:numPr>
          <w:ilvl w:val="2"/>
          <w:numId w:val="0"/>
        </w:numPr>
        <w:spacing w:before="40" w:after="0"/>
        <w:ind w:left="720" w:hanging="720"/>
        <w:outlineLvl w:val="2"/>
        <w:rPr>
          <w:rFonts w:ascii="Calibri Light" w:eastAsia="Times New Roman" w:hAnsi="Calibri Light" w:cs="Times New Roman"/>
          <w:sz w:val="24"/>
          <w:szCs w:val="24"/>
        </w:rPr>
      </w:pPr>
      <w:bookmarkStart w:id="37" w:name="_Toc2585802"/>
      <w:r w:rsidRPr="009D683D">
        <w:rPr>
          <w:rFonts w:ascii="Calibri Light" w:eastAsia="Times New Roman" w:hAnsi="Calibri Light" w:cs="Times New Roman"/>
          <w:sz w:val="24"/>
          <w:szCs w:val="24"/>
        </w:rPr>
        <w:t>Indigenous Patient Voices Symposium</w:t>
      </w:r>
      <w:bookmarkEnd w:id="37"/>
    </w:p>
    <w:p w14:paraId="180A9D23"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Experts in kidney health, including Indigenous people living with kidney disease (i.e. patients with CKD, ESKD, kidney transplants and carers), clinicians from primary, secondary and tertiary care, researchers and policy leaders, gathered in Darwin on 6 September 2017 for the inaugural Indigenous Patient Voices Symposium. This was linked with the 53</w:t>
      </w:r>
      <w:r w:rsidRPr="009D683D">
        <w:rPr>
          <w:rFonts w:ascii="Calibri" w:eastAsia="Calibri" w:hAnsi="Calibri" w:cs="Times New Roman"/>
          <w:sz w:val="22"/>
          <w:vertAlign w:val="superscript"/>
        </w:rPr>
        <w:t>rd</w:t>
      </w:r>
      <w:r w:rsidRPr="009D683D">
        <w:rPr>
          <w:rFonts w:ascii="Calibri" w:eastAsia="Calibri" w:hAnsi="Calibri" w:cs="Times New Roman"/>
          <w:sz w:val="22"/>
        </w:rPr>
        <w:t xml:space="preserve"> Annual Scientific Meeting of the Australia and New Zealand Society of Nephrology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&lt;EndNote&gt;&lt;Cite&gt;&lt;Author&gt;Hughes&lt;/Author&gt;&lt;Year&gt;2018&lt;/Year&gt;&lt;RecNum&gt;320&lt;/RecNum&gt;&lt;DisplayText&gt;(Hughes, Dembski, et al., 2018)&lt;/DisplayText&gt;&lt;record&gt;&lt;rec-number&gt;320&lt;/rec-number&gt;&lt;foreign-keys&gt;&lt;key app="EN" db-id="ews5ve9enfwav7etdtjvztfdrftvwrf9vrsx" timestamp="1545365116"&gt;320&lt;/key&gt;&lt;/foreign-keys&gt;&lt;ref-type name="Journal Article"&gt;17&lt;/ref-type&gt;&lt;contributors&gt;&lt;authors&gt;&lt;author&gt;Hughes, J. T.&lt;/author&gt;&lt;author&gt;Dembski, L.&lt;/author&gt;&lt;author&gt;Kerrigan, V.&lt;/author&gt;&lt;author&gt;Majoni, S. W.&lt;/author&gt;&lt;author&gt;Lawton, P. D.&lt;/author&gt;&lt;author&gt;Cass, A.&lt;/author&gt;&lt;/authors&gt;&lt;/contributors&gt;&lt;auth-address&gt;Menzies School of Health Research, Charles Darwin University, Darwin, Australia.&amp;#xD;Division of Medicine, Royal Darwin Hospital, Darwin, Australia.&amp;#xD;Paperbark Woman, Darwin, Australia.&amp;#xD;Flinders University and Northern Territory Clinical School, Royal Darwin Hospital, Darwin, Australia.&lt;/auth-address&gt;&lt;titles&gt;&lt;title&gt;Gathering Perspectives - Finding Solutions for Chronic and End Stage Kidney Disease&lt;/title&gt;&lt;secondary-title&gt;Nephrology (Carlton)&lt;/secondary-title&gt;&lt;/titles&gt;&lt;periodical&gt;&lt;full-title&gt;Nephrology (Carlton)&lt;/full-title&gt;&lt;/periodical&gt;&lt;pages&gt;5-13&lt;/pages&gt;&lt;volume&gt;23 Suppl 1&lt;/volume&gt;&lt;number&gt;S1&lt;/number&gt;&lt;edition&gt;2018/02/13&lt;/edition&gt;&lt;dates&gt;&lt;year&gt;2018&lt;/year&gt;&lt;pub-dates&gt;&lt;date&gt;Feb&lt;/date&gt;&lt;/pub-dates&gt;&lt;/dates&gt;&lt;isbn&gt;1440-1797 (Electronic)&amp;#xD;1320-5358 (Linking)&lt;/isbn&gt;&lt;accession-num&gt;29436104&lt;/accession-num&gt;&lt;urls&gt;&lt;related-urls&gt;&lt;url&gt;https://www.ncbi.nlm.nih.gov/pubmed/29436104&lt;/url&gt;&lt;/related-urls&gt;&lt;/urls&gt;&lt;electronic-resource-num&gt;10.1111/nep.13233&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(Hughes, Dembski, et al., 2018)</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Patients and carers described key historical events and milestones that shaped the way they lived their lives, and discussed the specific challenges they faced in accessing appropriate information and education, primary care and specialist services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&lt;EndNote&gt;&lt;Cite&gt;&lt;Author&gt;Hughes&lt;/Author&gt;&lt;Year&gt;2018&lt;/Year&gt;&lt;RecNum&gt;320&lt;/RecNum&gt;&lt;DisplayText&gt;(Hughes, Dembski, et al., 2018)&lt;/DisplayText&gt;&lt;record&gt;&lt;rec-number&gt;320&lt;/rec-number&gt;&lt;foreign-keys&gt;&lt;key app="EN" db-id="ews5ve9enfwav7etdtjvztfdrftvwrf9vrsx" timestamp="1545365116"&gt;320&lt;/key&gt;&lt;/foreign-keys&gt;&lt;ref-type name="Journal Article"&gt;17&lt;/ref-type&gt;&lt;contributors&gt;&lt;authors&gt;&lt;author&gt;Hughes, J. T.&lt;/author&gt;&lt;author&gt;Dembski, L.&lt;/author&gt;&lt;author&gt;Kerrigan, V.&lt;/author&gt;&lt;author&gt;Majoni, S. W.&lt;/author&gt;&lt;author&gt;Lawton, P. D.&lt;/author&gt;&lt;author&gt;Cass, A.&lt;/author&gt;&lt;/authors&gt;&lt;/contributors&gt;&lt;auth-address&gt;Menzies School of Health Research, Charles Darwin University, Darwin, Australia.&amp;#xD;Division of Medicine, Royal Darwin Hospital, Darwin, Australia.&amp;#xD;Paperbark Woman, Darwin, Australia.&amp;#xD;Flinders University and Northern Territory Clinical School, Royal Darwin Hospital, Darwin, Australia.&lt;/auth-address&gt;&lt;titles&gt;&lt;title&gt;Gathering Perspectives - Finding Solutions for Chronic and End Stage Kidney Disease&lt;/title&gt;&lt;secondary-title&gt;Nephrology (Carlton)&lt;/secondary-title&gt;&lt;/titles&gt;&lt;periodical&gt;&lt;full-title&gt;Nephrology (Carlton)&lt;/full-title&gt;&lt;/periodical&gt;&lt;pages&gt;5-13&lt;/pages&gt;&lt;volume&gt;23 Suppl 1&lt;/volume&gt;&lt;number&gt;S1&lt;/number&gt;&lt;edition&gt;2018/02/13&lt;/edition&gt;&lt;dates&gt;&lt;year&gt;2018&lt;/year&gt;&lt;pub-dates&gt;&lt;date&gt;Feb&lt;/date&gt;&lt;/pub-dates&gt;&lt;/dates&gt;&lt;isbn&gt;1440-1797 (Electronic)&amp;#xD;1320-5358 (Linking)&lt;/isbn&gt;&lt;accession-num&gt;29436104&lt;/accession-num&gt;&lt;urls&gt;&lt;related-urls&gt;&lt;url&gt;https://www.ncbi.nlm.nih.gov/pubmed/29436104&lt;/url&gt;&lt;/related-urls&gt;&lt;/urls&gt;&lt;electronic-resource-num&gt;10.1111/nep.13233&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(Hughes, Dembski, et al., 2018)</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Patients’ lived experiences were then used to inform an action plan, performance indicators for renal care, and a series of recommendations for state and federal governments to consider and address as part of future policy initiatives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&lt;EndNote&gt;&lt;Cite&gt;&lt;Author&gt;Hughes&lt;/Author&gt;&lt;Year&gt;2018&lt;/Year&gt;&lt;RecNum&gt;320&lt;/RecNum&gt;&lt;DisplayText&gt;(Hughes, Dembski, et al., 2018)&lt;/DisplayText&gt;&lt;record&gt;&lt;rec-number&gt;320&lt;/rec-number&gt;&lt;foreign-keys&gt;&lt;key app="EN" db-id="ews5ve9enfwav7etdtjvztfdrftvwrf9vrsx" timestamp="1545365116"&gt;320&lt;/key&gt;&lt;/foreign-keys&gt;&lt;ref-type name="Journal Article"&gt;17&lt;/ref-type&gt;&lt;contributors&gt;&lt;authors&gt;&lt;author&gt;Hughes, J. T.&lt;/author&gt;&lt;author&gt;Dembski, L.&lt;/author&gt;&lt;author&gt;Kerrigan, V.&lt;/author&gt;&lt;author&gt;Majoni, S. W.&lt;/author&gt;&lt;author&gt;Lawton, P. D.&lt;/author&gt;&lt;author&gt;Cass, A.&lt;/author&gt;&lt;/authors&gt;&lt;/contributors&gt;&lt;auth-address&gt;Menzies School of Health Research, Charles Darwin University, Darwin, Australia.&amp;#xD;Division of Medicine, Royal Darwin Hospital, Darwin, Australia.&amp;#xD;Paperbark Woman, Darwin, Australia.&amp;#xD;Flinders University and Northern Territory Clinical School, Royal Darwin Hospital, Darwin, Australia.&lt;/auth-address&gt;&lt;titles&gt;&lt;title&gt;Gathering Perspectives - Finding Solutions for Chronic and End Stage Kidney Disease&lt;/title&gt;&lt;secondary-title&gt;Nephrology (Carlton)&lt;/secondary-title&gt;&lt;/titles&gt;&lt;periodical&gt;&lt;full-title&gt;Nephrology (Carlton)&lt;/full-title&gt;&lt;/periodical&gt;&lt;pages&gt;5-13&lt;/pages&gt;&lt;volume&gt;23 Suppl 1&lt;/volume&gt;&lt;number&gt;S1&lt;/number&gt;&lt;edition&gt;2018/02/13&lt;/edition&gt;&lt;dates&gt;&lt;year&gt;2018&lt;/year&gt;&lt;pub-dates&gt;&lt;date&gt;Feb&lt;/date&gt;&lt;/pub-dates&gt;&lt;/dates&gt;&lt;isbn&gt;1440-1797 (Electronic)&amp;#xD;1320-5358 (Linking)&lt;/isbn&gt;&lt;accession-num&gt;29436104&lt;/accession-num&gt;&lt;urls&gt;&lt;related-urls&gt;&lt;url&gt;https://www.ncbi.nlm.nih.gov/pubmed/29436104&lt;/url&gt;&lt;/related-urls&gt;&lt;/urls&gt;&lt;electronic-resource-num&gt;10.1111/nep.13233&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(Hughes, Dembski, et al., 2018)</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t>
      </w:r>
    </w:p>
    <w:p w14:paraId="6A3AFB7D" w14:textId="77777777" w:rsidR="009D683D" w:rsidRPr="009D683D" w:rsidRDefault="009D683D" w:rsidP="009D683D">
      <w:pPr>
        <w:spacing w:after="0" w:line="120" w:lineRule="auto"/>
        <w:jc w:val="both"/>
        <w:rPr>
          <w:rFonts w:ascii="Calibri" w:eastAsia="Calibri" w:hAnsi="Calibri" w:cs="Times New Roman"/>
          <w:sz w:val="22"/>
        </w:rPr>
      </w:pPr>
      <w:r w:rsidRPr="009D683D">
        <w:rPr>
          <w:rFonts w:ascii="Calibri" w:eastAsia="Calibri" w:hAnsi="Calibri" w:cs="Times New Roman"/>
          <w:noProof/>
          <w:sz w:val="22"/>
          <w:lang w:eastAsia="en-AU"/>
        </w:rPr>
        <w:lastRenderedPageBreak/>
        <mc:AlternateContent>
          <mc:Choice Requires="wps">
            <w:drawing>
              <wp:inline distT="0" distB="0" distL="0" distR="0" wp14:anchorId="26404CD2" wp14:editId="18C1BFAE">
                <wp:extent cx="5715000" cy="4333875"/>
                <wp:effectExtent l="0" t="0" r="19050" b="2857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333875"/>
                        </a:xfrm>
                        <a:prstGeom prst="rect">
                          <a:avLst/>
                        </a:prstGeom>
                        <a:solidFill>
                          <a:srgbClr val="70AD47">
                            <a:lumMod val="20000"/>
                            <a:lumOff val="80000"/>
                          </a:srgbClr>
                        </a:solidFill>
                        <a:ln w="9525">
                          <a:solidFill>
                            <a:srgbClr val="000000"/>
                          </a:solidFill>
                          <a:miter lim="800000"/>
                          <a:headEnd/>
                          <a:tailEnd/>
                        </a:ln>
                        <a:effectLst/>
                      </wps:spPr>
                      <wps:txbx>
                        <w:txbxContent>
                          <w:p w14:paraId="50E5F83C" w14:textId="77777777" w:rsidR="00A41391" w:rsidRPr="00BB1690" w:rsidRDefault="00A41391" w:rsidP="009D683D">
                            <w:pPr>
                              <w:spacing w:line="276" w:lineRule="auto"/>
                              <w:jc w:val="both"/>
                              <w:rPr>
                                <w:b/>
                                <w:sz w:val="24"/>
                              </w:rPr>
                            </w:pPr>
                            <w:r w:rsidRPr="00BB1690">
                              <w:rPr>
                                <w:b/>
                                <w:sz w:val="24"/>
                              </w:rPr>
                              <w:t xml:space="preserve">Box </w:t>
                            </w:r>
                            <w:r>
                              <w:rPr>
                                <w:b/>
                                <w:sz w:val="24"/>
                              </w:rPr>
                              <w:t>3</w:t>
                            </w:r>
                            <w:r w:rsidRPr="00BB1690">
                              <w:rPr>
                                <w:b/>
                                <w:sz w:val="24"/>
                              </w:rPr>
                              <w:t>: Indigenous Patient Voices Symposium – key issues raised by consumers</w:t>
                            </w:r>
                          </w:p>
                          <w:p w14:paraId="217107EA" w14:textId="77777777" w:rsidR="00A41391" w:rsidRDefault="00A41391" w:rsidP="00782640">
                            <w:pPr>
                              <w:pStyle w:val="ListParagraph"/>
                              <w:numPr>
                                <w:ilvl w:val="0"/>
                                <w:numId w:val="35"/>
                              </w:numPr>
                              <w:spacing w:line="276" w:lineRule="auto"/>
                              <w:jc w:val="both"/>
                            </w:pPr>
                            <w:r>
                              <w:t>The tyranny of distance presents significant social, financial and logistical burdens.</w:t>
                            </w:r>
                          </w:p>
                          <w:p w14:paraId="084967FD" w14:textId="77777777" w:rsidR="00A41391" w:rsidRDefault="00A41391" w:rsidP="00782640">
                            <w:pPr>
                              <w:pStyle w:val="ListParagraph"/>
                              <w:numPr>
                                <w:ilvl w:val="0"/>
                                <w:numId w:val="36"/>
                              </w:numPr>
                              <w:spacing w:line="276" w:lineRule="auto"/>
                              <w:jc w:val="both"/>
                            </w:pPr>
                            <w:r>
                              <w:t>Dialysis and transplant services need to be available close to home so that patients can stay connected to community and country, and subsequently maintain psychosocial wellbeing, whilst undergoing assessment and treatment.</w:t>
                            </w:r>
                          </w:p>
                          <w:p w14:paraId="03270F6F" w14:textId="77777777" w:rsidR="00A41391" w:rsidRDefault="00A41391" w:rsidP="00782640">
                            <w:pPr>
                              <w:pStyle w:val="ListParagraph"/>
                              <w:numPr>
                                <w:ilvl w:val="0"/>
                                <w:numId w:val="36"/>
                              </w:numPr>
                              <w:spacing w:line="276" w:lineRule="auto"/>
                              <w:jc w:val="both"/>
                            </w:pPr>
                            <w:r>
                              <w:t>Patients reported issues in accessing suitable accommodation services when required to relocate from their community for treatment services, such as assessment for transplantation.</w:t>
                            </w:r>
                          </w:p>
                          <w:p w14:paraId="0C87C37C" w14:textId="77777777" w:rsidR="00A41391" w:rsidRDefault="00A41391" w:rsidP="00782640">
                            <w:pPr>
                              <w:pStyle w:val="ListParagraph"/>
                              <w:numPr>
                                <w:ilvl w:val="0"/>
                                <w:numId w:val="36"/>
                              </w:numPr>
                              <w:spacing w:line="276" w:lineRule="auto"/>
                              <w:jc w:val="both"/>
                            </w:pPr>
                            <w:r>
                              <w:t>In many cases, patients’ employment was jeopardised by the travel demands associated with their treatment regimen. As a result, many patients were unemployed and subjected to Centrelink’s punitive reporting framework.</w:t>
                            </w:r>
                          </w:p>
                          <w:p w14:paraId="4F631B54" w14:textId="77777777" w:rsidR="00A41391" w:rsidRDefault="00A41391" w:rsidP="00782640">
                            <w:pPr>
                              <w:pStyle w:val="ListParagraph"/>
                              <w:numPr>
                                <w:ilvl w:val="0"/>
                                <w:numId w:val="35"/>
                              </w:numPr>
                              <w:spacing w:line="276" w:lineRule="auto"/>
                              <w:jc w:val="both"/>
                            </w:pPr>
                            <w:r>
                              <w:t xml:space="preserve">The health workforce’s level of cultural awareness and respect for cultural matters. </w:t>
                            </w:r>
                          </w:p>
                          <w:p w14:paraId="281C4797" w14:textId="77777777" w:rsidR="00A41391" w:rsidRDefault="00A41391" w:rsidP="00782640">
                            <w:pPr>
                              <w:pStyle w:val="ListParagraph"/>
                              <w:numPr>
                                <w:ilvl w:val="0"/>
                                <w:numId w:val="36"/>
                              </w:numPr>
                              <w:spacing w:line="276" w:lineRule="auto"/>
                              <w:jc w:val="both"/>
                            </w:pPr>
                            <w:r>
                              <w:t xml:space="preserve">The way in which health care professionals communicate with Indigenous patients was recalled with hurt and distress by some expert-patient delegates. </w:t>
                            </w:r>
                          </w:p>
                          <w:p w14:paraId="5FF32D7E" w14:textId="77777777" w:rsidR="00A41391" w:rsidRDefault="00A41391" w:rsidP="00782640">
                            <w:pPr>
                              <w:pStyle w:val="ListParagraph"/>
                              <w:numPr>
                                <w:ilvl w:val="0"/>
                                <w:numId w:val="35"/>
                              </w:numPr>
                              <w:spacing w:line="276" w:lineRule="auto"/>
                              <w:jc w:val="both"/>
                            </w:pPr>
                            <w:r>
                              <w:t>Inequalities associated with the Australian health care system’s centralised care model.</w:t>
                            </w:r>
                          </w:p>
                          <w:p w14:paraId="0F25191D" w14:textId="77777777" w:rsidR="00A41391" w:rsidRDefault="00A41391" w:rsidP="00782640">
                            <w:pPr>
                              <w:pStyle w:val="ListParagraph"/>
                              <w:numPr>
                                <w:ilvl w:val="0"/>
                                <w:numId w:val="36"/>
                              </w:numPr>
                              <w:spacing w:line="276" w:lineRule="auto"/>
                              <w:jc w:val="both"/>
                            </w:pPr>
                            <w:r>
                              <w:t>Patients who cannot dialyse in their home communities reported feeling that they were forced to choose between their physical health and maintaining psychosocial wellbeing by remaining on country.</w:t>
                            </w:r>
                          </w:p>
                          <w:p w14:paraId="1D4114F3" w14:textId="77777777" w:rsidR="00A41391" w:rsidRDefault="00A41391" w:rsidP="00782640">
                            <w:pPr>
                              <w:pStyle w:val="ListParagraph"/>
                              <w:numPr>
                                <w:ilvl w:val="0"/>
                                <w:numId w:val="36"/>
                              </w:numPr>
                              <w:spacing w:line="276" w:lineRule="auto"/>
                              <w:jc w:val="both"/>
                            </w:pPr>
                            <w:r>
                              <w:t>The lack of information and education services around access to deceased and living donor transplant in regional and remote communities impedes Indigenous patients’ likelihood of being waitlisted for or receiving a transplant.</w:t>
                            </w:r>
                          </w:p>
                          <w:p w14:paraId="64CD7695" w14:textId="77777777" w:rsidR="00A41391" w:rsidRPr="00666120" w:rsidRDefault="00A41391" w:rsidP="009D683D">
                            <w:pPr>
                              <w:spacing w:line="276" w:lineRule="auto"/>
                              <w:jc w:val="both"/>
                            </w:pPr>
                          </w:p>
                        </w:txbxContent>
                      </wps:txbx>
                      <wps:bodyPr rot="0" vert="horz" wrap="square" lIns="91440" tIns="45720" rIns="91440" bIns="45720" anchor="t" anchorCtr="0">
                        <a:noAutofit/>
                      </wps:bodyPr>
                    </wps:wsp>
                  </a:graphicData>
                </a:graphic>
              </wp:inline>
            </w:drawing>
          </mc:Choice>
          <mc:Fallback>
            <w:pict>
              <v:shape w14:anchorId="26404CD2" id="_x0000_s1031" type="#_x0000_t202" style="width:450pt;height:3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" fillcolor="#e2f0d9">
                <v:textbox>
                  <w:txbxContent>
                    <w:p w14:paraId="50E5F83C" w14:textId="77777777" w:rsidR="00A41391" w:rsidRPr="00BB1690" w:rsidRDefault="00A41391" w:rsidP="009D683D">
                      <w:pPr>
                        <w:spacing w:line="276" w:lineRule="auto"/>
                        <w:jc w:val="both"/>
                        <w:rPr>
                          <w:b/>
                          <w:sz w:val="24"/>
                        </w:rPr>
                      </w:pPr>
                      <w:r w:rsidRPr="00BB1690">
                        <w:rPr>
                          <w:b/>
                          <w:sz w:val="24"/>
                        </w:rPr>
                        <w:t xml:space="preserve">Box </w:t>
                      </w:r>
                      <w:r>
                        <w:rPr>
                          <w:b/>
                          <w:sz w:val="24"/>
                        </w:rPr>
                        <w:t>3</w:t>
                      </w:r>
                      <w:r w:rsidRPr="00BB1690">
                        <w:rPr>
                          <w:b/>
                          <w:sz w:val="24"/>
                        </w:rPr>
                        <w:t>: Indigenous Patient Voices Symposium – key issues raised by consumers</w:t>
                      </w:r>
                    </w:p>
                    <w:p w14:paraId="217107EA" w14:textId="77777777" w:rsidR="00A41391" w:rsidRDefault="00A41391" w:rsidP="00782640">
                      <w:pPr>
                        <w:pStyle w:val="ListParagraph"/>
                        <w:numPr>
                          <w:ilvl w:val="0"/>
                          <w:numId w:val="35"/>
                        </w:numPr>
                        <w:spacing w:line="276" w:lineRule="auto"/>
                        <w:jc w:val="both"/>
                      </w:pPr>
                      <w:r>
                        <w:t>The tyranny of distance presents significant social, financial and logistical burdens.</w:t>
                      </w:r>
                    </w:p>
                    <w:p w14:paraId="084967FD" w14:textId="77777777" w:rsidR="00A41391" w:rsidRDefault="00A41391" w:rsidP="00782640">
                      <w:pPr>
                        <w:pStyle w:val="ListParagraph"/>
                        <w:numPr>
                          <w:ilvl w:val="0"/>
                          <w:numId w:val="36"/>
                        </w:numPr>
                        <w:spacing w:line="276" w:lineRule="auto"/>
                        <w:jc w:val="both"/>
                      </w:pPr>
                      <w:r>
                        <w:t>Dialysis and transplant services need to be available close to home so that patients can stay connected to community and country, and subsequently maintain psychosocial wellbeing, whilst undergoing assessment and treatment.</w:t>
                      </w:r>
                    </w:p>
                    <w:p w14:paraId="03270F6F" w14:textId="77777777" w:rsidR="00A41391" w:rsidRDefault="00A41391" w:rsidP="00782640">
                      <w:pPr>
                        <w:pStyle w:val="ListParagraph"/>
                        <w:numPr>
                          <w:ilvl w:val="0"/>
                          <w:numId w:val="36"/>
                        </w:numPr>
                        <w:spacing w:line="276" w:lineRule="auto"/>
                        <w:jc w:val="both"/>
                      </w:pPr>
                      <w:r>
                        <w:t>Patients reported issues in accessing suitable accommodation services when required to relocate from their community for treatment services, such as assessment for transplantation.</w:t>
                      </w:r>
                    </w:p>
                    <w:p w14:paraId="0C87C37C" w14:textId="77777777" w:rsidR="00A41391" w:rsidRDefault="00A41391" w:rsidP="00782640">
                      <w:pPr>
                        <w:pStyle w:val="ListParagraph"/>
                        <w:numPr>
                          <w:ilvl w:val="0"/>
                          <w:numId w:val="36"/>
                        </w:numPr>
                        <w:spacing w:line="276" w:lineRule="auto"/>
                        <w:jc w:val="both"/>
                      </w:pPr>
                      <w:r>
                        <w:t>In many cases, patients’ employment was jeopardised by the travel demands associated with their treatment regimen. As a result, many patients were unemployed and subjected to Centrelink’s punitive reporting framework.</w:t>
                      </w:r>
                    </w:p>
                    <w:p w14:paraId="4F631B54" w14:textId="77777777" w:rsidR="00A41391" w:rsidRDefault="00A41391" w:rsidP="00782640">
                      <w:pPr>
                        <w:pStyle w:val="ListParagraph"/>
                        <w:numPr>
                          <w:ilvl w:val="0"/>
                          <w:numId w:val="35"/>
                        </w:numPr>
                        <w:spacing w:line="276" w:lineRule="auto"/>
                        <w:jc w:val="both"/>
                      </w:pPr>
                      <w:r>
                        <w:t xml:space="preserve">The health workforce’s level of cultural awareness and respect for cultural matters. </w:t>
                      </w:r>
                    </w:p>
                    <w:p w14:paraId="281C4797" w14:textId="77777777" w:rsidR="00A41391" w:rsidRDefault="00A41391" w:rsidP="00782640">
                      <w:pPr>
                        <w:pStyle w:val="ListParagraph"/>
                        <w:numPr>
                          <w:ilvl w:val="0"/>
                          <w:numId w:val="36"/>
                        </w:numPr>
                        <w:spacing w:line="276" w:lineRule="auto"/>
                        <w:jc w:val="both"/>
                      </w:pPr>
                      <w:r>
                        <w:t xml:space="preserve">The way in which health care professionals communicate with Indigenous patients was recalled with hurt and distress by some expert-patient delegates. </w:t>
                      </w:r>
                    </w:p>
                    <w:p w14:paraId="5FF32D7E" w14:textId="77777777" w:rsidR="00A41391" w:rsidRDefault="00A41391" w:rsidP="00782640">
                      <w:pPr>
                        <w:pStyle w:val="ListParagraph"/>
                        <w:numPr>
                          <w:ilvl w:val="0"/>
                          <w:numId w:val="35"/>
                        </w:numPr>
                        <w:spacing w:line="276" w:lineRule="auto"/>
                        <w:jc w:val="both"/>
                      </w:pPr>
                      <w:r>
                        <w:t>Inequalities associated with the Australian health care system’s centralised care model.</w:t>
                      </w:r>
                    </w:p>
                    <w:p w14:paraId="0F25191D" w14:textId="77777777" w:rsidR="00A41391" w:rsidRDefault="00A41391" w:rsidP="00782640">
                      <w:pPr>
                        <w:pStyle w:val="ListParagraph"/>
                        <w:numPr>
                          <w:ilvl w:val="0"/>
                          <w:numId w:val="36"/>
                        </w:numPr>
                        <w:spacing w:line="276" w:lineRule="auto"/>
                        <w:jc w:val="both"/>
                      </w:pPr>
                      <w:r>
                        <w:t>Patients who cannot dialyse in their home communities reported feeling that they were forced to choose between their physical health and maintaining psychosocial wellbeing by remaining on country.</w:t>
                      </w:r>
                    </w:p>
                    <w:p w14:paraId="1D4114F3" w14:textId="77777777" w:rsidR="00A41391" w:rsidRDefault="00A41391" w:rsidP="00782640">
                      <w:pPr>
                        <w:pStyle w:val="ListParagraph"/>
                        <w:numPr>
                          <w:ilvl w:val="0"/>
                          <w:numId w:val="36"/>
                        </w:numPr>
                        <w:spacing w:line="276" w:lineRule="auto"/>
                        <w:jc w:val="both"/>
                      </w:pPr>
                      <w:r>
                        <w:t>The lack of information and education services around access to deceased and living donor transplant in regional and remote communities impedes Indigenous patients’ likelihood of being waitlisted for or receiving a transplant.</w:t>
                      </w:r>
                    </w:p>
                    <w:p w14:paraId="64CD7695" w14:textId="77777777" w:rsidR="00A41391" w:rsidRPr="00666120" w:rsidRDefault="00A41391" w:rsidP="009D683D">
                      <w:pPr>
                        <w:spacing w:line="276" w:lineRule="auto"/>
                        <w:jc w:val="both"/>
                      </w:pPr>
                    </w:p>
                  </w:txbxContent>
                </v:textbox>
                <w10:anchorlock/>
              </v:shape>
            </w:pict>
          </mc:Fallback>
        </mc:AlternateContent>
      </w:r>
    </w:p>
    <w:p w14:paraId="66347F91" w14:textId="77777777" w:rsidR="0055104B" w:rsidRDefault="0055104B" w:rsidP="009D683D">
      <w:pPr>
        <w:keepNext/>
        <w:keepLines/>
        <w:numPr>
          <w:ilvl w:val="2"/>
          <w:numId w:val="0"/>
        </w:numPr>
        <w:spacing w:after="0"/>
        <w:ind w:left="720" w:hanging="720"/>
        <w:outlineLvl w:val="2"/>
        <w:rPr>
          <w:rFonts w:ascii="Calibri Light" w:eastAsia="Times New Roman" w:hAnsi="Calibri Light" w:cs="Times New Roman"/>
          <w:sz w:val="24"/>
          <w:szCs w:val="24"/>
        </w:rPr>
      </w:pPr>
      <w:bookmarkStart w:id="38" w:name="_Toc2585803"/>
    </w:p>
    <w:p w14:paraId="73CED7F4" w14:textId="05714A1A" w:rsidR="009D683D" w:rsidRPr="009D683D" w:rsidRDefault="009D683D" w:rsidP="009D683D">
      <w:pPr>
        <w:keepNext/>
        <w:keepLines/>
        <w:numPr>
          <w:ilvl w:val="2"/>
          <w:numId w:val="0"/>
        </w:numPr>
        <w:spacing w:after="0"/>
        <w:ind w:left="720" w:hanging="720"/>
        <w:outlineLvl w:val="2"/>
        <w:rPr>
          <w:rFonts w:ascii="Calibri Light" w:eastAsia="Times New Roman" w:hAnsi="Calibri Light" w:cs="Times New Roman"/>
          <w:sz w:val="24"/>
          <w:szCs w:val="24"/>
        </w:rPr>
      </w:pPr>
      <w:r w:rsidRPr="009D683D">
        <w:rPr>
          <w:rFonts w:ascii="Calibri Light" w:eastAsia="Times New Roman" w:hAnsi="Calibri Light" w:cs="Times New Roman"/>
          <w:sz w:val="24"/>
          <w:szCs w:val="24"/>
        </w:rPr>
        <w:t>Indigenous knowledge in health services: a consumer partnership framework</w:t>
      </w:r>
      <w:bookmarkEnd w:id="38"/>
    </w:p>
    <w:p w14:paraId="613F9AE8"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In 2018, the Menzies School of Health Research published the findings from a qualitative research framework that enabled Indigenous renal patients’ expectations and satisfaction of care in the Northern Territory to guide recommendations for health care policy and planning. The Indigenous reference group (IRG) was comprised of six Darwin-based haemodialysis patients, who met on a bimonthly basis between April and November 2017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&lt;EndNote&gt;&lt;Cite&gt;&lt;Author&gt;Kirkham&lt;/Author&gt;&lt;Year&gt;2018&lt;/Year&gt;&lt;RecNum&gt;323&lt;/RecNum&gt;&lt;DisplayText&gt;(Kirkham et al., 2018)&lt;/DisplayText&gt;&lt;record&gt;&lt;rec-number&gt;323&lt;/rec-number&gt;&lt;foreign-keys&gt;&lt;key app="EN" db-id="ews5ve9enfwav7etdtjvztfdrftvwrf9vrsx" timestamp="1545607941"&gt;323&lt;/key&gt;&lt;/foreign-keys&gt;&lt;ref-type name="Journal Article"&gt;17&lt;/ref-type&gt;&lt;contributors&gt;&lt;authors&gt;&lt;author&gt;Kirkham, R.&lt;/author&gt;&lt;author&gt;Maple-Brown, L. J.&lt;/author&gt;&lt;author&gt;Freeman, N.&lt;/author&gt;&lt;author&gt;Beaton, B.&lt;/author&gt;&lt;author&gt;Lamilami, R.&lt;/author&gt;&lt;author&gt;Hausin, M.&lt;/author&gt;&lt;author&gt;Puruntatemeri, A. M.&lt;/author&gt;&lt;author&gt;Wood, P.&lt;/author&gt;&lt;author&gt;Signal, S.&lt;/author&gt;&lt;author&gt;Majoni, S. W.&lt;/author&gt;&lt;author&gt;Cass, A.&lt;/author&gt;&lt;author&gt;Hughes, J. T.&lt;/author&gt;&lt;/authors&gt;&lt;/contributors&gt;&lt;titles&gt;&lt;title&gt;Incorporating indigenous knowledge in health services: a consumer partnership framework&lt;/title&gt;&lt;secondary-title&gt;Public Health&lt;/secondary-title&gt;&lt;/titles&gt;&lt;periodical&gt;&lt;full-title&gt;Public Health&lt;/full-title&gt;&lt;/periodical&gt;&lt;keywords&gt;&lt;keyword&gt;Indigenous knowledge&lt;/keyword&gt;&lt;keyword&gt;Consumer partnership&lt;/keyword&gt;&lt;keyword&gt;Health system change&lt;/keyword&gt;&lt;keyword&gt;Participatory action research&lt;/keyword&gt;&lt;keyword&gt;Chronic kidney disease&lt;/keyword&gt;&lt;keyword&gt;Indigenous reference group&lt;/keyword&gt;&lt;/keywords&gt;&lt;dates&gt;&lt;year&gt;2018&lt;/year&gt;&lt;pub-dates&gt;&lt;date&gt;2018/10/24/&lt;/date&gt;&lt;/pub-dates&gt;&lt;/dates&gt;&lt;isbn&gt;0033-3506&lt;/isbn&gt;&lt;urls&gt;&lt;related-urls&gt;&lt;url&gt;http://www.sciencedirect.com/science/article/pii/S0033350618302762&lt;/url&gt;&lt;/related-urls&gt;&lt;/urls&gt;&lt;electronic-resource-num&gt;10.1016/j.puhe.2018.08.009&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(Kirkham et al., 2018)</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The key takeaway message from the IRG was that ESKD patients desire opportunities to positively influence dialysis and transplant care policies, and the consumer partnership framework employed by this study provided an appropriate model through which to do so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&lt;EndNote&gt;&lt;Cite&gt;&lt;Author&gt;Kirkham&lt;/Author&gt;&lt;Year&gt;2018&lt;/Year&gt;&lt;RecNum&gt;323&lt;/RecNum&gt;&lt;DisplayText&gt;(Kirkham et al., 2018)&lt;/DisplayText&gt;&lt;record&gt;&lt;rec-number&gt;323&lt;/rec-number&gt;&lt;foreign-keys&gt;&lt;key app="EN" db-id="ews5ve9enfwav7etdtjvztfdrftvwrf9vrsx" timestamp="1545607941"&gt;323&lt;/key&gt;&lt;/foreign-keys&gt;&lt;ref-type name="Journal Article"&gt;17&lt;/ref-type&gt;&lt;contributors&gt;&lt;authors&gt;&lt;author&gt;Kirkham, R.&lt;/author&gt;&lt;author&gt;Maple-Brown, L. J.&lt;/author&gt;&lt;author&gt;Freeman, N.&lt;/author&gt;&lt;author&gt;Beaton, B.&lt;/author&gt;&lt;author&gt;Lamilami, R.&lt;/author&gt;&lt;author&gt;Hausin, M.&lt;/author&gt;&lt;author&gt;Puruntatemeri, A. M.&lt;/author&gt;&lt;author&gt;Wood, P.&lt;/author&gt;&lt;author&gt;Signal, S.&lt;/author&gt;&lt;author&gt;Majoni, S. W.&lt;/author&gt;&lt;author&gt;Cass, A.&lt;/author&gt;&lt;author&gt;Hughes, J. T.&lt;/author&gt;&lt;/authors&gt;&lt;/contributors&gt;&lt;titles&gt;&lt;title&gt;Incorporating indigenous knowledge in health services: a consumer partnership framework&lt;/title&gt;&lt;secondary-title&gt;Public Health&lt;/secondary-title&gt;&lt;/titles&gt;&lt;periodical&gt;&lt;full-title&gt;Public Health&lt;/full-title&gt;&lt;/periodical&gt;&lt;keywords&gt;&lt;keyword&gt;Indigenous knowledge&lt;/keyword&gt;&lt;keyword&gt;Consumer partnership&lt;/keyword&gt;&lt;keyword&gt;Health system change&lt;/keyword&gt;&lt;keyword&gt;Participatory action research&lt;/keyword&gt;&lt;keyword&gt;Chronic kidney disease&lt;/keyword&gt;&lt;keyword&gt;Indigenous reference group&lt;/keyword&gt;&lt;/keywords&gt;&lt;dates&gt;&lt;year&gt;2018&lt;/year&gt;&lt;pub-dates&gt;&lt;date&gt;2018/10/24/&lt;/date&gt;&lt;/pub-dates&gt;&lt;/dates&gt;&lt;isbn&gt;0033-3506&lt;/isbn&gt;&lt;urls&gt;&lt;related-urls&gt;&lt;url&gt;http://www.sciencedirect.com/science/article/pii/S0033350618302762&lt;/url&gt;&lt;/related-urls&gt;&lt;/urls&gt;&lt;electronic-resource-num&gt;10.1016/j.puhe.2018.08.009&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(Kirkham et al., 2018)</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t>
      </w:r>
    </w:p>
    <w:p w14:paraId="6026AC71"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The IRG’s discussions and recommendations led to the adoption of several new initiatives, including the ‘Kidney Yarning Circle-Pathways to My Home’ education program. This program provides Indigenous patients and families with more appropriate information and orientation to services, including education about the transplantation journey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&lt;EndNote&gt;&lt;Cite&gt;&lt;Author&gt;Kirkham&lt;/Author&gt;&lt;Year&gt;2018&lt;/Year&gt;&lt;RecNum&gt;323&lt;/RecNum&gt;&lt;DisplayText&gt;(Kirkham et al., 2018)&lt;/DisplayText&gt;&lt;record&gt;&lt;rec-number&gt;323&lt;/rec-number&gt;&lt;foreign-keys&gt;&lt;key app="EN" db-id="ews5ve9enfwav7etdtjvztfdrftvwrf9vrsx" timestamp="1545607941"&gt;323&lt;/key&gt;&lt;/foreign-keys&gt;&lt;ref-type name="Journal Article"&gt;17&lt;/ref-type&gt;&lt;contributors&gt;&lt;authors&gt;&lt;author&gt;Kirkham, R.&lt;/author&gt;&lt;author&gt;Maple-Brown, L. J.&lt;/author&gt;&lt;author&gt;Freeman, N.&lt;/author&gt;&lt;author&gt;Beaton, B.&lt;/author&gt;&lt;author&gt;Lamilami, R.&lt;/author&gt;&lt;author&gt;Hausin, M.&lt;/author&gt;&lt;author&gt;Puruntatemeri, A. M.&lt;/author&gt;&lt;author&gt;Wood, P.&lt;/author&gt;&lt;author&gt;Signal, S.&lt;/author&gt;&lt;author&gt;Majoni, S. W.&lt;/author&gt;&lt;author&gt;Cass, A.&lt;/author&gt;&lt;author&gt;Hughes, J. T.&lt;/author&gt;&lt;/authors&gt;&lt;/contributors&gt;&lt;titles&gt;&lt;title&gt;Incorporating indigenous knowledge in health services: a consumer partnership framework&lt;/title&gt;&lt;secondary-title&gt;Public Health&lt;/secondary-title&gt;&lt;/titles&gt;&lt;periodical&gt;&lt;full-title&gt;Public Health&lt;/full-title&gt;&lt;/periodical&gt;&lt;keywords&gt;&lt;keyword&gt;Indigenous knowledge&lt;/keyword&gt;&lt;keyword&gt;Consumer partnership&lt;/keyword&gt;&lt;keyword&gt;Health system change&lt;/keyword&gt;&lt;keyword&gt;Participatory action research&lt;/keyword&gt;&lt;keyword&gt;Chronic kidney disease&lt;/keyword&gt;&lt;keyword&gt;Indigenous reference group&lt;/keyword&gt;&lt;/keywords&gt;&lt;dates&gt;&lt;year&gt;2018&lt;/year&gt;&lt;pub-dates&gt;&lt;date&gt;2018/10/24/&lt;/date&gt;&lt;/pub-dates&gt;&lt;/dates&gt;&lt;isbn&gt;0033-3506&lt;/isbn&gt;&lt;urls&gt;&lt;related-urls&gt;&lt;url&gt;http://www.sciencedirect.com/science/article/pii/S0033350618302762&lt;/url&gt;&lt;/related-urls&gt;&lt;/urls&gt;&lt;electronic-resource-num&gt;10.1016/j.puhe.2018.08.009&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(Kirkham et al., 2018)</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Both IRG members and project investigators recommended that a similar consumer partnership framework be embedded into the Top End Health Service’s operational structures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&lt;EndNote&gt;&lt;Cite&gt;&lt;Author&gt;Kirkham&lt;/Author&gt;&lt;Year&gt;2018&lt;/Year&gt;&lt;RecNum&gt;323&lt;/RecNum&gt;&lt;DisplayText&gt;(Kirkham et al., 2018)&lt;/DisplayText&gt;&lt;record&gt;&lt;rec-number&gt;323&lt;/rec-number&gt;&lt;foreign-keys&gt;&lt;key app="EN" db-id="ews5ve9enfwav7etdtjvztfdrftvwrf9vrsx" timestamp="1545607941"&gt;323&lt;/key&gt;&lt;/foreign-keys&gt;&lt;ref-type name="Journal Article"&gt;17&lt;/ref-type&gt;&lt;contributors&gt;&lt;authors&gt;&lt;author&gt;Kirkham, R.&lt;/author&gt;&lt;author&gt;Maple-Brown, L. J.&lt;/author&gt;&lt;author&gt;Freeman, N.&lt;/author&gt;&lt;author&gt;Beaton, B.&lt;/author&gt;&lt;author&gt;Lamilami, R.&lt;/author&gt;&lt;author&gt;Hausin, M.&lt;/author&gt;&lt;author&gt;Puruntatemeri, A. M.&lt;/author&gt;&lt;author&gt;Wood, P.&lt;/author&gt;&lt;author&gt;Signal, S.&lt;/author&gt;&lt;author&gt;Majoni, S. W.&lt;/author&gt;&lt;author&gt;Cass, A.&lt;/author&gt;&lt;author&gt;Hughes, J. T.&lt;/author&gt;&lt;/authors&gt;&lt;/contributors&gt;&lt;titles&gt;&lt;title&gt;Incorporating indigenous knowledge in health services: a consumer partnership framework&lt;/title&gt;&lt;secondary-title&gt;Public Health&lt;/secondary-title&gt;&lt;/titles&gt;&lt;periodical&gt;&lt;full-title&gt;Public Health&lt;/full-title&gt;&lt;/periodical&gt;&lt;keywords&gt;&lt;keyword&gt;Indigenous knowledge&lt;/keyword&gt;&lt;keyword&gt;Consumer partnership&lt;/keyword&gt;&lt;keyword&gt;Health system change&lt;/keyword&gt;&lt;keyword&gt;Participatory action research&lt;/keyword&gt;&lt;keyword&gt;Chronic kidney disease&lt;/keyword&gt;&lt;keyword&gt;Indigenous reference group&lt;/keyword&gt;&lt;/keywords&gt;&lt;dates&gt;&lt;year&gt;2018&lt;/year&gt;&lt;pub-dates&gt;&lt;date&gt;2018/10/24/&lt;/date&gt;&lt;/pub-dates&gt;&lt;/dates&gt;&lt;isbn&gt;0033-3506&lt;/isbn&gt;&lt;urls&gt;&lt;related-urls&gt;&lt;url&gt;http://www.sciencedirect.com/science/article/pii/S0033350618302762&lt;/url&gt;&lt;/related-urls&gt;&lt;/urls&gt;&lt;electronic-resource-num&gt;10.1016/j.puhe.2018.08.009&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(Kirkham et al., 2018)</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t>
      </w:r>
    </w:p>
    <w:p w14:paraId="46B2560C" w14:textId="77777777" w:rsidR="009D683D" w:rsidRPr="009D683D" w:rsidRDefault="009D683D" w:rsidP="009D683D">
      <w:pPr>
        <w:keepNext/>
        <w:keepLines/>
        <w:numPr>
          <w:ilvl w:val="2"/>
          <w:numId w:val="0"/>
        </w:numPr>
        <w:spacing w:before="40" w:after="0"/>
        <w:ind w:left="720" w:hanging="720"/>
        <w:outlineLvl w:val="2"/>
        <w:rPr>
          <w:rFonts w:ascii="Calibri Light" w:eastAsia="Times New Roman" w:hAnsi="Calibri Light" w:cs="Times New Roman"/>
          <w:sz w:val="24"/>
          <w:szCs w:val="24"/>
        </w:rPr>
      </w:pPr>
      <w:bookmarkStart w:id="39" w:name="_Toc2585804"/>
      <w:r w:rsidRPr="009D683D">
        <w:rPr>
          <w:rFonts w:ascii="Calibri Light" w:eastAsia="Times New Roman" w:hAnsi="Calibri Light" w:cs="Times New Roman"/>
          <w:sz w:val="24"/>
          <w:szCs w:val="24"/>
        </w:rPr>
        <w:t>Patient-led Participatory Action Research (PAR) Project</w:t>
      </w:r>
      <w:bookmarkEnd w:id="39"/>
    </w:p>
    <w:p w14:paraId="429BF2E2"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The patient-led PAR project, run by the Menzies School of Health Research between July 2016 and May 2017, involved the development of patient-led cultural awareness training for renal nurses and was catalysed by the Central Australian Renal Voice (CARV) consumer group. Members from the CARV consumer group expressed an interest in teaching renal nurses about Indigenous culture and in building better relationships between Indigenous people on dialysis and the nurses who deliver their </w:t>
      </w:r>
      <w:r w:rsidRPr="009D683D">
        <w:rPr>
          <w:rFonts w:ascii="Calibri" w:eastAsia="Calibri" w:hAnsi="Calibri" w:cs="Times New Roman"/>
          <w:sz w:val="22"/>
        </w:rPr>
        <w:lastRenderedPageBreak/>
        <w:t xml:space="preserve">care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&lt;EndNote&gt;&lt;Cite&gt;&lt;Author&gt;Togni&lt;/Author&gt;&lt;Year&gt;2017&lt;/Year&gt;&lt;RecNum&gt;319&lt;/RecNum&gt;&lt;DisplayText&gt;(Togni et al., 2017)&lt;/DisplayText&gt;&lt;record&gt;&lt;rec-number&gt;319&lt;/rec-number&gt;&lt;foreign-keys&gt;&lt;key app="EN" db-id="ews5ve9enfwav7etdtjvztfdrftvwrf9vrsx" timestamp="1545364911"&gt;319&lt;/key&gt;&lt;/foreign-keys&gt;&lt;ref-type name="Government Document"&gt;46&lt;/ref-type&gt;&lt;contributors&gt;&lt;authors&gt;&lt;author&gt;Togni, S.&lt;/author&gt;&lt;author&gt;Nangala, I.&lt;/author&gt;&lt;author&gt;Heffernan, M.&lt;/author&gt;&lt;author&gt;Bonney, E.&lt;/author&gt;&lt;author&gt;Smith, M.&lt;/author&gt;&lt;author&gt;Nelson, A.&lt;/author&gt;&lt;author&gt;Taylor, K.&lt;/author&gt;&lt;author&gt;Robinson, G. &lt;/author&gt;&lt;author&gt;Gonos, B.&lt;/author&gt;&lt;author&gt;Gorham, G. &lt;/author&gt;&lt;/authors&gt;&lt;/contributors&gt;&lt;titles&gt;&lt;title&gt;Final Report - Patient-led Participatory Action Research Project: Patient-led pathways to cultural understanding and better patient-nurse relationships in renal care&lt;/title&gt;&lt;/titles&gt;&lt;dates&gt;&lt;year&gt;2017&lt;/year&gt;&lt;/dates&gt;&lt;pub-location&gt;Darwin&lt;/pub-location&gt;&lt;publisher&gt;Menzies School of Health Research &lt;/publisher&gt;&lt;urls&gt;&lt;/urls&gt;&lt;/record&gt;&lt;/Cite&gt;&lt;/EndNote&gt;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(Togni et al., 2017)</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Nurses were recruited from each of the Alice Springs </w:t>
      </w:r>
      <w:proofErr w:type="spellStart"/>
      <w:r w:rsidRPr="009D683D">
        <w:rPr>
          <w:rFonts w:ascii="Calibri" w:eastAsia="Calibri" w:hAnsi="Calibri" w:cs="Times New Roman"/>
          <w:sz w:val="22"/>
        </w:rPr>
        <w:t>renal</w:t>
      </w:r>
      <w:proofErr w:type="spellEnd"/>
      <w:r w:rsidRPr="009D683D">
        <w:rPr>
          <w:rFonts w:ascii="Calibri" w:eastAsia="Calibri" w:hAnsi="Calibri" w:cs="Times New Roman"/>
          <w:sz w:val="22"/>
        </w:rPr>
        <w:t xml:space="preserve"> units and Purple House (WDNWPT), and participated in a series of workshops that provided information on language, living on country, bush foods and medicines, hunting, cultural and family obligations, and how to make Indigenous people feel comfortable in dialysis units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&lt;EndNote&gt;&lt;Cite&gt;&lt;Author&gt;Togni&lt;/Author&gt;&lt;Year&gt;2017&lt;/Year&gt;&lt;RecNum&gt;319&lt;/RecNum&gt;&lt;DisplayText&gt;(Togni et al., 2017)&lt;/DisplayText&gt;&lt;record&gt;&lt;rec-number&gt;319&lt;/rec-number&gt;&lt;foreign-keys&gt;&lt;key app="EN" db-id="ews5ve9enfwav7etdtjvztfdrftvwrf9vrsx" timestamp="1545364911"&gt;319&lt;/key&gt;&lt;/foreign-keys&gt;&lt;ref-type name="Government Document"&gt;46&lt;/ref-type&gt;&lt;contributors&gt;&lt;authors&gt;&lt;author&gt;Togni, S.&lt;/author&gt;&lt;author&gt;Nangala, I.&lt;/author&gt;&lt;author&gt;Heffernan, M.&lt;/author&gt;&lt;author&gt;Bonney, E.&lt;/author&gt;&lt;author&gt;Smith, M.&lt;/author&gt;&lt;author&gt;Nelson, A.&lt;/author&gt;&lt;author&gt;Taylor, K.&lt;/author&gt;&lt;author&gt;Robinson, G. &lt;/author&gt;&lt;author&gt;Gonos, B.&lt;/author&gt;&lt;author&gt;Gorham, G. &lt;/author&gt;&lt;/authors&gt;&lt;/contributors&gt;&lt;titles&gt;&lt;title&gt;Final Report - Patient-led Participatory Action Research Project: Patient-led pathways to cultural understanding and better patient-nurse relationships in renal care&lt;/title&gt;&lt;/titles&gt;&lt;dates&gt;&lt;year&gt;2017&lt;/year&gt;&lt;/dates&gt;&lt;pub-location&gt;Darwin&lt;/pub-location&gt;&lt;publisher&gt;Menzies School of Health Research &lt;/publisher&gt;&lt;urls&gt;&lt;/urls&gt;&lt;/record&gt;&lt;/Cite&gt;&lt;/EndNote&gt;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(Togni et al., 2017)</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Nurses who participated in the project reported that the workshops strengthened their relationships with co-researchers and patients and influenced their practice, thus improving the delivery of culturally sensitive and patient-centred care to Indigenous dialysis patients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&lt;EndNote&gt;&lt;Cite&gt;&lt;Author&gt;Togni&lt;/Author&gt;&lt;Year&gt;2017&lt;/Year&gt;&lt;RecNum&gt;319&lt;/RecNum&gt;&lt;DisplayText&gt;(Togni et al., 2017)&lt;/DisplayText&gt;&lt;record&gt;&lt;rec-number&gt;319&lt;/rec-number&gt;&lt;foreign-keys&gt;&lt;key app="EN" db-id="ews5ve9enfwav7etdtjvztfdrftvwrf9vrsx" timestamp="1545364911"&gt;319&lt;/key&gt;&lt;/foreign-keys&gt;&lt;ref-type name="Government Document"&gt;46&lt;/ref-type&gt;&lt;contributors&gt;&lt;authors&gt;&lt;author&gt;Togni, S.&lt;/author&gt;&lt;author&gt;Nangala, I.&lt;/author&gt;&lt;author&gt;Heffernan, M.&lt;/author&gt;&lt;author&gt;Bonney, E.&lt;/author&gt;&lt;author&gt;Smith, M.&lt;/author&gt;&lt;author&gt;Nelson, A.&lt;/author&gt;&lt;author&gt;Taylor, K.&lt;/author&gt;&lt;author&gt;Robinson, G. &lt;/author&gt;&lt;author&gt;Gonos, B.&lt;/author&gt;&lt;author&gt;Gorham, G. &lt;/author&gt;&lt;/authors&gt;&lt;/contributors&gt;&lt;titles&gt;&lt;title&gt;Final Report - Patient-led Participatory Action Research Project: Patient-led pathways to cultural understanding and better patient-nurse relationships in renal care&lt;/title&gt;&lt;/titles&gt;&lt;dates&gt;&lt;year&gt;2017&lt;/year&gt;&lt;/dates&gt;&lt;pub-location&gt;Darwin&lt;/pub-location&gt;&lt;publisher&gt;Menzies School of Health Research &lt;/publisher&gt;&lt;urls&gt;&lt;/urls&gt;&lt;/record&gt;&lt;/Cite&gt;&lt;/EndNote&gt;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(Togni et al., 2017)</w:t>
      </w:r>
      <w:r w:rsidRPr="009D683D">
        <w:rPr>
          <w:rFonts w:ascii="Calibri" w:eastAsia="Calibri" w:hAnsi="Calibri" w:cs="Times New Roman"/>
          <w:sz w:val="22"/>
        </w:rPr>
        <w:fldChar w:fldCharType="end"/>
      </w:r>
      <w:r w:rsidRPr="009D683D">
        <w:rPr>
          <w:rFonts w:ascii="Calibri" w:eastAsia="Calibri" w:hAnsi="Calibri" w:cs="Times New Roman"/>
          <w:sz w:val="22"/>
        </w:rPr>
        <w:t>.</w:t>
      </w:r>
    </w:p>
    <w:p w14:paraId="73C1B0D9" w14:textId="77777777" w:rsidR="009D683D" w:rsidRPr="009D683D" w:rsidRDefault="009D683D" w:rsidP="009D683D">
      <w:pPr>
        <w:keepNext/>
        <w:keepLines/>
        <w:numPr>
          <w:ilvl w:val="2"/>
          <w:numId w:val="0"/>
        </w:numPr>
        <w:spacing w:before="40" w:after="0"/>
        <w:ind w:left="720" w:hanging="720"/>
        <w:outlineLvl w:val="2"/>
        <w:rPr>
          <w:rFonts w:ascii="Calibri Light" w:eastAsia="Times New Roman" w:hAnsi="Calibri Light" w:cs="Times New Roman"/>
          <w:sz w:val="24"/>
          <w:szCs w:val="24"/>
        </w:rPr>
      </w:pPr>
      <w:bookmarkStart w:id="40" w:name="_Toc2585805"/>
      <w:r w:rsidRPr="009D683D">
        <w:rPr>
          <w:rFonts w:ascii="Calibri Light" w:eastAsia="Times New Roman" w:hAnsi="Calibri Light" w:cs="Times New Roman"/>
          <w:sz w:val="24"/>
          <w:szCs w:val="24"/>
        </w:rPr>
        <w:t>IMPAKT</w:t>
      </w:r>
      <w:bookmarkEnd w:id="40"/>
    </w:p>
    <w:p w14:paraId="68AA727C"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The IMPAKT project, coordinated by the Menzies School of Health Research between 2004 and 2008, investigated the disparity in access to kidney transplants between Indigenous and non-Indigenous Australians. The team of IMPAKT researchers visited and worked in 26 locations across South Australia, New South Wales, Queensland, Western Australia and the Northern Territory, including urban centres, regional towns and remote communities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&lt;EndNote&gt;&lt;Cite&gt;&lt;Author&gt;Devitt&lt;/Author&gt;&lt;Year&gt;2008&lt;/Year&gt;&lt;RecNum&gt;27&lt;/RecNum&gt;&lt;DisplayText&gt;(Devitt et al., 2008)&lt;/DisplayText&gt;&lt;record&gt;&lt;rec-number&gt;27&lt;/rec-number&gt;&lt;foreign-keys&gt;&lt;key app="EN" db-id="ews5ve9enfwav7etdtjvztfdrftvwrf9vrsx" timestamp="1543203950"&gt;27&lt;/key&gt;&lt;/foreign-keys&gt;&lt;ref-type name="Journal Article"&gt;17&lt;/ref-type&gt;&lt;contributors&gt;&lt;authors&gt;&lt;author&gt;Devitt, J.&lt;/author&gt;&lt;author&gt;Cass, A.&lt;/author&gt;&lt;author&gt;Cunningham, J.&lt;/author&gt;&lt;author&gt;Preece, C.&lt;/author&gt;&lt;author&gt;Anderson, K.&lt;/author&gt;&lt;author&gt;Snelling, P.&lt;/author&gt;&lt;/authors&gt;&lt;/contributors&gt;&lt;titles&gt;&lt;title&gt;Study Protocol - Improving Access to Kidney Transplants (IMPAKT): a detailed account of a qualitative study investigating barriers to transplant for Australian Indigenous people with end-stage kidney disease&lt;/title&gt;&lt;secondary-title&gt;BMC Health Serv Res&lt;/secondary-title&gt;&lt;/titles&gt;&lt;periodical&gt;&lt;full-title&gt;BMC Health Serv Res&lt;/full-title&gt;&lt;/periodical&gt;&lt;volume&gt;8&lt;/volume&gt;&lt;dates&gt;&lt;year&gt;2008&lt;/year&gt;&lt;/dates&gt;&lt;label&gt;Devitt2008&lt;/label&gt;&lt;urls&gt;&lt;related-urls&gt;&lt;url&gt;https://doi.org/10.1186/1472-6963-8-31&lt;/url&gt;&lt;/related-urls&gt;&lt;/urls&gt;&lt;electronic-resource-num&gt;10.1186/1472-6963-8-31&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(Devitt et al., 2008)</w:t>
      </w:r>
      <w:r w:rsidRPr="009D683D">
        <w:rPr>
          <w:rFonts w:ascii="Calibri" w:eastAsia="Calibri" w:hAnsi="Calibri" w:cs="Times New Roman"/>
          <w:sz w:val="22"/>
        </w:rPr>
        <w:fldChar w:fldCharType="end"/>
      </w:r>
      <w:r w:rsidRPr="009D683D">
        <w:rPr>
          <w:rFonts w:ascii="Calibri" w:eastAsia="Calibri" w:hAnsi="Calibri" w:cs="Times New Roman"/>
          <w:sz w:val="22"/>
        </w:rPr>
        <w:t>. The project involved an in-depth exploration of patients’ and health care providers’ perceptions and attitudes toward transplant services, and specifically focussed on the following key objectives:</w:t>
      </w:r>
    </w:p>
    <w:p w14:paraId="6DF6F069" w14:textId="77777777" w:rsidR="009D683D" w:rsidRPr="009D683D" w:rsidRDefault="009D683D" w:rsidP="00782640">
      <w:pPr>
        <w:numPr>
          <w:ilvl w:val="0"/>
          <w:numId w:val="34"/>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To assess the impact of medical and socio-demographic variables, especially Indigenous status, on the likelihood of being deemed medically suitable for renal transplant;</w:t>
      </w:r>
    </w:p>
    <w:p w14:paraId="3571E588" w14:textId="77777777" w:rsidR="009D683D" w:rsidRPr="009D683D" w:rsidRDefault="009D683D" w:rsidP="00782640">
      <w:pPr>
        <w:numPr>
          <w:ilvl w:val="0"/>
          <w:numId w:val="34"/>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To evaluate the appropriateness, accessibility and effectiveness of patient education programs about renal transplant for Indigenous patients;</w:t>
      </w:r>
    </w:p>
    <w:p w14:paraId="6D7F4FC5" w14:textId="77777777" w:rsidR="009D683D" w:rsidRPr="009D683D" w:rsidRDefault="009D683D" w:rsidP="00782640">
      <w:pPr>
        <w:numPr>
          <w:ilvl w:val="0"/>
          <w:numId w:val="34"/>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To identify systemic barriers to completing the essential steps towards transplant;</w:t>
      </w:r>
    </w:p>
    <w:p w14:paraId="48242FB4" w14:textId="747A9994" w:rsidR="009D683D" w:rsidRDefault="009D683D" w:rsidP="00782640">
      <w:pPr>
        <w:numPr>
          <w:ilvl w:val="0"/>
          <w:numId w:val="34"/>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 xml:space="preserve">To examine the effect of current deceased-organ allocation algorithms upon Indigenous patients’ access to transplant, and to model alternative allocations; and </w:t>
      </w:r>
    </w:p>
    <w:p w14:paraId="1E62C00C" w14:textId="070EB964" w:rsidR="00AB0366" w:rsidRDefault="00AB0366" w:rsidP="00782640">
      <w:pPr>
        <w:numPr>
          <w:ilvl w:val="0"/>
          <w:numId w:val="34"/>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 xml:space="preserve">To collaborate with health service providers to investigate current practices and to improve the efficiency and equity of transplant services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&lt;EndNote&gt;&lt;Cite&gt;&lt;Author&gt;Devitt&lt;/Author&gt;&lt;Year&gt;2008&lt;/Year&gt;&lt;RecNum&gt;27&lt;/RecNum&gt;&lt;DisplayText&gt;(Devitt et al., 2008)&lt;/DisplayText&gt;&lt;record&gt;&lt;rec-number&gt;27&lt;/rec-number&gt;&lt;foreign-keys&gt;&lt;key app="EN" db-id="ews5ve9enfwav7etdtjvztfdrftvwrf9vrsx" timestamp="1543203950"&gt;27&lt;/key&gt;&lt;/foreign-keys&gt;&lt;ref-type name="Journal Article"&gt;17&lt;/ref-type&gt;&lt;contributors&gt;&lt;authors&gt;&lt;author&gt;Devitt, J.&lt;/author&gt;&lt;author&gt;Cass, A.&lt;/author&gt;&lt;author&gt;Cunningham, J.&lt;/author&gt;&lt;author&gt;Preece, C.&lt;/author&gt;&lt;author&gt;Anderson, K.&lt;/author&gt;&lt;author&gt;Snelling, P.&lt;/author&gt;&lt;/authors&gt;&lt;/contributors&gt;&lt;titles&gt;&lt;title&gt;Study Protocol - Improving Access to Kidney Transplants (IMPAKT): a detailed account of a qualitative study investigating barriers to transplant for Australian Indigenous people with end-stage kidney disease&lt;/title&gt;&lt;secondary-title&gt;BMC Health Serv Res&lt;/secondary-title&gt;&lt;/titles&gt;&lt;periodical&gt;&lt;full-title&gt;BMC Health Serv Res&lt;/full-title&gt;&lt;/periodical&gt;&lt;volume&gt;8&lt;/volume&gt;&lt;dates&gt;&lt;year&gt;2008&lt;/year&gt;&lt;/dates&gt;&lt;label&gt;Devitt2008&lt;/label&gt;&lt;urls&gt;&lt;related-urls&gt;&lt;url&gt;https://doi.org/10.1186/1472-6963-8-31&lt;/url&gt;&lt;/related-urls&gt;&lt;/urls&gt;&lt;electronic-resource-num&gt;10.1186/1472-6963-8-31&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(Devitt et al., 2008)</w:t>
      </w:r>
      <w:r w:rsidRPr="009D683D">
        <w:rPr>
          <w:rFonts w:ascii="Calibri" w:eastAsia="Calibri" w:hAnsi="Calibri" w:cs="Times New Roman"/>
          <w:sz w:val="22"/>
        </w:rPr>
        <w:fldChar w:fldCharType="end"/>
      </w:r>
      <w:r w:rsidRPr="009D683D">
        <w:rPr>
          <w:rFonts w:ascii="Calibri" w:eastAsia="Calibri" w:hAnsi="Calibri" w:cs="Times New Roman"/>
          <w:sz w:val="22"/>
        </w:rPr>
        <w:t>.</w:t>
      </w:r>
    </w:p>
    <w:p w14:paraId="5AEAF164" w14:textId="77777777" w:rsidR="0055104B" w:rsidRPr="009D683D" w:rsidRDefault="0055104B" w:rsidP="0055104B">
      <w:pPr>
        <w:spacing w:line="276" w:lineRule="auto"/>
        <w:ind w:left="927"/>
        <w:contextualSpacing/>
        <w:jc w:val="both"/>
        <w:rPr>
          <w:rFonts w:ascii="Calibri" w:eastAsia="Calibri" w:hAnsi="Calibri" w:cs="Times New Roman"/>
          <w:sz w:val="22"/>
        </w:rPr>
      </w:pPr>
    </w:p>
    <w:p w14:paraId="2F46DF0A" w14:textId="1205682F" w:rsidR="009D683D" w:rsidRPr="009D683D" w:rsidRDefault="009D683D" w:rsidP="00AB0366">
      <w:pPr>
        <w:spacing w:after="120" w:line="276" w:lineRule="auto"/>
        <w:ind w:left="567"/>
        <w:jc w:val="both"/>
        <w:rPr>
          <w:rFonts w:ascii="Calibri" w:eastAsia="Calibri" w:hAnsi="Calibri" w:cs="Times New Roman"/>
          <w:sz w:val="22"/>
        </w:rPr>
      </w:pPr>
      <w:r w:rsidRPr="009D683D">
        <w:rPr>
          <w:rFonts w:ascii="Calibri" w:eastAsia="Calibri" w:hAnsi="Calibri" w:cs="Times New Roman"/>
          <w:noProof/>
          <w:sz w:val="22"/>
          <w:lang w:eastAsia="en-AU"/>
        </w:rPr>
        <mc:AlternateContent>
          <mc:Choice Requires="wps">
            <w:drawing>
              <wp:inline distT="0" distB="0" distL="0" distR="0" wp14:anchorId="3D4C3A95" wp14:editId="34EB54CD">
                <wp:extent cx="5705475" cy="3362325"/>
                <wp:effectExtent l="0" t="0" r="28575" b="2857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362325"/>
                        </a:xfrm>
                        <a:prstGeom prst="rect">
                          <a:avLst/>
                        </a:prstGeom>
                        <a:solidFill>
                          <a:srgbClr val="70AD47">
                            <a:lumMod val="20000"/>
                            <a:lumOff val="80000"/>
                          </a:srgbClr>
                        </a:solidFill>
                        <a:ln w="9525">
                          <a:solidFill>
                            <a:srgbClr val="000000"/>
                          </a:solidFill>
                          <a:miter lim="800000"/>
                          <a:headEnd/>
                          <a:tailEnd/>
                        </a:ln>
                      </wps:spPr>
                      <wps:txbx>
                        <w:txbxContent>
                          <w:p w14:paraId="10B7C804" w14:textId="77777777" w:rsidR="00A41391" w:rsidRPr="00BB1690" w:rsidRDefault="00A41391" w:rsidP="009D683D">
                            <w:pPr>
                              <w:spacing w:line="276" w:lineRule="auto"/>
                              <w:jc w:val="both"/>
                              <w:rPr>
                                <w:b/>
                                <w:sz w:val="24"/>
                              </w:rPr>
                            </w:pPr>
                            <w:r w:rsidRPr="00BB1690">
                              <w:rPr>
                                <w:b/>
                                <w:sz w:val="24"/>
                              </w:rPr>
                              <w:t xml:space="preserve">Box </w:t>
                            </w:r>
                            <w:r>
                              <w:rPr>
                                <w:b/>
                                <w:sz w:val="24"/>
                              </w:rPr>
                              <w:t>4</w:t>
                            </w:r>
                            <w:r w:rsidRPr="00BB1690">
                              <w:rPr>
                                <w:b/>
                                <w:sz w:val="24"/>
                              </w:rPr>
                              <w:t>: Core themes identified by IMPAKT</w:t>
                            </w:r>
                          </w:p>
                          <w:p w14:paraId="758104BC" w14:textId="77777777" w:rsidR="00A41391" w:rsidRDefault="00A41391" w:rsidP="00782640">
                            <w:pPr>
                              <w:pStyle w:val="ListParagraph"/>
                              <w:numPr>
                                <w:ilvl w:val="0"/>
                                <w:numId w:val="35"/>
                              </w:numPr>
                              <w:spacing w:line="276" w:lineRule="auto"/>
                              <w:jc w:val="both"/>
                            </w:pPr>
                            <w:r>
                              <w:t>Indigenous patients’ interest in transplant:</w:t>
                            </w:r>
                          </w:p>
                          <w:p w14:paraId="719FA4D8" w14:textId="77777777" w:rsidR="00A41391" w:rsidRDefault="00A41391" w:rsidP="00782640">
                            <w:pPr>
                              <w:pStyle w:val="ListParagraph"/>
                              <w:numPr>
                                <w:ilvl w:val="0"/>
                                <w:numId w:val="36"/>
                              </w:numPr>
                              <w:spacing w:line="276" w:lineRule="auto"/>
                              <w:jc w:val="both"/>
                            </w:pPr>
                            <w:r>
                              <w:t>Indigenous patients are interested in transplant but unclear about the process. They also wish to be better informed about their treatment plans.</w:t>
                            </w:r>
                          </w:p>
                          <w:p w14:paraId="1483D8C0" w14:textId="77777777" w:rsidR="00A41391" w:rsidRDefault="00A41391" w:rsidP="00782640">
                            <w:pPr>
                              <w:pStyle w:val="ListParagraph"/>
                              <w:numPr>
                                <w:ilvl w:val="0"/>
                                <w:numId w:val="36"/>
                              </w:numPr>
                              <w:spacing w:line="276" w:lineRule="auto"/>
                              <w:jc w:val="both"/>
                            </w:pPr>
                            <w:r>
                              <w:t>Patient education is not culturally tailored for Indigenous people.</w:t>
                            </w:r>
                          </w:p>
                          <w:p w14:paraId="211EEEFB" w14:textId="77777777" w:rsidR="00A41391" w:rsidRDefault="00A41391" w:rsidP="00782640">
                            <w:pPr>
                              <w:pStyle w:val="ListParagraph"/>
                              <w:numPr>
                                <w:ilvl w:val="0"/>
                                <w:numId w:val="35"/>
                              </w:numPr>
                              <w:spacing w:line="276" w:lineRule="auto"/>
                              <w:jc w:val="both"/>
                            </w:pPr>
                            <w:r>
                              <w:t>Clinical uncertainties:</w:t>
                            </w:r>
                          </w:p>
                          <w:p w14:paraId="3AC2D39F" w14:textId="77777777" w:rsidR="00A41391" w:rsidRDefault="00A41391" w:rsidP="00782640">
                            <w:pPr>
                              <w:pStyle w:val="ListParagraph"/>
                              <w:numPr>
                                <w:ilvl w:val="0"/>
                                <w:numId w:val="36"/>
                              </w:numPr>
                              <w:spacing w:line="276" w:lineRule="auto"/>
                              <w:jc w:val="both"/>
                            </w:pPr>
                            <w:r>
                              <w:t>Many key transplant decision-makers are uncertain about the benefits of transplant for Indigenous patients.</w:t>
                            </w:r>
                          </w:p>
                          <w:p w14:paraId="5F3D5CB1" w14:textId="77777777" w:rsidR="00A41391" w:rsidRDefault="00A41391" w:rsidP="00782640">
                            <w:pPr>
                              <w:pStyle w:val="ListParagraph"/>
                              <w:numPr>
                                <w:ilvl w:val="0"/>
                                <w:numId w:val="36"/>
                              </w:numPr>
                              <w:spacing w:line="276" w:lineRule="auto"/>
                              <w:jc w:val="both"/>
                            </w:pPr>
                            <w:r>
                              <w:t>There is a widespread perception among health service providers that Indigenous patients are less likely to adhere to treatment requirements.</w:t>
                            </w:r>
                          </w:p>
                          <w:p w14:paraId="5019DBA6" w14:textId="77777777" w:rsidR="00A41391" w:rsidRDefault="00A41391" w:rsidP="00782640">
                            <w:pPr>
                              <w:pStyle w:val="ListParagraph"/>
                              <w:numPr>
                                <w:ilvl w:val="0"/>
                                <w:numId w:val="35"/>
                              </w:numPr>
                              <w:spacing w:line="276" w:lineRule="auto"/>
                              <w:jc w:val="both"/>
                            </w:pPr>
                            <w:r>
                              <w:t>Systemic issues:</w:t>
                            </w:r>
                          </w:p>
                          <w:p w14:paraId="0B0C57FC" w14:textId="77777777" w:rsidR="00A41391" w:rsidRDefault="00A41391" w:rsidP="00782640">
                            <w:pPr>
                              <w:pStyle w:val="ListParagraph"/>
                              <w:numPr>
                                <w:ilvl w:val="0"/>
                                <w:numId w:val="36"/>
                              </w:numPr>
                              <w:spacing w:line="276" w:lineRule="auto"/>
                              <w:jc w:val="both"/>
                            </w:pPr>
                            <w:r>
                              <w:t>Communication issues profoundly affect patient/provider interactions at all levels in ways that disadvantage Indigenous patients.</w:t>
                            </w:r>
                          </w:p>
                          <w:p w14:paraId="73980881" w14:textId="77777777" w:rsidR="00A41391" w:rsidRDefault="00A41391" w:rsidP="00782640">
                            <w:pPr>
                              <w:pStyle w:val="ListParagraph"/>
                              <w:numPr>
                                <w:ilvl w:val="0"/>
                                <w:numId w:val="36"/>
                              </w:numPr>
                              <w:spacing w:line="276" w:lineRule="auto"/>
                              <w:jc w:val="both"/>
                            </w:pPr>
                            <w:r>
                              <w:t>Under-resourcing and systems deficits, especially in regional areas, reduce capacity to address the needs of Indigenous patients.</w:t>
                            </w:r>
                          </w:p>
                          <w:p w14:paraId="2A8B3247" w14:textId="77777777" w:rsidR="00A41391" w:rsidRDefault="00A41391" w:rsidP="00782640">
                            <w:pPr>
                              <w:pStyle w:val="ListParagraph"/>
                              <w:numPr>
                                <w:ilvl w:val="0"/>
                                <w:numId w:val="36"/>
                              </w:numPr>
                              <w:spacing w:line="276" w:lineRule="auto"/>
                              <w:jc w:val="both"/>
                            </w:pPr>
                            <w:r>
                              <w:t xml:space="preserve">Distance and remoteness have a profound impact on patient care </w:t>
                            </w:r>
                            <w:r>
                              <w:fldChar w:fldCharType="begin"/>
                            </w:r>
                            <w:r>
                              <w:instrText xml:space="preserve"> ADDIN EN.CITE &lt;EndNote&gt;&lt;Cite&gt;&lt;Year&gt;2013&lt;/Year&gt;&lt;RecNum&gt;316&lt;/RecNum&gt;&lt;DisplayText&gt;(&amp;quot;IMPAKT &amp;quot;, 2013)&lt;/DisplayText&gt;&lt;record&gt;&lt;rec-number&gt;316&lt;/rec-number&gt;&lt;foreign-keys&gt;&lt;key app="EN" db-id="ews5ve9enfwav7etdtjvztfdrftvwrf9vrsx" timestamp="1545355717"&gt;316&lt;/key&gt;&lt;/foreign-keys&gt;&lt;ref-type name="Web Page"&gt;12&lt;/ref-type&gt;&lt;contributors&gt;&lt;/contributors&gt;&lt;titles&gt;&lt;title&gt;IMPAKT &lt;/title&gt;&lt;/titles&gt;&lt;volume&gt;2018&lt;/volume&gt;&lt;number&gt;21 December&lt;/number&gt;&lt;dates&gt;&lt;year&gt;2013&lt;/year&gt;&lt;/dates&gt;&lt;publisher&gt;The Lowitja Institute&lt;/publisher&gt;&lt;urls&gt;&lt;related-urls&gt;&lt;url&gt;https://www.lowitja.org.au/impakt&lt;/url&gt;&lt;/related-urls&gt;&lt;/urls&gt;&lt;/record&gt;&lt;/Cite&gt;&lt;/EndNote&gt;</w:instrText>
                            </w:r>
                            <w:r>
                              <w:fldChar w:fldCharType="separate"/>
                            </w:r>
                            <w:r>
                              <w:rPr>
                                <w:noProof/>
                              </w:rPr>
                              <w:t>("IMPAKT ", 2013)</w:t>
                            </w:r>
                            <w:r>
                              <w:fldChar w:fldCharType="end"/>
                            </w:r>
                            <w:r>
                              <w:t>.</w:t>
                            </w:r>
                          </w:p>
                          <w:p w14:paraId="3914998C" w14:textId="77777777" w:rsidR="00A41391" w:rsidRPr="00666120" w:rsidRDefault="00A41391" w:rsidP="009D683D">
                            <w:pPr>
                              <w:spacing w:line="276" w:lineRule="auto"/>
                              <w:jc w:val="both"/>
                            </w:pPr>
                          </w:p>
                        </w:txbxContent>
                      </wps:txbx>
                      <wps:bodyPr rot="0" vert="horz" wrap="square" lIns="91440" tIns="45720" rIns="91440" bIns="45720" anchor="t" anchorCtr="0">
                        <a:noAutofit/>
                      </wps:bodyPr>
                    </wps:wsp>
                  </a:graphicData>
                </a:graphic>
              </wp:inline>
            </w:drawing>
          </mc:Choice>
          <mc:Fallback>
            <w:pict>
              <v:shape w14:anchorId="3D4C3A95" id="_x0000_s1032" type="#_x0000_t202" style="width:449.25pt;height:26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" fillcolor="#e2f0d9">
                <v:textbox>
                  <w:txbxContent>
                    <w:p w14:paraId="10B7C804" w14:textId="77777777" w:rsidR="00A41391" w:rsidRPr="00BB1690" w:rsidRDefault="00A41391" w:rsidP="009D683D">
                      <w:pPr>
                        <w:spacing w:line="276" w:lineRule="auto"/>
                        <w:jc w:val="both"/>
                        <w:rPr>
                          <w:b/>
                          <w:sz w:val="24"/>
                        </w:rPr>
                      </w:pPr>
                      <w:r w:rsidRPr="00BB1690">
                        <w:rPr>
                          <w:b/>
                          <w:sz w:val="24"/>
                        </w:rPr>
                        <w:t xml:space="preserve">Box </w:t>
                      </w:r>
                      <w:r>
                        <w:rPr>
                          <w:b/>
                          <w:sz w:val="24"/>
                        </w:rPr>
                        <w:t>4</w:t>
                      </w:r>
                      <w:r w:rsidRPr="00BB1690">
                        <w:rPr>
                          <w:b/>
                          <w:sz w:val="24"/>
                        </w:rPr>
                        <w:t>: Core themes identified by IMPAKT</w:t>
                      </w:r>
                    </w:p>
                    <w:p w14:paraId="758104BC" w14:textId="77777777" w:rsidR="00A41391" w:rsidRDefault="00A41391" w:rsidP="00782640">
                      <w:pPr>
                        <w:pStyle w:val="ListParagraph"/>
                        <w:numPr>
                          <w:ilvl w:val="0"/>
                          <w:numId w:val="35"/>
                        </w:numPr>
                        <w:spacing w:line="276" w:lineRule="auto"/>
                        <w:jc w:val="both"/>
                      </w:pPr>
                      <w:r>
                        <w:t>Indigenous patients’ interest in transplant:</w:t>
                      </w:r>
                    </w:p>
                    <w:p w14:paraId="719FA4D8" w14:textId="77777777" w:rsidR="00A41391" w:rsidRDefault="00A41391" w:rsidP="00782640">
                      <w:pPr>
                        <w:pStyle w:val="ListParagraph"/>
                        <w:numPr>
                          <w:ilvl w:val="0"/>
                          <w:numId w:val="36"/>
                        </w:numPr>
                        <w:spacing w:line="276" w:lineRule="auto"/>
                        <w:jc w:val="both"/>
                      </w:pPr>
                      <w:r>
                        <w:t>Indigenous patients are interested in transplant but unclear about the process. They also wish to be better informed about their treatment plans.</w:t>
                      </w:r>
                    </w:p>
                    <w:p w14:paraId="1483D8C0" w14:textId="77777777" w:rsidR="00A41391" w:rsidRDefault="00A41391" w:rsidP="00782640">
                      <w:pPr>
                        <w:pStyle w:val="ListParagraph"/>
                        <w:numPr>
                          <w:ilvl w:val="0"/>
                          <w:numId w:val="36"/>
                        </w:numPr>
                        <w:spacing w:line="276" w:lineRule="auto"/>
                        <w:jc w:val="both"/>
                      </w:pPr>
                      <w:r>
                        <w:t>Patient education is not culturally tailored for Indigenous people.</w:t>
                      </w:r>
                    </w:p>
                    <w:p w14:paraId="211EEEFB" w14:textId="77777777" w:rsidR="00A41391" w:rsidRDefault="00A41391" w:rsidP="00782640">
                      <w:pPr>
                        <w:pStyle w:val="ListParagraph"/>
                        <w:numPr>
                          <w:ilvl w:val="0"/>
                          <w:numId w:val="35"/>
                        </w:numPr>
                        <w:spacing w:line="276" w:lineRule="auto"/>
                        <w:jc w:val="both"/>
                      </w:pPr>
                      <w:r>
                        <w:t>Clinical uncertainties:</w:t>
                      </w:r>
                    </w:p>
                    <w:p w14:paraId="3AC2D39F" w14:textId="77777777" w:rsidR="00A41391" w:rsidRDefault="00A41391" w:rsidP="00782640">
                      <w:pPr>
                        <w:pStyle w:val="ListParagraph"/>
                        <w:numPr>
                          <w:ilvl w:val="0"/>
                          <w:numId w:val="36"/>
                        </w:numPr>
                        <w:spacing w:line="276" w:lineRule="auto"/>
                        <w:jc w:val="both"/>
                      </w:pPr>
                      <w:r>
                        <w:t>Many key transplant decision-makers are uncertain about the benefits of transplant for Indigenous patients.</w:t>
                      </w:r>
                    </w:p>
                    <w:p w14:paraId="5F3D5CB1" w14:textId="77777777" w:rsidR="00A41391" w:rsidRDefault="00A41391" w:rsidP="00782640">
                      <w:pPr>
                        <w:pStyle w:val="ListParagraph"/>
                        <w:numPr>
                          <w:ilvl w:val="0"/>
                          <w:numId w:val="36"/>
                        </w:numPr>
                        <w:spacing w:line="276" w:lineRule="auto"/>
                        <w:jc w:val="both"/>
                      </w:pPr>
                      <w:r>
                        <w:t>There is a widespread perception among health service providers that Indigenous patients are less likely to adhere to treatment requirements.</w:t>
                      </w:r>
                    </w:p>
                    <w:p w14:paraId="5019DBA6" w14:textId="77777777" w:rsidR="00A41391" w:rsidRDefault="00A41391" w:rsidP="00782640">
                      <w:pPr>
                        <w:pStyle w:val="ListParagraph"/>
                        <w:numPr>
                          <w:ilvl w:val="0"/>
                          <w:numId w:val="35"/>
                        </w:numPr>
                        <w:spacing w:line="276" w:lineRule="auto"/>
                        <w:jc w:val="both"/>
                      </w:pPr>
                      <w:r>
                        <w:t>Systemic issues:</w:t>
                      </w:r>
                    </w:p>
                    <w:p w14:paraId="0B0C57FC" w14:textId="77777777" w:rsidR="00A41391" w:rsidRDefault="00A41391" w:rsidP="00782640">
                      <w:pPr>
                        <w:pStyle w:val="ListParagraph"/>
                        <w:numPr>
                          <w:ilvl w:val="0"/>
                          <w:numId w:val="36"/>
                        </w:numPr>
                        <w:spacing w:line="276" w:lineRule="auto"/>
                        <w:jc w:val="both"/>
                      </w:pPr>
                      <w:r>
                        <w:t>Communication issues profoundly affect patient/provider interactions at all levels in ways that disadvantage Indigenous patients.</w:t>
                      </w:r>
                    </w:p>
                    <w:p w14:paraId="73980881" w14:textId="77777777" w:rsidR="00A41391" w:rsidRDefault="00A41391" w:rsidP="00782640">
                      <w:pPr>
                        <w:pStyle w:val="ListParagraph"/>
                        <w:numPr>
                          <w:ilvl w:val="0"/>
                          <w:numId w:val="36"/>
                        </w:numPr>
                        <w:spacing w:line="276" w:lineRule="auto"/>
                        <w:jc w:val="both"/>
                      </w:pPr>
                      <w:r>
                        <w:t>Under-resourcing and systems deficits, especially in regional areas, reduce capacity to address the needs of Indigenous patients.</w:t>
                      </w:r>
                    </w:p>
                    <w:p w14:paraId="2A8B3247" w14:textId="77777777" w:rsidR="00A41391" w:rsidRDefault="00A41391" w:rsidP="00782640">
                      <w:pPr>
                        <w:pStyle w:val="ListParagraph"/>
                        <w:numPr>
                          <w:ilvl w:val="0"/>
                          <w:numId w:val="36"/>
                        </w:numPr>
                        <w:spacing w:line="276" w:lineRule="auto"/>
                        <w:jc w:val="both"/>
                      </w:pPr>
                      <w:r>
                        <w:t xml:space="preserve">Distance and remoteness have a profound impact on patient care </w:t>
                      </w:r>
                      <w:r>
                        <w:fldChar w:fldCharType="begin"/>
                      </w:r>
                      <w:r>
                        <w:instrText xml:space="preserve"> ADDIN EN.CITE &lt;EndNote&gt;&lt;Cite&gt;&lt;Year&gt;2013&lt;/Year&gt;&lt;RecNum&gt;316&lt;/RecNum&gt;&lt;DisplayText&gt;(&amp;quot;IMPAKT &amp;quot;, 2013)&lt;/DisplayText&gt;&lt;record&gt;&lt;rec-number&gt;316&lt;/rec-number&gt;&lt;foreign-keys&gt;&lt;key app="EN" db-id="ews5ve9enfwav7etdtjvztfdrftvwrf9vrsx" timestamp="1545355717"&gt;316&lt;/key&gt;&lt;/foreign-keys&gt;&lt;ref-type name="Web Page"&gt;12&lt;/ref-type&gt;&lt;contributors&gt;&lt;/contributors&gt;&lt;titles&gt;&lt;title&gt;IMPAKT &lt;/title&gt;&lt;/titles&gt;&lt;volume&gt;2018&lt;/volume&gt;&lt;number&gt;21 December&lt;/number&gt;&lt;dates&gt;&lt;year&gt;2013&lt;/year&gt;&lt;/dates&gt;&lt;publisher&gt;The Lowitja Institute&lt;/publisher&gt;&lt;urls&gt;&lt;related-urls&gt;&lt;url&gt;https://www.lowitja.org.au/impakt&lt;/url&gt;&lt;/related-urls&gt;&lt;/urls&gt;&lt;/record&gt;&lt;/Cite&gt;&lt;/EndNote&gt;</w:instrText>
                      </w:r>
                      <w:r>
                        <w:fldChar w:fldCharType="separate"/>
                      </w:r>
                      <w:r>
                        <w:rPr>
                          <w:noProof/>
                        </w:rPr>
                        <w:t>("IMPAKT ", 2013)</w:t>
                      </w:r>
                      <w:r>
                        <w:fldChar w:fldCharType="end"/>
                      </w:r>
                      <w:r>
                        <w:t>.</w:t>
                      </w:r>
                    </w:p>
                    <w:p w14:paraId="3914998C" w14:textId="77777777" w:rsidR="00A41391" w:rsidRPr="00666120" w:rsidRDefault="00A41391" w:rsidP="009D683D">
                      <w:pPr>
                        <w:spacing w:line="276" w:lineRule="auto"/>
                        <w:jc w:val="both"/>
                      </w:pPr>
                    </w:p>
                  </w:txbxContent>
                </v:textbox>
                <w10:anchorlock/>
              </v:shape>
            </w:pict>
          </mc:Fallback>
        </mc:AlternateContent>
      </w:r>
      <w:r w:rsidRPr="009D683D">
        <w:rPr>
          <w:rFonts w:ascii="Calibri" w:eastAsia="Calibri" w:hAnsi="Calibri" w:cs="Times New Roman"/>
          <w:sz w:val="22"/>
        </w:rPr>
        <w:t xml:space="preserve"> </w:t>
      </w:r>
    </w:p>
    <w:p w14:paraId="4CE74385"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lastRenderedPageBreak/>
        <w:t xml:space="preserve">The IMPAKT study team has published a number of peer-reviewed publications that speak not only to transplantation access, but more general experiences of accessing and utilising treatment for ESKD, providing key insights from patients regarding how services might be delivered to meet their needs </w:t>
      </w:r>
      <w:r w:rsidRPr="009D683D">
        <w:rPr>
          <w:rFonts w:ascii="Calibri" w:eastAsia="Calibri" w:hAnsi="Calibri" w:cs="Times New Roman"/>
          <w:sz w:val="22"/>
        </w:rPr>
        <w:fldChar w:fldCharType="begin">
          <w:fldData xml:space="preserve">PEVuZE5vdGU+PENpdGU+PEF1dGhvcj5EZXZpdHQ8L0F1dGhvcj48WWVhcj4yMDE3PC9ZZWFyPjxS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=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PEVuZE5vdGU+PENpdGU+PEF1dGhvcj5EZXZpdHQ8L0F1dGhvcj48WWVhcj4yMDE3PC9ZZWFyPjxS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=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(Anderson, Cunningham, Devitt, &amp; Cass, 2013; Anderson, Cunningham, Devitt, Preece, &amp; Cass, 2012; Anderson, Devitt, Cunningham, Preece, &amp; Cass, 2008; Devitt et al., 2017)</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t>
      </w:r>
    </w:p>
    <w:p w14:paraId="5F162AB1" w14:textId="77777777" w:rsidR="009D683D" w:rsidRPr="009D683D" w:rsidRDefault="009D683D" w:rsidP="009D683D">
      <w:pPr>
        <w:keepNext/>
        <w:keepLines/>
        <w:numPr>
          <w:ilvl w:val="2"/>
          <w:numId w:val="0"/>
        </w:numPr>
        <w:spacing w:before="40" w:after="0"/>
        <w:ind w:left="720" w:hanging="720"/>
        <w:outlineLvl w:val="2"/>
        <w:rPr>
          <w:rFonts w:ascii="Calibri Light" w:eastAsia="Times New Roman" w:hAnsi="Calibri Light" w:cs="Times New Roman"/>
          <w:sz w:val="24"/>
          <w:szCs w:val="24"/>
        </w:rPr>
      </w:pPr>
      <w:bookmarkStart w:id="41" w:name="_Toc2585806"/>
      <w:r w:rsidRPr="009D683D">
        <w:rPr>
          <w:rFonts w:ascii="Calibri Light" w:eastAsia="Times New Roman" w:hAnsi="Calibri Light" w:cs="Times New Roman"/>
          <w:sz w:val="24"/>
          <w:szCs w:val="24"/>
        </w:rPr>
        <w:t>Managing Two Worlds Together</w:t>
      </w:r>
      <w:bookmarkEnd w:id="41"/>
    </w:p>
    <w:p w14:paraId="7070BF49"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While the Managing Two Worlds Together project, led by Flinders University between 2008 and 2015, did not exclusively focus on kidney disease, it did explore a range of issues relevant to Indigenous ESKD patients. The overarching goal of the project was to improve knowledge of what works well and what needs improvement in the broader health care system for Indigenous patients from rural and remote areas of South Australia and parts of the Northern Territory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&lt;EndNote&gt;&lt;Cite&gt;&lt;Author&gt;Dwyer&lt;/Author&gt;&lt;Year&gt;2011&lt;/Year&gt;&lt;RecNum&gt;318&lt;/RecNum&gt;&lt;DisplayText&gt;(Dwyer et al., 2011)&lt;/DisplayText&gt;&lt;record&gt;&lt;rec-number&gt;318&lt;/rec-number&gt;&lt;foreign-keys&gt;&lt;key app="EN" db-id="ews5ve9enfwav7etdtjvztfdrftvwrf9vrsx" timestamp="1545364664"&gt;318&lt;/key&gt;&lt;/foreign-keys&gt;&lt;ref-type name="Government Document"&gt;46&lt;/ref-type&gt;&lt;contributors&gt;&lt;authors&gt;&lt;author&gt;Dwyer, J.&lt;/author&gt;&lt;author&gt;Kelly, J.&lt;/author&gt;&lt;author&gt;Willis, E.&lt;/author&gt;&lt;author&gt;Glover, J.&lt;/author&gt;&lt;author&gt;Mackean, T.&lt;/author&gt;&lt;author&gt;Pekarsky, B.&lt;/author&gt;&lt;author&gt;Battersby, M.&lt;/author&gt;&lt;/authors&gt;&lt;/contributors&gt;&lt;titles&gt;&lt;title&gt;Managing Two Worlds Together: City Hospital Care for Country Aboriginal People - Project Report&lt;/title&gt;&lt;/titles&gt;&lt;dates&gt;&lt;year&gt;2011&lt;/year&gt;&lt;/dates&gt;&lt;pub-location&gt;Melbourne&lt;/pub-location&gt;&lt;publisher&gt;The Lowitja Institute&lt;/publisher&gt;&lt;urls&gt;&lt;/urls&gt;&lt;/record&gt;&lt;/Cite&gt;&lt;/EndNote&gt;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(Dwyer et al., 2011)</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To achieve this, the researchers explored patients’ journeys and staff experiences, which unearthed five factors that inhibit Indigenous patients’ access to health services (outlined in Table 3). While many Australians are likely to identify with one or two of these factors, Indigenous patients commonly experience all five concurrently, and interactions between these factors further exacerbates the complexity of navigating the Australian health care system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&lt;EndNote&gt;&lt;Cite&gt;&lt;Author&gt;Dwyer&lt;/Author&gt;&lt;Year&gt;2011&lt;/Year&gt;&lt;RecNum&gt;318&lt;/RecNum&gt;&lt;DisplayText&gt;(Dwyer et al., 2011)&lt;/DisplayText&gt;&lt;record&gt;&lt;rec-number&gt;318&lt;/rec-number&gt;&lt;foreign-keys&gt;&lt;key app="EN" db-id="ews5ve9enfwav7etdtjvztfdrftvwrf9vrsx" timestamp="1545364664"&gt;318&lt;/key&gt;&lt;/foreign-keys&gt;&lt;ref-type name="Government Document"&gt;46&lt;/ref-type&gt;&lt;contributors&gt;&lt;authors&gt;&lt;author&gt;Dwyer, J.&lt;/author&gt;&lt;author&gt;Kelly, J.&lt;/author&gt;&lt;author&gt;Willis, E.&lt;/author&gt;&lt;author&gt;Glover, J.&lt;/author&gt;&lt;author&gt;Mackean, T.&lt;/author&gt;&lt;author&gt;Pekarsky, B.&lt;/author&gt;&lt;author&gt;Battersby, M.&lt;/author&gt;&lt;/authors&gt;&lt;/contributors&gt;&lt;titles&gt;&lt;title&gt;Managing Two Worlds Together: City Hospital Care for Country Aboriginal People - Project Report&lt;/title&gt;&lt;/titles&gt;&lt;dates&gt;&lt;year&gt;2011&lt;/year&gt;&lt;/dates&gt;&lt;pub-location&gt;Melbourne&lt;/pub-location&gt;&lt;publisher&gt;The Lowitja Institute&lt;/publisher&gt;&lt;urls&gt;&lt;/urls&gt;&lt;/record&gt;&lt;/Cite&gt;&lt;/EndNote&gt;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(Dwyer et al., 2011)</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t>
      </w:r>
    </w:p>
    <w:p w14:paraId="067569E0" w14:textId="77777777" w:rsidR="0055104B" w:rsidRDefault="009D683D" w:rsidP="009D683D">
      <w:pPr>
        <w:spacing w:after="120" w:line="276" w:lineRule="auto"/>
        <w:rPr>
          <w:rFonts w:ascii="Calibri" w:eastAsia="Calibri" w:hAnsi="Calibri" w:cs="Times New Roman"/>
          <w:i/>
          <w:sz w:val="22"/>
        </w:rPr>
      </w:pPr>
      <w:r w:rsidRPr="009D683D">
        <w:rPr>
          <w:rFonts w:ascii="Calibri" w:eastAsia="Calibri" w:hAnsi="Calibri" w:cs="Times New Roman"/>
          <w:noProof/>
          <w:sz w:val="22"/>
          <w:lang w:eastAsia="en-AU"/>
        </w:rPr>
        <mc:AlternateContent>
          <mc:Choice Requires="wps">
            <w:drawing>
              <wp:inline distT="0" distB="0" distL="0" distR="0" wp14:anchorId="5CD46474" wp14:editId="0BD03AF4">
                <wp:extent cx="5724525" cy="1362075"/>
                <wp:effectExtent l="0" t="0" r="28575"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362075"/>
                        </a:xfrm>
                        <a:prstGeom prst="rect">
                          <a:avLst/>
                        </a:prstGeom>
                        <a:solidFill>
                          <a:srgbClr val="70AD47">
                            <a:lumMod val="20000"/>
                            <a:lumOff val="80000"/>
                          </a:srgbClr>
                        </a:solidFill>
                        <a:ln w="9525">
                          <a:solidFill>
                            <a:srgbClr val="000000"/>
                          </a:solidFill>
                          <a:miter lim="800000"/>
                          <a:headEnd/>
                          <a:tailEnd/>
                        </a:ln>
                        <a:effectLst/>
                      </wps:spPr>
                      <wps:txbx>
                        <w:txbxContent>
                          <w:p w14:paraId="26F701A0" w14:textId="77777777" w:rsidR="00A41391" w:rsidRPr="00BB1690" w:rsidRDefault="00A41391" w:rsidP="009D683D">
                            <w:pPr>
                              <w:spacing w:line="276" w:lineRule="auto"/>
                              <w:jc w:val="both"/>
                              <w:rPr>
                                <w:b/>
                                <w:sz w:val="24"/>
                              </w:rPr>
                            </w:pPr>
                            <w:r w:rsidRPr="00BB1690">
                              <w:rPr>
                                <w:b/>
                                <w:sz w:val="24"/>
                              </w:rPr>
                              <w:t xml:space="preserve">Box </w:t>
                            </w:r>
                            <w:r>
                              <w:rPr>
                                <w:b/>
                                <w:sz w:val="24"/>
                              </w:rPr>
                              <w:t>5</w:t>
                            </w:r>
                            <w:r w:rsidRPr="00BB1690">
                              <w:rPr>
                                <w:b/>
                                <w:sz w:val="24"/>
                              </w:rPr>
                              <w:t>: Summary of Recommendations</w:t>
                            </w:r>
                          </w:p>
                          <w:p w14:paraId="6D062BA4" w14:textId="77777777" w:rsidR="00A41391" w:rsidRDefault="00A41391" w:rsidP="00782640">
                            <w:pPr>
                              <w:pStyle w:val="ListParagraph"/>
                              <w:numPr>
                                <w:ilvl w:val="0"/>
                                <w:numId w:val="69"/>
                              </w:numPr>
                              <w:spacing w:line="276" w:lineRule="auto"/>
                              <w:jc w:val="both"/>
                            </w:pPr>
                            <w:r>
                              <w:t xml:space="preserve">Undertake consumer engagement projects that specifically explore Indigenous transplant candidates’ and recipients’ preferred models of care. </w:t>
                            </w:r>
                          </w:p>
                          <w:p w14:paraId="20C52E96" w14:textId="77777777" w:rsidR="00A41391" w:rsidRDefault="00A41391" w:rsidP="00782640">
                            <w:pPr>
                              <w:pStyle w:val="ListParagraph"/>
                              <w:numPr>
                                <w:ilvl w:val="0"/>
                                <w:numId w:val="69"/>
                              </w:numPr>
                              <w:spacing w:line="276" w:lineRule="auto"/>
                              <w:jc w:val="both"/>
                            </w:pPr>
                            <w:r>
                              <w:t xml:space="preserve">Deliver consumer engagement training to renal unit and transplant centre staff. </w:t>
                            </w:r>
                          </w:p>
                          <w:p w14:paraId="4798FBA5" w14:textId="77777777" w:rsidR="00A41391" w:rsidRPr="00FC23DE" w:rsidRDefault="00A41391" w:rsidP="00782640">
                            <w:pPr>
                              <w:pStyle w:val="ListParagraph"/>
                              <w:numPr>
                                <w:ilvl w:val="0"/>
                                <w:numId w:val="69"/>
                              </w:numPr>
                              <w:spacing w:line="276" w:lineRule="auto"/>
                              <w:jc w:val="both"/>
                            </w:pPr>
                            <w:r w:rsidRPr="00DA4BC1">
                              <w:t>Establish an Indigenous reference group in every transplant unit to help design pathways and models of care that are culturally appropriate.</w:t>
                            </w:r>
                          </w:p>
                        </w:txbxContent>
                      </wps:txbx>
                      <wps:bodyPr rot="0" vert="horz" wrap="square" lIns="91440" tIns="45720" rIns="91440" bIns="45720" anchor="t" anchorCtr="0">
                        <a:noAutofit/>
                      </wps:bodyPr>
                    </wps:wsp>
                  </a:graphicData>
                </a:graphic>
              </wp:inline>
            </w:drawing>
          </mc:Choice>
          <mc:Fallback>
            <w:pict>
              <v:shape w14:anchorId="5CD46474" id="_x0000_s1033" type="#_x0000_t202" style="width:450.75pt;height:1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" fillcolor="#e2f0d9">
                <v:textbox>
                  <w:txbxContent>
                    <w:p w14:paraId="26F701A0" w14:textId="77777777" w:rsidR="00A41391" w:rsidRPr="00BB1690" w:rsidRDefault="00A41391" w:rsidP="009D683D">
                      <w:pPr>
                        <w:spacing w:line="276" w:lineRule="auto"/>
                        <w:jc w:val="both"/>
                        <w:rPr>
                          <w:b/>
                          <w:sz w:val="24"/>
                        </w:rPr>
                      </w:pPr>
                      <w:r w:rsidRPr="00BB1690">
                        <w:rPr>
                          <w:b/>
                          <w:sz w:val="24"/>
                        </w:rPr>
                        <w:t xml:space="preserve">Box </w:t>
                      </w:r>
                      <w:r>
                        <w:rPr>
                          <w:b/>
                          <w:sz w:val="24"/>
                        </w:rPr>
                        <w:t>5</w:t>
                      </w:r>
                      <w:r w:rsidRPr="00BB1690">
                        <w:rPr>
                          <w:b/>
                          <w:sz w:val="24"/>
                        </w:rPr>
                        <w:t>: Summary of Recommendations</w:t>
                      </w:r>
                    </w:p>
                    <w:p w14:paraId="6D062BA4" w14:textId="77777777" w:rsidR="00A41391" w:rsidRDefault="00A41391" w:rsidP="00782640">
                      <w:pPr>
                        <w:pStyle w:val="ListParagraph"/>
                        <w:numPr>
                          <w:ilvl w:val="0"/>
                          <w:numId w:val="69"/>
                        </w:numPr>
                        <w:spacing w:line="276" w:lineRule="auto"/>
                        <w:jc w:val="both"/>
                      </w:pPr>
                      <w:r>
                        <w:t xml:space="preserve">Undertake consumer engagement projects that specifically explore Indigenous transplant candidates’ and recipients’ preferred models of care. </w:t>
                      </w:r>
                    </w:p>
                    <w:p w14:paraId="20C52E96" w14:textId="77777777" w:rsidR="00A41391" w:rsidRDefault="00A41391" w:rsidP="00782640">
                      <w:pPr>
                        <w:pStyle w:val="ListParagraph"/>
                        <w:numPr>
                          <w:ilvl w:val="0"/>
                          <w:numId w:val="69"/>
                        </w:numPr>
                        <w:spacing w:line="276" w:lineRule="auto"/>
                        <w:jc w:val="both"/>
                      </w:pPr>
                      <w:r>
                        <w:t xml:space="preserve">Deliver consumer engagement training to renal unit and transplant centre staff. </w:t>
                      </w:r>
                    </w:p>
                    <w:p w14:paraId="4798FBA5" w14:textId="77777777" w:rsidR="00A41391" w:rsidRPr="00FC23DE" w:rsidRDefault="00A41391" w:rsidP="00782640">
                      <w:pPr>
                        <w:pStyle w:val="ListParagraph"/>
                        <w:numPr>
                          <w:ilvl w:val="0"/>
                          <w:numId w:val="69"/>
                        </w:numPr>
                        <w:spacing w:line="276" w:lineRule="auto"/>
                        <w:jc w:val="both"/>
                      </w:pPr>
                      <w:r w:rsidRPr="00DA4BC1">
                        <w:t>Establish an Indigenous reference group in every transplant unit to help design pathways and models of care that are culturally appropriate.</w:t>
                      </w:r>
                    </w:p>
                  </w:txbxContent>
                </v:textbox>
                <w10:anchorlock/>
              </v:shape>
            </w:pict>
          </mc:Fallback>
        </mc:AlternateContent>
      </w:r>
    </w:p>
    <w:p w14:paraId="30673E72" w14:textId="076345B2" w:rsidR="009D683D" w:rsidRPr="009D683D" w:rsidRDefault="009D683D" w:rsidP="009D683D">
      <w:pPr>
        <w:spacing w:after="120" w:line="276" w:lineRule="auto"/>
        <w:rPr>
          <w:rFonts w:ascii="Calibri" w:eastAsia="Calibri" w:hAnsi="Calibri" w:cs="Times New Roman"/>
          <w:sz w:val="22"/>
        </w:rPr>
      </w:pPr>
      <w:r w:rsidRPr="009D683D">
        <w:rPr>
          <w:rFonts w:ascii="Calibri" w:eastAsia="Calibri" w:hAnsi="Calibri" w:cs="Times New Roman"/>
          <w:i/>
          <w:sz w:val="22"/>
        </w:rPr>
        <w:t>Table 3</w:t>
      </w:r>
      <w:r w:rsidRPr="009D683D">
        <w:rPr>
          <w:rFonts w:ascii="Calibri" w:eastAsia="Calibri" w:hAnsi="Calibri" w:cs="Times New Roman"/>
          <w:sz w:val="22"/>
        </w:rPr>
        <w:t xml:space="preserve">: Five factors that affect access and quality of care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&lt;EndNote&gt;&lt;Cite&gt;&lt;Author&gt;Kelly&lt;/Author&gt;&lt;Year&gt;2015&lt;/Year&gt;&lt;RecNum&gt;317&lt;/RecNum&gt;&lt;DisplayText&gt;(Kelly et al., 2015)&lt;/DisplayText&gt;&lt;record&gt;&lt;rec-number&gt;317&lt;/rec-number&gt;&lt;foreign-keys&gt;&lt;key app="EN" db-id="ews5ve9enfwav7etdtjvztfdrftvwrf9vrsx" timestamp="1545364385"&gt;317&lt;/key&gt;&lt;/foreign-keys&gt;&lt;ref-type name="Government Document"&gt;46&lt;/ref-type&gt;&lt;contributors&gt;&lt;authors&gt;&lt;author&gt;Kelly, J.&lt;/author&gt;&lt;author&gt;Dwyer, J.&lt;/author&gt;&lt;author&gt;Pekarsky, B.&lt;/author&gt;&lt;author&gt;Mackean, T.&lt;/author&gt;&lt;author&gt;Willis, E.&lt;/author&gt;&lt;author&gt;de Crespigny, C.&lt;/author&gt;&lt;author&gt;Perkins, S.&lt;/author&gt;&lt;author&gt;O&amp;apos;Donnell, K.&lt;/author&gt;&lt;author&gt;King, R.&lt;/author&gt;&lt;author&gt;Mackean, L.&lt;/author&gt;&lt;author&gt;Brown, A.&lt;/author&gt;&lt;author&gt;Lawrence, M.&lt;/author&gt;&lt;author&gt;Dixon, K.&lt;/author&gt;&lt;/authors&gt;&lt;/contributors&gt;&lt;titles&gt;&lt;title&gt;Managing Two Worlds Together. Stage 3: Improving Aboriginal Patient Journeys - Study Report&lt;/title&gt;&lt;/titles&gt;&lt;dates&gt;&lt;year&gt;2015&lt;/year&gt;&lt;/dates&gt;&lt;pub-location&gt;Melbourne&lt;/pub-location&gt;&lt;publisher&gt;The Lowitja Institute&lt;/publisher&gt;&lt;urls&gt;&lt;/urls&gt;&lt;/record&gt;&lt;/Cite&gt;&lt;/EndNote&gt;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(Kelly et al., 2015)</w:t>
      </w:r>
      <w:r w:rsidRPr="009D683D">
        <w:rPr>
          <w:rFonts w:ascii="Calibri" w:eastAsia="Calibri" w:hAnsi="Calibri" w:cs="Times New Roman"/>
          <w:sz w:val="22"/>
        </w:rPr>
        <w:fldChar w:fldCharType="end"/>
      </w:r>
      <w:r w:rsidRPr="009D683D">
        <w:rPr>
          <w:rFonts w:ascii="Calibri" w:eastAsia="Calibri" w:hAnsi="Calibri" w:cs="Times New Roman"/>
          <w:sz w:val="22"/>
        </w:rPr>
        <w:t>.</w:t>
      </w:r>
    </w:p>
    <w:tbl>
      <w:tblPr>
        <w:tblStyle w:val="ListTable311"/>
        <w:tblW w:w="0" w:type="auto"/>
        <w:tblLook w:val="04A0" w:firstRow="1" w:lastRow="0" w:firstColumn="1" w:lastColumn="0" w:noHBand="0" w:noVBand="1"/>
      </w:tblPr>
      <w:tblGrid>
        <w:gridCol w:w="1937"/>
        <w:gridCol w:w="7079"/>
      </w:tblGrid>
      <w:tr w:rsidR="009D683D" w:rsidRPr="009D683D" w14:paraId="74B2D684" w14:textId="77777777" w:rsidTr="009D68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03D356B0" w14:textId="77777777" w:rsidR="009D683D" w:rsidRPr="009D683D" w:rsidRDefault="009D683D" w:rsidP="009D683D">
            <w:pPr>
              <w:spacing w:line="276" w:lineRule="auto"/>
              <w:rPr>
                <w:rFonts w:ascii="Calibri" w:eastAsia="Calibri" w:hAnsi="Calibri" w:cs="Times New Roman"/>
                <w:sz w:val="22"/>
              </w:rPr>
            </w:pPr>
            <w:r w:rsidRPr="009D683D">
              <w:rPr>
                <w:rFonts w:ascii="Calibri" w:eastAsia="Calibri" w:hAnsi="Calibri" w:cs="Times New Roman"/>
                <w:sz w:val="22"/>
              </w:rPr>
              <w:t>Issue</w:t>
            </w:r>
          </w:p>
        </w:tc>
        <w:tc>
          <w:tcPr>
            <w:tcW w:w="0" w:type="auto"/>
          </w:tcPr>
          <w:p w14:paraId="5DB1450C" w14:textId="77777777" w:rsidR="009D683D" w:rsidRPr="009D683D" w:rsidRDefault="009D683D" w:rsidP="009D683D">
            <w:pPr>
              <w:spacing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Explanation</w:t>
            </w:r>
          </w:p>
        </w:tc>
      </w:tr>
      <w:tr w:rsidR="009D683D" w:rsidRPr="009D683D" w14:paraId="026E9C5B" w14:textId="77777777" w:rsidTr="009D6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DC7B25"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Rural and remote/city</w:t>
            </w:r>
          </w:p>
        </w:tc>
        <w:tc>
          <w:tcPr>
            <w:tcW w:w="0" w:type="auto"/>
          </w:tcPr>
          <w:p w14:paraId="246CF137" w14:textId="77777777" w:rsidR="009D683D" w:rsidRPr="009D683D" w:rsidRDefault="009D683D" w:rsidP="009D683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Some of the problems facing country Indigenous patients and their health care providers are common to all country patients.</w:t>
            </w:r>
          </w:p>
        </w:tc>
      </w:tr>
      <w:tr w:rsidR="009D683D" w:rsidRPr="009D683D" w14:paraId="0F8133CC" w14:textId="77777777" w:rsidTr="009D683D">
        <w:trPr>
          <w:trHeight w:val="736"/>
        </w:trPr>
        <w:tc>
          <w:tcPr>
            <w:cnfStyle w:val="001000000000" w:firstRow="0" w:lastRow="0" w:firstColumn="1" w:lastColumn="0" w:oddVBand="0" w:evenVBand="0" w:oddHBand="0" w:evenHBand="0" w:firstRowFirstColumn="0" w:firstRowLastColumn="0" w:lastRowFirstColumn="0" w:lastRowLastColumn="0"/>
            <w:tcW w:w="0" w:type="auto"/>
          </w:tcPr>
          <w:p w14:paraId="68710C93"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Impact of illness or injury</w:t>
            </w:r>
          </w:p>
        </w:tc>
        <w:tc>
          <w:tcPr>
            <w:tcW w:w="0" w:type="auto"/>
          </w:tcPr>
          <w:p w14:paraId="53FC421D" w14:textId="77777777" w:rsidR="009D683D" w:rsidRPr="009D683D" w:rsidRDefault="009D683D" w:rsidP="009D683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People with chronic or complex conditions are affected more by systemic health care problems, especially across hospital/non-hospital sectors, although any patient may experience care problems.</w:t>
            </w:r>
          </w:p>
        </w:tc>
      </w:tr>
      <w:tr w:rsidR="009D683D" w:rsidRPr="009D683D" w14:paraId="68011D8C" w14:textId="77777777" w:rsidTr="009D6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ACC3BE"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Language and communication</w:t>
            </w:r>
          </w:p>
        </w:tc>
        <w:tc>
          <w:tcPr>
            <w:tcW w:w="0" w:type="auto"/>
          </w:tcPr>
          <w:p w14:paraId="00DE376E" w14:textId="77777777" w:rsidR="009D683D" w:rsidRPr="009D683D" w:rsidRDefault="009D683D" w:rsidP="009D683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Some communication challenges that patients and staff encounter are common to all population groups for whom English is not a first language.</w:t>
            </w:r>
          </w:p>
        </w:tc>
      </w:tr>
      <w:tr w:rsidR="009D683D" w:rsidRPr="009D683D" w14:paraId="4C1C7920" w14:textId="77777777" w:rsidTr="009D683D">
        <w:tc>
          <w:tcPr>
            <w:cnfStyle w:val="001000000000" w:firstRow="0" w:lastRow="0" w:firstColumn="1" w:lastColumn="0" w:oddVBand="0" w:evenVBand="0" w:oddHBand="0" w:evenHBand="0" w:firstRowFirstColumn="0" w:firstRowLastColumn="0" w:lastRowFirstColumn="0" w:lastRowLastColumn="0"/>
            <w:tcW w:w="0" w:type="auto"/>
          </w:tcPr>
          <w:p w14:paraId="0DD7729C"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Financial resources</w:t>
            </w:r>
          </w:p>
        </w:tc>
        <w:tc>
          <w:tcPr>
            <w:tcW w:w="0" w:type="auto"/>
          </w:tcPr>
          <w:p w14:paraId="1D547515" w14:textId="77777777" w:rsidR="009D683D" w:rsidRPr="009D683D" w:rsidRDefault="009D683D" w:rsidP="009D683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It is harder for all people who have little or no extra money to meet the costs of transport, treatment, being admitted for health care, and time off work or away from home and family.</w:t>
            </w:r>
          </w:p>
        </w:tc>
      </w:tr>
      <w:tr w:rsidR="009D683D" w:rsidRPr="009D683D" w14:paraId="56CACA26" w14:textId="77777777" w:rsidTr="009D6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5F99F0"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Cultural safety</w:t>
            </w:r>
          </w:p>
        </w:tc>
        <w:tc>
          <w:tcPr>
            <w:tcW w:w="0" w:type="auto"/>
          </w:tcPr>
          <w:p w14:paraId="1DA179CF" w14:textId="77777777" w:rsidR="009D683D" w:rsidRPr="009D683D" w:rsidRDefault="009D683D" w:rsidP="009D683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 xml:space="preserve">There are ways in which Indigenous people experience unique disadvantage in their interactions with the mainstream health system (and other social systems); and mainstream worldviews and beliefs about health and health care are often different from those held by Indigenous people. </w:t>
            </w:r>
          </w:p>
        </w:tc>
      </w:tr>
    </w:tbl>
    <w:p w14:paraId="3CB9E660" w14:textId="77777777" w:rsidR="009D683D" w:rsidRPr="009D683D" w:rsidRDefault="009D683D" w:rsidP="009D683D">
      <w:pPr>
        <w:keepNext/>
        <w:keepLines/>
        <w:numPr>
          <w:ilvl w:val="2"/>
          <w:numId w:val="0"/>
        </w:numPr>
        <w:spacing w:before="120" w:after="120"/>
        <w:ind w:left="720" w:hanging="720"/>
        <w:outlineLvl w:val="2"/>
        <w:rPr>
          <w:rFonts w:ascii="Calibri Light" w:eastAsia="Times New Roman" w:hAnsi="Calibri Light" w:cs="Times New Roman"/>
          <w:color w:val="2F5496"/>
          <w:sz w:val="26"/>
          <w:szCs w:val="26"/>
        </w:rPr>
      </w:pPr>
      <w:bookmarkStart w:id="42" w:name="_Toc535585507"/>
      <w:bookmarkStart w:id="43" w:name="_Toc2585807"/>
      <w:r w:rsidRPr="009D683D">
        <w:rPr>
          <w:rFonts w:ascii="Calibri Light" w:eastAsia="Times New Roman" w:hAnsi="Calibri Light" w:cs="Times New Roman"/>
          <w:sz w:val="24"/>
          <w:szCs w:val="24"/>
        </w:rPr>
        <w:t>Where to next</w:t>
      </w:r>
      <w:r w:rsidRPr="009D683D">
        <w:rPr>
          <w:rFonts w:ascii="Calibri Light" w:eastAsia="Times New Roman" w:hAnsi="Calibri Light" w:cs="Times New Roman"/>
          <w:sz w:val="26"/>
          <w:szCs w:val="26"/>
        </w:rPr>
        <w:t>?</w:t>
      </w:r>
      <w:bookmarkEnd w:id="42"/>
      <w:bookmarkEnd w:id="43"/>
    </w:p>
    <w:p w14:paraId="42C7D128"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Capturing patients’ lived experiences, and using these stories to drive meaningful health care reform, is arguably one of the most effective ways in which to address health care inequalities. Consumer engagement frameworks have proven to be a practical and effective methodology in health and </w:t>
      </w:r>
      <w:r w:rsidRPr="009D683D">
        <w:rPr>
          <w:rFonts w:ascii="Calibri" w:eastAsia="Calibri" w:hAnsi="Calibri" w:cs="Times New Roman"/>
          <w:sz w:val="22"/>
        </w:rPr>
        <w:lastRenderedPageBreak/>
        <w:t xml:space="preserve">medical research, but few health </w:t>
      </w:r>
      <w:proofErr w:type="gramStart"/>
      <w:r w:rsidRPr="009D683D">
        <w:rPr>
          <w:rFonts w:ascii="Calibri" w:eastAsia="Calibri" w:hAnsi="Calibri" w:cs="Times New Roman"/>
          <w:sz w:val="22"/>
        </w:rPr>
        <w:t>care</w:t>
      </w:r>
      <w:proofErr w:type="gramEnd"/>
      <w:r w:rsidRPr="009D683D">
        <w:rPr>
          <w:rFonts w:ascii="Calibri" w:eastAsia="Calibri" w:hAnsi="Calibri" w:cs="Times New Roman"/>
          <w:sz w:val="22"/>
        </w:rPr>
        <w:t xml:space="preserve"> services have drawn upon these frameworks to improve models of care in practice. For example, recent interviews with </w:t>
      </w:r>
      <w:proofErr w:type="spellStart"/>
      <w:r w:rsidRPr="009D683D">
        <w:rPr>
          <w:rFonts w:ascii="Calibri" w:eastAsia="Calibri" w:hAnsi="Calibri" w:cs="Times New Roman"/>
          <w:sz w:val="22"/>
        </w:rPr>
        <w:t>renal</w:t>
      </w:r>
      <w:proofErr w:type="spellEnd"/>
      <w:r w:rsidRPr="009D683D">
        <w:rPr>
          <w:rFonts w:ascii="Calibri" w:eastAsia="Calibri" w:hAnsi="Calibri" w:cs="Times New Roman"/>
          <w:sz w:val="22"/>
        </w:rPr>
        <w:t xml:space="preserve"> units revealed that </w:t>
      </w:r>
      <w:r w:rsidRPr="009D683D">
        <w:rPr>
          <w:rFonts w:ascii="Calibri" w:eastAsia="Calibri" w:hAnsi="Calibri" w:cs="Times New Roman"/>
          <w:sz w:val="22"/>
          <w:u w:val="single"/>
        </w:rPr>
        <w:t>no</w:t>
      </w:r>
      <w:r w:rsidRPr="009D683D">
        <w:rPr>
          <w:rFonts w:ascii="Calibri" w:eastAsia="Calibri" w:hAnsi="Calibri" w:cs="Times New Roman"/>
          <w:sz w:val="22"/>
        </w:rPr>
        <w:t xml:space="preserve"> units had formally established an Indigenous consumer reference group to inform the care of Indigenous kidney transplant candidates and recipients. Future consumer engagement projects should specifically explore the journeys and experiences of Indigenous transplant candidates and recipients and be designed to achieve effective research translation, informing patient-centred interventions.</w:t>
      </w:r>
    </w:p>
    <w:p w14:paraId="06AFD509"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Much of the work that has been undertaken in the ESKD consumer engagement space to date has explored how we can achieve better health outcomes for Indigenous Australians. This has generated a number of clear messages that cut across both pre- and post-transplant domains, all of which are addressed in latter chapters of this report, including:</w:t>
      </w:r>
    </w:p>
    <w:p w14:paraId="228C6428" w14:textId="77777777" w:rsidR="009D683D" w:rsidRPr="009D683D" w:rsidRDefault="009D683D" w:rsidP="00782640">
      <w:pPr>
        <w:numPr>
          <w:ilvl w:val="0"/>
          <w:numId w:val="35"/>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 xml:space="preserve">Health services and practitioners must improve the </w:t>
      </w:r>
      <w:r w:rsidRPr="009D683D">
        <w:rPr>
          <w:rFonts w:ascii="Calibri" w:eastAsia="Calibri" w:hAnsi="Calibri" w:cs="Times New Roman"/>
          <w:b/>
          <w:sz w:val="22"/>
        </w:rPr>
        <w:t>accessibility, appropriateness and quality of information</w:t>
      </w:r>
      <w:r w:rsidRPr="009D683D">
        <w:rPr>
          <w:rFonts w:ascii="Calibri" w:eastAsia="Calibri" w:hAnsi="Calibri" w:cs="Times New Roman"/>
          <w:sz w:val="22"/>
        </w:rPr>
        <w:t xml:space="preserve"> about the causes, prevention, management, progression and treatment of kidney disease. Such information must take into account regional differences in culture, language, patterns of kidney health and illness, and service provision. </w:t>
      </w:r>
    </w:p>
    <w:p w14:paraId="7EEB1A9C" w14:textId="77777777" w:rsidR="009D683D" w:rsidRPr="009D683D" w:rsidRDefault="009D683D" w:rsidP="00782640">
      <w:pPr>
        <w:numPr>
          <w:ilvl w:val="0"/>
          <w:numId w:val="35"/>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 xml:space="preserve">The </w:t>
      </w:r>
      <w:r w:rsidRPr="009D683D">
        <w:rPr>
          <w:rFonts w:ascii="Calibri" w:eastAsia="Calibri" w:hAnsi="Calibri" w:cs="Times New Roman"/>
          <w:b/>
          <w:sz w:val="22"/>
        </w:rPr>
        <w:t xml:space="preserve">renal health workforce must be trained and supported to deliver culturally appropriate and patient-centred care </w:t>
      </w:r>
      <w:r w:rsidRPr="009D683D">
        <w:rPr>
          <w:rFonts w:ascii="Calibri" w:eastAsia="Calibri" w:hAnsi="Calibri" w:cs="Times New Roman"/>
          <w:sz w:val="22"/>
        </w:rPr>
        <w:t>for Indigenous patients. This includes identifying new employment pathways for Indigenous Australians to support the needs of people with ESKD including personal care attendants for people needing dialysis, health service navigator roles, health promotion and renal-equipped primary health care staff, nursing and nephrologist positions.</w:t>
      </w:r>
    </w:p>
    <w:p w14:paraId="1C68C8D6" w14:textId="77777777" w:rsidR="009D683D" w:rsidRPr="009D683D" w:rsidRDefault="009D683D" w:rsidP="00782640">
      <w:pPr>
        <w:numPr>
          <w:ilvl w:val="0"/>
          <w:numId w:val="35"/>
        </w:numPr>
        <w:spacing w:line="276" w:lineRule="auto"/>
        <w:contextualSpacing/>
        <w:jc w:val="both"/>
        <w:rPr>
          <w:rFonts w:ascii="Calibri" w:eastAsia="Calibri" w:hAnsi="Calibri" w:cs="Times New Roman"/>
          <w:sz w:val="22"/>
        </w:rPr>
      </w:pPr>
      <w:r w:rsidRPr="009D683D">
        <w:rPr>
          <w:rFonts w:ascii="Calibri" w:eastAsia="Calibri" w:hAnsi="Calibri" w:cs="Times New Roman"/>
          <w:b/>
          <w:sz w:val="22"/>
        </w:rPr>
        <w:t>More renal care services need to be delivered in regional and remote communities</w:t>
      </w:r>
      <w:r w:rsidRPr="009D683D">
        <w:rPr>
          <w:rFonts w:ascii="Calibri" w:eastAsia="Calibri" w:hAnsi="Calibri" w:cs="Times New Roman"/>
          <w:sz w:val="22"/>
        </w:rPr>
        <w:t xml:space="preserve"> to address accessibility issues, and stronger transport networks and infrastructure should be established so that the Indigenous renal patient community can travel safely between metropolitan treatment services and their home community safely, without exorbitant costs. </w:t>
      </w:r>
    </w:p>
    <w:p w14:paraId="7AED7E73" w14:textId="77777777" w:rsidR="009D683D" w:rsidRPr="009D683D" w:rsidRDefault="009D683D" w:rsidP="00782640">
      <w:pPr>
        <w:numPr>
          <w:ilvl w:val="0"/>
          <w:numId w:val="35"/>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 xml:space="preserve">Dialysis and transplant </w:t>
      </w:r>
      <w:r w:rsidRPr="009D683D">
        <w:rPr>
          <w:rFonts w:ascii="Calibri" w:eastAsia="Calibri" w:hAnsi="Calibri" w:cs="Times New Roman"/>
          <w:b/>
          <w:sz w:val="22"/>
        </w:rPr>
        <w:t>models of care need to be tailored</w:t>
      </w:r>
      <w:r w:rsidRPr="009D683D">
        <w:rPr>
          <w:rFonts w:ascii="Calibri" w:eastAsia="Calibri" w:hAnsi="Calibri" w:cs="Times New Roman"/>
          <w:sz w:val="22"/>
        </w:rPr>
        <w:t xml:space="preserve"> to cater for the unique needs of Indigenous patients, such as having separate spaces for men’s care and women’s care, and recognising the importance of family support. </w:t>
      </w:r>
    </w:p>
    <w:p w14:paraId="71BFD6BE" w14:textId="77777777" w:rsidR="0055104B" w:rsidRDefault="0055104B" w:rsidP="009D683D">
      <w:pPr>
        <w:spacing w:line="276" w:lineRule="auto"/>
        <w:jc w:val="both"/>
        <w:rPr>
          <w:rFonts w:ascii="Calibri" w:eastAsia="Calibri" w:hAnsi="Calibri" w:cs="Times New Roman"/>
          <w:sz w:val="22"/>
        </w:rPr>
      </w:pPr>
    </w:p>
    <w:p w14:paraId="0418F146" w14:textId="616B704B"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While these issues have been known for some time, in many cases over several decades, practical responses from health care services and governments in the transplantation context have been few and far between. From a health service policy perspective, it is recommended that every Australian transplant unit managing Indigenous transplant patients explicitly convene an Indigenous reference group to allow Indigenous consumers to drive health care enhancements and improve patient-centred outcomes for Indigenous kidney transplant candidates and recipients. This is consistent with the National Safety and Quality Health Service Standards User Guide for Aboriginal and Torres Strait Islander Health, Action 2.13, which outlines the importance of health service organisations building effective and ongoing relationships with Indigenous communities, organisations and groups to identify service gaps, understand cultural beliefs and practices, and involve Indigenous people in determining their own health priorities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&lt;EndNote&gt;&lt;Cite&gt;&lt;Author&gt;ACSQHC&lt;/Author&gt;&lt;Year&gt;2017&lt;/Year&gt;&lt;RecNum&gt;378&lt;/RecNum&gt;&lt;DisplayText&gt;(ACSQHC, 2017)&lt;/DisplayText&gt;&lt;record&gt;&lt;rec-number&gt;378&lt;/rec-number&gt;&lt;foreign-keys&gt;&lt;key app="EN" db-id="ews5ve9enfwav7etdtjvztfdrftvwrf9vrsx" timestamp="1547513317"&gt;378&lt;/key&gt;&lt;/foreign-keys&gt;&lt;ref-type name="Government Document"&gt;46&lt;/ref-type&gt;&lt;contributors&gt;&lt;authors&gt;&lt;author&gt;ACSQHC&lt;/author&gt;&lt;/authors&gt;&lt;secondary-authors&gt;&lt;author&gt;Australian Commission on Safety and Quality in Health Care&lt;/author&gt;&lt;/secondary-authors&gt;&lt;/contributors&gt;&lt;titles&gt;&lt;title&gt;National Safety and Quality Health Service Standards: User Guide for Aboriginal and Torres Strait Islander Health&lt;/title&gt;&lt;/titles&gt;&lt;dates&gt;&lt;year&gt;2017&lt;/year&gt;&lt;/dates&gt;&lt;pub-location&gt;Sydney, Australia&lt;/pub-location&gt;&lt;publisher&gt;Australian Commission on Safety and Quality in Health Care&lt;/publisher&gt;&lt;urls&gt;&lt;related-urls&gt;&lt;url&gt;https://www.safetyandquality.gov.au/our-work/assessment-to-the-nsqhs-standards/improving-care-for-aboriginal-and-torres-strait-islander-people/&lt;/url&gt;&lt;/related-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(ACSQHC, 2017)</w:t>
      </w:r>
      <w:r w:rsidRPr="009D683D">
        <w:rPr>
          <w:rFonts w:ascii="Calibri" w:eastAsia="Calibri" w:hAnsi="Calibri" w:cs="Times New Roman"/>
          <w:sz w:val="22"/>
        </w:rPr>
        <w:fldChar w:fldCharType="end"/>
      </w:r>
      <w:r w:rsidRPr="009D683D">
        <w:rPr>
          <w:rFonts w:ascii="Calibri" w:eastAsia="Calibri" w:hAnsi="Calibri" w:cs="Times New Roman"/>
          <w:sz w:val="22"/>
        </w:rPr>
        <w:t>. In order to maximise the value of Indigenous reference groups, renal care providers need to be trained in consumer engagement practices to enable them to establish effective partnerships with Indigenous consumers and groups and drive the implementation of preferred models of care.</w:t>
      </w:r>
    </w:p>
    <w:p w14:paraId="4BECC8B2" w14:textId="77777777" w:rsidR="009D683D" w:rsidRPr="009D683D" w:rsidRDefault="009D683D" w:rsidP="009D683D">
      <w:pPr>
        <w:keepNext/>
        <w:keepLines/>
        <w:numPr>
          <w:ilvl w:val="1"/>
          <w:numId w:val="0"/>
        </w:numPr>
        <w:spacing w:before="40" w:after="0"/>
        <w:ind w:left="576" w:hanging="576"/>
        <w:outlineLvl w:val="1"/>
        <w:rPr>
          <w:rFonts w:ascii="Calibri Light" w:eastAsia="Times New Roman" w:hAnsi="Calibri Light" w:cs="Times New Roman"/>
          <w:color w:val="2F5496"/>
          <w:sz w:val="26"/>
          <w:szCs w:val="26"/>
        </w:rPr>
      </w:pPr>
      <w:bookmarkStart w:id="44" w:name="_Toc2585808"/>
      <w:r w:rsidRPr="009D683D">
        <w:rPr>
          <w:rFonts w:ascii="Calibri Light" w:eastAsia="Times New Roman" w:hAnsi="Calibri Light" w:cs="Times New Roman"/>
          <w:sz w:val="26"/>
          <w:szCs w:val="26"/>
        </w:rPr>
        <w:lastRenderedPageBreak/>
        <w:t>Pre-Transplant Journey</w:t>
      </w:r>
      <w:bookmarkEnd w:id="44"/>
    </w:p>
    <w:p w14:paraId="55DC2C54"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Indigenous Australians are less likely to receive a kidney transplant than other Australians, primarily because they are less likely to be waitlisted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&lt;EndNote&gt;&lt;Cite&gt;&lt;Author&gt;Khanal&lt;/Author&gt;&lt;Year&gt;2018&lt;/Year&gt;&lt;RecNum&gt;158&lt;/RecNum&gt;&lt;DisplayText&gt;(Khanal, Lawton, Cass, &amp;amp; McDonald, 2018)&lt;/DisplayText&gt;&lt;record&gt;&lt;rec-number&gt;158&lt;/rec-number&gt;&lt;foreign-keys&gt;&lt;key app="EN" db-id="ews5ve9enfwav7etdtjvztfdrftvwrf9vrsx" timestamp="1543289451"&gt;158&lt;/key&gt;&lt;/foreign-keys&gt;&lt;ref-type name="Journal Article"&gt;17&lt;/ref-type&gt;&lt;contributors&gt;&lt;authors&gt;&lt;author&gt;Khanal, N.&lt;/author&gt;&lt;author&gt;Lawton, P. D.&lt;/author&gt;&lt;author&gt;Cass, A.&lt;/author&gt;&lt;author&gt;McDonald, S. P.&lt;/author&gt;&lt;/authors&gt;&lt;/contributors&gt;&lt;auth-address&gt;University of Adelaide, Adelaide, SA namrata@anzdata.org.au.&amp;#xD;Menzies School of Health Research, Charles Darwin University, Darwin, NT.&amp;#xD;University of Adelaide, Adelaide, SA.&lt;/auth-address&gt;&lt;titles&gt;&lt;title&gt;Disparity of access to kidney transplantation by Indigenous and non-Indigenous Australians&lt;/title&gt;&lt;secondary-title&gt;Med J Aust&lt;/secondary-title&gt;&lt;/titles&gt;&lt;periodical&gt;&lt;full-title&gt;Med J Aust&lt;/full-title&gt;&lt;/periodical&gt;&lt;pages&gt;261-266&lt;/pages&gt;&lt;volume&gt;209&lt;/volume&gt;&lt;number&gt;6&lt;/number&gt;&lt;edition&gt;2018/09/14&lt;/edition&gt;&lt;keywords&gt;&lt;keyword&gt;Indigenous health&lt;/keyword&gt;&lt;keyword&gt;Kidney diseases&lt;/keyword&gt;&lt;keyword&gt;Kidney transplantation&lt;/keyword&gt;&lt;keyword&gt;Renal dialysis&lt;/keyword&gt;&lt;/keywords&gt;&lt;dates&gt;&lt;year&gt;2018&lt;/year&gt;&lt;pub-dates&gt;&lt;date&gt;Sep 17&lt;/date&gt;&lt;/pub-dates&gt;&lt;/dates&gt;&lt;isbn&gt;1326-5377 (Electronic)&amp;#xD;0025-729X (Linking)&lt;/isbn&gt;&lt;accession-num&gt;30208818&lt;/accession-num&gt;&lt;urls&gt;&lt;related-urls&gt;&lt;url&gt;https://www.ncbi.nlm.nih.gov/pubmed/30208818&lt;/url&gt;&lt;/related-urls&gt;&lt;/urls&gt;&lt;electronic-resource-num&gt;10.5694/mja18.00304 &lt;/electronic-resource-num&gt;&lt;/record&gt;&lt;/Cite&gt;&lt;/EndNote&gt;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(Khanal, Lawton, Cass, &amp; McDonald, 2018)</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At the end of 2015, only 1.9% of all Indigenous dialysis patients were waitlisted, compared to 9.5% of non-Indigenous patients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&lt;EndNote&gt;&lt;Cite&gt;&lt;Author&gt;Lawton&lt;/Author&gt;&lt;Year&gt;2017&lt;/Year&gt;&lt;RecNum&gt;109&lt;/RecNum&gt;&lt;DisplayText&gt;(Lawton, McDonald, Snelling, Hughes, &amp;amp; Cass, 2017)&lt;/DisplayText&gt;&lt;record&gt;&lt;rec-number&gt;109&lt;/rec-number&gt;&lt;foreign-keys&gt;&lt;key app="EN" db-id="ews5ve9enfwav7etdtjvztfdrftvwrf9vrsx" timestamp="1543209551"&gt;109&lt;/key&gt;&lt;/foreign-keys&gt;&lt;ref-type name="Journal Article"&gt;17&lt;/ref-type&gt;&lt;contributors&gt;&lt;authors&gt;&lt;author&gt;Lawton, P. D.&lt;/author&gt;&lt;author&gt;McDonald, Stephen. P.&lt;/author&gt;&lt;author&gt;Snelling, Paul L.&lt;/author&gt;&lt;author&gt;Hughes, Jaquelyne&lt;/author&gt;&lt;author&gt;Cass, Alan&lt;/author&gt;&lt;/authors&gt;&lt;/contributors&gt;&lt;titles&gt;&lt;title&gt;Organ Transplantation in Australia: Inequities in Access and Outcome for Indigenous Australians&lt;/title&gt;&lt;secondary-title&gt;Transplantation&lt;/secondary-title&gt;&lt;/titles&gt;&lt;periodical&gt;&lt;full-title&gt;Transplantation&lt;/full-title&gt;&lt;/periodical&gt;&lt;pages&gt;e345-e346&lt;/pages&gt;&lt;volume&gt;101&lt;/volume&gt;&lt;number&gt;11&lt;/number&gt;&lt;dates&gt;&lt;year&gt;2017&lt;/year&gt;&lt;/dates&gt;&lt;isbn&gt;0041-1337&lt;/isbn&gt;&lt;accession-num&gt;00007890-201711000-00032&lt;/accession-num&gt;&lt;urls&gt;&lt;related-urls&gt;&lt;url&gt;https://journals.lww.com/transplantjournal/Fulltext/2017/11000/Organ_Transplantation_in_Australia___Inequities_in.32.aspx&lt;/url&gt;&lt;/related-urls&gt;&lt;/urls&gt;&lt;electronic-resource-num&gt;10.1097/tp.0000000000001911&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(Lawton, McDonald, Snelling, Hughes, &amp; Cass, 2017)</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which is similar to rates in the United States, Canada and New Zealand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&lt;EndNote&gt;&lt;Cite&gt;&lt;Author&gt;Yeates&lt;/Author&gt;&lt;Year&gt;2009&lt;/Year&gt;&lt;RecNum&gt;60&lt;/RecNum&gt;&lt;DisplayText&gt;(Yeates et al., 2009)&lt;/DisplayText&gt;&lt;record&gt;&lt;rec-number&gt;60&lt;/rec-number&gt;&lt;foreign-keys&gt;&lt;key app="EN" db-id="ews5ve9enfwav7etdtjvztfdrftvwrf9vrsx" timestamp="1543209419"&gt;60&lt;/key&gt;&lt;/foreign-keys&gt;&lt;ref-type name="Journal Article"&gt;17&lt;/ref-type&gt;&lt;contributors&gt;&lt;authors&gt;&lt;author&gt;Yeates, K. E.&lt;/author&gt;&lt;author&gt;Cass, A.&lt;/author&gt;&lt;author&gt;Sequist, T. D.&lt;/author&gt;&lt;author&gt;McDonald, S. P.&lt;/author&gt;&lt;author&gt;Jardine, M. J.&lt;/author&gt;&lt;author&gt;Trpeski, L.&lt;/author&gt;&lt;author&gt;Ayanian, J. Z.&lt;/author&gt;&lt;/authors&gt;&lt;/contributors&gt;&lt;titles&gt;&lt;title&gt;Indigenous people in Australia, Canada, New Zealand and the United States are less likely to receive renal transplantation&lt;/title&gt;&lt;secondary-title&gt;Kidney Int&lt;/secondary-title&gt;&lt;/titles&gt;&lt;periodical&gt;&lt;full-title&gt;Kidney Int&lt;/full-title&gt;&lt;/periodical&gt;&lt;volume&gt;76&lt;/volume&gt;&lt;dates&gt;&lt;year&gt;2009&lt;/year&gt;&lt;/dates&gt;&lt;label&gt;Yeates2009&lt;/label&gt;&lt;urls&gt;&lt;related-urls&gt;&lt;url&gt;https://doi.org/10.1038/ki.2009.236&lt;/url&gt;&lt;/related-urls&gt;&lt;/urls&gt;&lt;electronic-resource-num&gt;10.1038/ki.2009.236&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(Yeates et al., 2009)</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t>
      </w:r>
    </w:p>
    <w:p w14:paraId="7A9D8048"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Placement on the transplant waiting list is the culmination of a series of steps and assessments, including information sharing and patient education, addressing underlying health issues and referral for consideration for transplantation, as outlined in Figure 4. If not managed appropriately, these steps can quickly become barriers to waitlisting, particularly for rural and remote Indigenous patients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&lt;EndNote&gt;&lt;Cite&gt;&lt;Author&gt;Khanal&lt;/Author&gt;&lt;Year&gt;2018&lt;/Year&gt;&lt;RecNum&gt;158&lt;/RecNum&gt;&lt;DisplayText&gt;(Khanal et al., 2018)&lt;/DisplayText&gt;&lt;record&gt;&lt;rec-number&gt;158&lt;/rec-number&gt;&lt;foreign-keys&gt;&lt;key app="EN" db-id="ews5ve9enfwav7etdtjvztfdrftvwrf9vrsx" timestamp="1543289451"&gt;158&lt;/key&gt;&lt;/foreign-keys&gt;&lt;ref-type name="Journal Article"&gt;17&lt;/ref-type&gt;&lt;contributors&gt;&lt;authors&gt;&lt;author&gt;Khanal, N.&lt;/author&gt;&lt;author&gt;Lawton, P. D.&lt;/author&gt;&lt;author&gt;Cass, A.&lt;/author&gt;&lt;author&gt;McDonald, S. P.&lt;/author&gt;&lt;/authors&gt;&lt;/contributors&gt;&lt;auth-address&gt;University of Adelaide, Adelaide, SA namrata@anzdata.org.au.&amp;#xD;Menzies School of Health Research, Charles Darwin University, Darwin, NT.&amp;#xD;University of Adelaide, Adelaide, SA.&lt;/auth-address&gt;&lt;titles&gt;&lt;title&gt;Disparity of access to kidney transplantation by Indigenous and non-Indigenous Australians&lt;/title&gt;&lt;secondary-title&gt;Med J Aust&lt;/secondary-title&gt;&lt;/titles&gt;&lt;periodical&gt;&lt;full-title&gt;Med J Aust&lt;/full-title&gt;&lt;/periodical&gt;&lt;pages&gt;261-266&lt;/pages&gt;&lt;volume&gt;209&lt;/volume&gt;&lt;number&gt;6&lt;/number&gt;&lt;edition&gt;2018/09/14&lt;/edition&gt;&lt;keywords&gt;&lt;keyword&gt;Indigenous health&lt;/keyword&gt;&lt;keyword&gt;Kidney diseases&lt;/keyword&gt;&lt;keyword&gt;Kidney transplantation&lt;/keyword&gt;&lt;keyword&gt;Renal dialysis&lt;/keyword&gt;&lt;/keywords&gt;&lt;dates&gt;&lt;year&gt;2018&lt;/year&gt;&lt;pub-dates&gt;&lt;date&gt;Sep 17&lt;/date&gt;&lt;/pub-dates&gt;&lt;/dates&gt;&lt;isbn&gt;1326-5377 (Electronic)&amp;#xD;0025-729X (Linking)&lt;/isbn&gt;&lt;accession-num&gt;30208818&lt;/accession-num&gt;&lt;urls&gt;&lt;related-urls&gt;&lt;url&gt;https://www.ncbi.nlm.nih.gov/pubmed/30208818&lt;/url&gt;&lt;/related-urls&gt;&lt;/urls&gt;&lt;electronic-resource-num&gt;10.5694/mja18.00304 &lt;/electronic-resource-num&gt;&lt;/record&gt;&lt;/Cite&gt;&lt;/EndNote&gt;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(Khanal et al., 2018)</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Waitlisting cannot occur until the transplant assessment is successfully completed, with the patient being deemed medically suitable for a kidney transplant. </w:t>
      </w:r>
    </w:p>
    <w:p w14:paraId="074F4E55" w14:textId="77777777" w:rsidR="009D683D" w:rsidRPr="009D683D" w:rsidRDefault="009D683D" w:rsidP="009D683D">
      <w:pPr>
        <w:spacing w:after="120" w:line="276" w:lineRule="auto"/>
        <w:rPr>
          <w:rFonts w:ascii="Calibri" w:eastAsia="Calibri" w:hAnsi="Calibri" w:cs="Times New Roman"/>
          <w:sz w:val="22"/>
        </w:rPr>
      </w:pPr>
      <w:r w:rsidRPr="009D683D">
        <w:rPr>
          <w:rFonts w:ascii="Calibri" w:eastAsia="Calibri" w:hAnsi="Calibri" w:cs="Times New Roman"/>
          <w:i/>
          <w:sz w:val="22"/>
        </w:rPr>
        <w:t xml:space="preserve">Figure 4: </w:t>
      </w:r>
      <w:r w:rsidRPr="009D683D">
        <w:rPr>
          <w:rFonts w:ascii="Calibri" w:eastAsia="Calibri" w:hAnsi="Calibri" w:cs="Times New Roman"/>
          <w:sz w:val="22"/>
        </w:rPr>
        <w:t>Steps to receiving a kidney transplantation.</w:t>
      </w:r>
      <w:r w:rsidRPr="009D683D">
        <w:rPr>
          <w:rFonts w:ascii="Calibri" w:eastAsia="Calibri" w:hAnsi="Calibri" w:cs="Times New Roman"/>
          <w:noProof/>
          <w:sz w:val="22"/>
          <w:lang w:eastAsia="en-AU"/>
        </w:rPr>
        <w:drawing>
          <wp:inline distT="0" distB="0" distL="0" distR="0" wp14:anchorId="42A27286" wp14:editId="7B30FBB9">
            <wp:extent cx="5848350" cy="1251585"/>
            <wp:effectExtent l="0" t="0" r="38100" b="5715"/>
            <wp:docPr id="220" name="Diagram 220" descr="Placement on the transplant waiting list is the culmination of a series of steps and assessments, including information sharing, addressing underlying health issues, completing workup tests, assessment for waiting list, placement on waiting list, staying on waiting list and allocation of kidney">
              <a:extLst xmlns:a="http://schemas.openxmlformats.org/drawingml/2006/main">
                <a:ext uri="{FF2B5EF4-FFF2-40B4-BE49-F238E27FC236}">
                  <a16:creationId xmlns:a16="http://schemas.microsoft.com/office/drawing/2014/main" id="{D511618C-4D5F-4BEB-8305-966C7FF44E3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87CD63E"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Indigenous patients face multiple challenges in successfully completing work-up, and practitioners have acknowledged that patients are required to navigate a system that has been described as “fragmented, confusing, isolating and burdensome” </w:t>
      </w:r>
      <w:r w:rsidRPr="009D683D">
        <w:rPr>
          <w:rFonts w:ascii="Calibri" w:eastAsia="Calibri" w:hAnsi="Calibri" w:cs="Times New Roman"/>
          <w:sz w:val="22"/>
          <w:u w:color="FF0000"/>
        </w:rPr>
        <w:fldChar w:fldCharType="begin">
          <w:fldData xml:space="preserve">PEVuZE5vdGU+PENpdGU+PEF1dGhvcj5EZXZpdHQ8L0F1dGhvcj48WWVhcj4yMDE3PC9ZZWFyPjxS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</w:fldData>
        </w:fldChar>
      </w:r>
      <w:r w:rsidRPr="009D683D">
        <w:rPr>
          <w:rFonts w:ascii="Calibri" w:eastAsia="Calibri" w:hAnsi="Calibri" w:cs="Times New Roman"/>
          <w:sz w:val="22"/>
          <w:u w:color="FF0000"/>
        </w:rPr>
        <w:instrText xml:space="preserve"> ADDIN EN.CITE </w:instrText>
      </w:r>
      <w:r w:rsidRPr="009D683D">
        <w:rPr>
          <w:rFonts w:ascii="Calibri" w:eastAsia="Calibri" w:hAnsi="Calibri" w:cs="Times New Roman"/>
          <w:sz w:val="22"/>
          <w:u w:color="FF0000"/>
        </w:rPr>
        <w:fldChar w:fldCharType="begin">
          <w:fldData xml:space="preserve">PEVuZE5vdGU+PENpdGU+PEF1dGhvcj5EZXZpdHQ8L0F1dGhvcj48WWVhcj4yMDE3PC9ZZWFyPjxS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</w:fldData>
        </w:fldChar>
      </w:r>
      <w:r w:rsidRPr="009D683D">
        <w:rPr>
          <w:rFonts w:ascii="Calibri" w:eastAsia="Calibri" w:hAnsi="Calibri" w:cs="Times New Roman"/>
          <w:sz w:val="22"/>
          <w:u w:color="FF0000"/>
        </w:rPr>
        <w:instrText xml:space="preserve"> ADDIN EN.CITE.DATA </w:instrText>
      </w:r>
      <w:r w:rsidRPr="009D683D">
        <w:rPr>
          <w:rFonts w:ascii="Calibri" w:eastAsia="Calibri" w:hAnsi="Calibri" w:cs="Times New Roman"/>
          <w:sz w:val="22"/>
          <w:u w:color="FF0000"/>
        </w:rPr>
      </w:r>
      <w:r w:rsidRPr="009D683D">
        <w:rPr>
          <w:rFonts w:ascii="Calibri" w:eastAsia="Calibri" w:hAnsi="Calibri" w:cs="Times New Roman"/>
          <w:sz w:val="22"/>
          <w:u w:color="FF0000"/>
        </w:rPr>
        <w:fldChar w:fldCharType="end"/>
      </w:r>
      <w:r w:rsidRPr="009D683D">
        <w:rPr>
          <w:rFonts w:ascii="Calibri" w:eastAsia="Calibri" w:hAnsi="Calibri" w:cs="Times New Roman"/>
          <w:sz w:val="22"/>
          <w:u w:color="FF0000"/>
        </w:rPr>
      </w:r>
      <w:r w:rsidRPr="009D683D">
        <w:rPr>
          <w:rFonts w:ascii="Calibri" w:eastAsia="Calibri" w:hAnsi="Calibri" w:cs="Times New Roman"/>
          <w:sz w:val="22"/>
          <w:u w:color="FF0000"/>
        </w:rPr>
        <w:fldChar w:fldCharType="separate"/>
      </w:r>
      <w:r w:rsidRPr="009D683D">
        <w:rPr>
          <w:rFonts w:ascii="Calibri" w:eastAsia="Calibri" w:hAnsi="Calibri" w:cs="Times New Roman"/>
          <w:noProof/>
          <w:sz w:val="22"/>
          <w:u w:color="FF0000"/>
        </w:rPr>
        <w:t>(Devitt et al., 2017)</w:t>
      </w:r>
      <w:r w:rsidRPr="009D683D">
        <w:rPr>
          <w:rFonts w:ascii="Calibri" w:eastAsia="Calibri" w:hAnsi="Calibri" w:cs="Times New Roman"/>
          <w:sz w:val="22"/>
          <w:u w:color="FF0000"/>
        </w:rPr>
        <w:fldChar w:fldCharType="end"/>
      </w:r>
      <w:r w:rsidRPr="009D683D">
        <w:rPr>
          <w:rFonts w:ascii="Calibri" w:eastAsia="Calibri" w:hAnsi="Calibri" w:cs="Times New Roman"/>
          <w:sz w:val="22"/>
        </w:rPr>
        <w:t xml:space="preserve">. </w:t>
      </w:r>
    </w:p>
    <w:p w14:paraId="3833C750" w14:textId="77777777" w:rsidR="009D683D" w:rsidRPr="009D683D" w:rsidRDefault="009D683D" w:rsidP="009D683D">
      <w:pPr>
        <w:keepNext/>
        <w:keepLines/>
        <w:numPr>
          <w:ilvl w:val="2"/>
          <w:numId w:val="0"/>
        </w:numPr>
        <w:spacing w:before="40" w:after="0"/>
        <w:ind w:left="720" w:hanging="720"/>
        <w:outlineLvl w:val="2"/>
        <w:rPr>
          <w:rFonts w:ascii="Calibri Light" w:eastAsia="Times New Roman" w:hAnsi="Calibri Light" w:cs="Times New Roman"/>
          <w:sz w:val="24"/>
          <w:szCs w:val="24"/>
        </w:rPr>
      </w:pPr>
      <w:bookmarkStart w:id="45" w:name="_Toc2585809"/>
      <w:r w:rsidRPr="009D683D">
        <w:rPr>
          <w:rFonts w:ascii="Calibri Light" w:eastAsia="Times New Roman" w:hAnsi="Calibri Light" w:cs="Times New Roman"/>
          <w:sz w:val="24"/>
          <w:szCs w:val="24"/>
        </w:rPr>
        <w:t>Information sharing and understanding the transplantation process</w:t>
      </w:r>
      <w:bookmarkEnd w:id="45"/>
    </w:p>
    <w:p w14:paraId="35722A25"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Qualitative research has repeatedly documented concerns about poor communication between Indigenous ESKD patients and non-Indigenous health professionals </w:t>
      </w:r>
      <w:r w:rsidRPr="009D683D">
        <w:rPr>
          <w:rFonts w:ascii="Calibri" w:eastAsia="Calibri" w:hAnsi="Calibri" w:cs="Times New Roman"/>
          <w:sz w:val="22"/>
          <w:u w:color="FF0000"/>
        </w:rPr>
        <w:fldChar w:fldCharType="begin">
          <w:fldData xml:space="preserve">PEVuZE5vdGU+PENpdGU+PEF1dGhvcj5BbmRlcnNvbjwvQXV0aG9yPjxZZWFyPjIwMDg8L1llYXI+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</w:fldData>
        </w:fldChar>
      </w:r>
      <w:r w:rsidRPr="009D683D">
        <w:rPr>
          <w:rFonts w:ascii="Calibri" w:eastAsia="Calibri" w:hAnsi="Calibri" w:cs="Times New Roman"/>
          <w:sz w:val="22"/>
          <w:u w:color="FF0000"/>
        </w:rPr>
        <w:instrText xml:space="preserve"> ADDIN EN.CITE </w:instrText>
      </w:r>
      <w:r w:rsidRPr="009D683D">
        <w:rPr>
          <w:rFonts w:ascii="Calibri" w:eastAsia="Calibri" w:hAnsi="Calibri" w:cs="Times New Roman"/>
          <w:sz w:val="22"/>
          <w:u w:color="FF0000"/>
        </w:rPr>
        <w:fldChar w:fldCharType="begin">
          <w:fldData xml:space="preserve">PEVuZE5vdGU+PENpdGU+PEF1dGhvcj5BbmRlcnNvbjwvQXV0aG9yPjxZZWFyPjIwMDg8L1llYXI+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</w:fldData>
        </w:fldChar>
      </w:r>
      <w:r w:rsidRPr="009D683D">
        <w:rPr>
          <w:rFonts w:ascii="Calibri" w:eastAsia="Calibri" w:hAnsi="Calibri" w:cs="Times New Roman"/>
          <w:sz w:val="22"/>
          <w:u w:color="FF0000"/>
        </w:rPr>
        <w:instrText xml:space="preserve"> ADDIN EN.CITE.DATA </w:instrText>
      </w:r>
      <w:r w:rsidRPr="009D683D">
        <w:rPr>
          <w:rFonts w:ascii="Calibri" w:eastAsia="Calibri" w:hAnsi="Calibri" w:cs="Times New Roman"/>
          <w:sz w:val="22"/>
          <w:u w:color="FF0000"/>
        </w:rPr>
      </w:r>
      <w:r w:rsidRPr="009D683D">
        <w:rPr>
          <w:rFonts w:ascii="Calibri" w:eastAsia="Calibri" w:hAnsi="Calibri" w:cs="Times New Roman"/>
          <w:sz w:val="22"/>
          <w:u w:color="FF0000"/>
        </w:rPr>
        <w:fldChar w:fldCharType="end"/>
      </w:r>
      <w:r w:rsidRPr="009D683D">
        <w:rPr>
          <w:rFonts w:ascii="Calibri" w:eastAsia="Calibri" w:hAnsi="Calibri" w:cs="Times New Roman"/>
          <w:sz w:val="22"/>
          <w:u w:color="FF0000"/>
        </w:rPr>
      </w:r>
      <w:r w:rsidRPr="009D683D">
        <w:rPr>
          <w:rFonts w:ascii="Calibri" w:eastAsia="Calibri" w:hAnsi="Calibri" w:cs="Times New Roman"/>
          <w:sz w:val="22"/>
          <w:u w:color="FF0000"/>
        </w:rPr>
        <w:fldChar w:fldCharType="separate"/>
      </w:r>
      <w:r w:rsidRPr="009D683D">
        <w:rPr>
          <w:rFonts w:ascii="Calibri" w:eastAsia="Calibri" w:hAnsi="Calibri" w:cs="Times New Roman"/>
          <w:noProof/>
          <w:sz w:val="22"/>
          <w:u w:color="FF0000"/>
        </w:rPr>
        <w:t>(Anderson et al., 2008; Cass et al., 2002; Hughes, Dembski, et al., 2017; Rix, Barclay, Stirling, Tong, &amp; Wilson, 2015)</w:t>
      </w:r>
      <w:r w:rsidRPr="009D683D">
        <w:rPr>
          <w:rFonts w:ascii="Calibri" w:eastAsia="Calibri" w:hAnsi="Calibri" w:cs="Times New Roman"/>
          <w:sz w:val="22"/>
          <w:u w:color="FF0000"/>
        </w:rPr>
        <w:fldChar w:fldCharType="end"/>
      </w:r>
      <w:r w:rsidRPr="009D683D">
        <w:rPr>
          <w:rFonts w:ascii="Calibri" w:eastAsia="Calibri" w:hAnsi="Calibri" w:cs="Times New Roman"/>
          <w:sz w:val="22"/>
        </w:rPr>
        <w:t xml:space="preserve">. Poorer outcomes for Indigenous patients, including confusion and frustration </w:t>
      </w:r>
      <w:r w:rsidRPr="009D683D">
        <w:rPr>
          <w:rFonts w:ascii="Calibri" w:eastAsia="Calibri" w:hAnsi="Calibri" w:cs="Times New Roman"/>
          <w:sz w:val="22"/>
          <w:u w:color="FF0000"/>
        </w:rPr>
        <w:fldChar w:fldCharType="begin">
          <w:fldData xml:space="preserve">PEVuZE5vdGU+PENpdGU+PEF1dGhvcj5BbmRlcnNvbjwvQXV0aG9yPjxZZWFyPjIwMDg8L1llYXI+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</w:fldData>
        </w:fldChar>
      </w:r>
      <w:r w:rsidRPr="009D683D">
        <w:rPr>
          <w:rFonts w:ascii="Calibri" w:eastAsia="Calibri" w:hAnsi="Calibri" w:cs="Times New Roman"/>
          <w:sz w:val="22"/>
          <w:u w:color="FF0000"/>
        </w:rPr>
        <w:instrText xml:space="preserve"> ADDIN EN.CITE </w:instrText>
      </w:r>
      <w:r w:rsidRPr="009D683D">
        <w:rPr>
          <w:rFonts w:ascii="Calibri" w:eastAsia="Calibri" w:hAnsi="Calibri" w:cs="Times New Roman"/>
          <w:sz w:val="22"/>
          <w:u w:color="FF0000"/>
        </w:rPr>
        <w:fldChar w:fldCharType="begin">
          <w:fldData xml:space="preserve">PEVuZE5vdGU+PENpdGU+PEF1dGhvcj5BbmRlcnNvbjwvQXV0aG9yPjxZZWFyPjIwMDg8L1llYXI+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</w:fldData>
        </w:fldChar>
      </w:r>
      <w:r w:rsidRPr="009D683D">
        <w:rPr>
          <w:rFonts w:ascii="Calibri" w:eastAsia="Calibri" w:hAnsi="Calibri" w:cs="Times New Roman"/>
          <w:sz w:val="22"/>
          <w:u w:color="FF0000"/>
        </w:rPr>
        <w:instrText xml:space="preserve"> ADDIN EN.CITE.DATA </w:instrText>
      </w:r>
      <w:r w:rsidRPr="009D683D">
        <w:rPr>
          <w:rFonts w:ascii="Calibri" w:eastAsia="Calibri" w:hAnsi="Calibri" w:cs="Times New Roman"/>
          <w:sz w:val="22"/>
          <w:u w:color="FF0000"/>
        </w:rPr>
      </w:r>
      <w:r w:rsidRPr="009D683D">
        <w:rPr>
          <w:rFonts w:ascii="Calibri" w:eastAsia="Calibri" w:hAnsi="Calibri" w:cs="Times New Roman"/>
          <w:sz w:val="22"/>
          <w:u w:color="FF0000"/>
        </w:rPr>
        <w:fldChar w:fldCharType="end"/>
      </w:r>
      <w:r w:rsidRPr="009D683D">
        <w:rPr>
          <w:rFonts w:ascii="Calibri" w:eastAsia="Calibri" w:hAnsi="Calibri" w:cs="Times New Roman"/>
          <w:sz w:val="22"/>
          <w:u w:color="FF0000"/>
        </w:rPr>
      </w:r>
      <w:r w:rsidRPr="009D683D">
        <w:rPr>
          <w:rFonts w:ascii="Calibri" w:eastAsia="Calibri" w:hAnsi="Calibri" w:cs="Times New Roman"/>
          <w:sz w:val="22"/>
          <w:u w:color="FF0000"/>
        </w:rPr>
        <w:fldChar w:fldCharType="separate"/>
      </w:r>
      <w:r w:rsidRPr="009D683D">
        <w:rPr>
          <w:rFonts w:ascii="Calibri" w:eastAsia="Calibri" w:hAnsi="Calibri" w:cs="Times New Roman"/>
          <w:noProof/>
          <w:sz w:val="22"/>
          <w:u w:color="FF0000"/>
        </w:rPr>
        <w:t>(Anderson et al., 2008; Cass et al., 2002)</w:t>
      </w:r>
      <w:r w:rsidRPr="009D683D">
        <w:rPr>
          <w:rFonts w:ascii="Calibri" w:eastAsia="Calibri" w:hAnsi="Calibri" w:cs="Times New Roman"/>
          <w:sz w:val="22"/>
          <w:u w:color="FF0000"/>
        </w:rPr>
        <w:fldChar w:fldCharType="end"/>
      </w:r>
      <w:r w:rsidRPr="009D683D">
        <w:rPr>
          <w:rFonts w:ascii="Calibri" w:eastAsia="Calibri" w:hAnsi="Calibri" w:cs="Times New Roman"/>
          <w:sz w:val="22"/>
        </w:rPr>
        <w:t xml:space="preserve">, discharge against medical advice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&lt;EndNote&gt;&lt;Cite&gt;&lt;Author&gt;Einsiedel&lt;/Author&gt;&lt;Year&gt;2013&lt;/Year&gt;&lt;RecNum&gt;163&lt;/RecNum&gt;&lt;DisplayText&gt;(Einsiedel et al., 2013)&lt;/DisplayText&gt;&lt;record&gt;&lt;rec-number&gt;163&lt;/rec-number&gt;&lt;foreign-keys&gt;&lt;key app="EN" db-id="ews5ve9enfwav7etdtjvztfdrftvwrf9vrsx" timestamp="1543380877"&gt;163&lt;/key&gt;&lt;/foreign-keys&gt;&lt;ref-type name="Journal Article"&gt;17&lt;/ref-type&gt;&lt;contributors&gt;&lt;authors&gt;&lt;author&gt;Einsiedel, L. J.&lt;/author&gt;&lt;author&gt;van Iersel, E.&lt;/author&gt;&lt;author&gt;Macnamara, R.&lt;/author&gt;&lt;author&gt;Spelman, T.&lt;/author&gt;&lt;author&gt;Heffernan, M.&lt;/author&gt;&lt;author&gt;Bray, L.&lt;/author&gt;&lt;author&gt;Morris, H.&lt;/author&gt;&lt;author&gt;Porter, B.&lt;/author&gt;&lt;author&gt;Davis, A.&lt;/author&gt;&lt;/authors&gt;&lt;/contributors&gt;&lt;auth-address&gt;Flinders University Northern Territory Rural Clinical School, Alice Springs Hospital, Alice Springs, Australia. lloyd.einsiedel@health.sa.gov.au&lt;/auth-address&gt;&lt;titles&gt;&lt;title&gt;Self-discharge by adult Aboriginal patients at Alice Springs Hospital, Central Australia: insights from a prospective cohort study&lt;/title&gt;&lt;secondary-title&gt;Aust Health Rev&lt;/secondary-title&gt;&lt;alt-title&gt;Australian health review : a publication of the Australian Hospital Association&lt;/alt-title&gt;&lt;/titles&gt;&lt;periodical&gt;&lt;full-title&gt;Aust Health Rev&lt;/full-title&gt;&lt;/periodical&gt;&lt;pages&gt;239-45&lt;/pages&gt;&lt;volume&gt;37&lt;/volume&gt;&lt;number&gt;2&lt;/number&gt;&lt;edition&gt;2012/12/22&lt;/edition&gt;&lt;keywords&gt;&lt;keyword&gt;Adult&lt;/keyword&gt;&lt;keyword&gt;Cohort Studies&lt;/keyword&gt;&lt;keyword&gt;Female&lt;/keyword&gt;&lt;keyword&gt;Humans&lt;/keyword&gt;&lt;keyword&gt;Male&lt;/keyword&gt;&lt;keyword&gt;Middle Aged&lt;/keyword&gt;&lt;keyword&gt;Northern Territory&lt;/keyword&gt;&lt;keyword&gt;*Oceanic Ancestry Group&lt;/keyword&gt;&lt;keyword&gt;Prospective Studies&lt;/keyword&gt;&lt;keyword&gt;Qualitative Research&lt;/keyword&gt;&lt;keyword&gt;*Treatment Refusal/statistics &amp;amp; numerical data&lt;/keyword&gt;&lt;/keywords&gt;&lt;dates&gt;&lt;year&gt;2013&lt;/year&gt;&lt;pub-dates&gt;&lt;date&gt;May&lt;/date&gt;&lt;/pub-dates&gt;&lt;/dates&gt;&lt;isbn&gt;0156-5788 (Print)&amp;#xD;0156-5788 (Linking)&lt;/isbn&gt;&lt;accession-num&gt;23257238&lt;/accession-num&gt;&lt;urls&gt;&lt;related-urls&gt;&lt;url&gt;https://www.ncbi.nlm.nih.gov/pubmed/23257238&lt;/url&gt;&lt;/related-urls&gt;&lt;/urls&gt;&lt;electronic-resource-num&gt;10.1071/AH11087&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(Einsiedel et al., 2013)</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and distrust of health care providers </w:t>
      </w:r>
      <w:r w:rsidRPr="009D683D">
        <w:rPr>
          <w:rFonts w:ascii="Calibri" w:eastAsia="Calibri" w:hAnsi="Calibri" w:cs="Times New Roman"/>
          <w:sz w:val="22"/>
          <w:u w:color="FF0000"/>
        </w:rPr>
        <w:fldChar w:fldCharType="begin">
          <w:fldData xml:space="preserve">PEVuZE5vdGU+PENpdGU+PEF1dGhvcj5Ub25lbGxpPC9BdXRob3I+PFllYXI+MjAwNTwvWWVhcj48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</w:fldData>
        </w:fldChar>
      </w:r>
      <w:r w:rsidRPr="009D683D">
        <w:rPr>
          <w:rFonts w:ascii="Calibri" w:eastAsia="Calibri" w:hAnsi="Calibri" w:cs="Times New Roman"/>
          <w:sz w:val="22"/>
          <w:u w:color="FF0000"/>
        </w:rPr>
        <w:instrText xml:space="preserve"> ADDIN EN.CITE </w:instrText>
      </w:r>
      <w:r w:rsidRPr="009D683D">
        <w:rPr>
          <w:rFonts w:ascii="Calibri" w:eastAsia="Calibri" w:hAnsi="Calibri" w:cs="Times New Roman"/>
          <w:sz w:val="22"/>
          <w:u w:color="FF0000"/>
        </w:rPr>
        <w:fldChar w:fldCharType="begin">
          <w:fldData xml:space="preserve">PEVuZE5vdGU+PENpdGU+PEF1dGhvcj5Ub25lbGxpPC9BdXRob3I+PFllYXI+MjAwNTwvWWVhcj48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</w:fldData>
        </w:fldChar>
      </w:r>
      <w:r w:rsidRPr="009D683D">
        <w:rPr>
          <w:rFonts w:ascii="Calibri" w:eastAsia="Calibri" w:hAnsi="Calibri" w:cs="Times New Roman"/>
          <w:sz w:val="22"/>
          <w:u w:color="FF0000"/>
        </w:rPr>
        <w:instrText xml:space="preserve"> ADDIN EN.CITE.DATA </w:instrText>
      </w:r>
      <w:r w:rsidRPr="009D683D">
        <w:rPr>
          <w:rFonts w:ascii="Calibri" w:eastAsia="Calibri" w:hAnsi="Calibri" w:cs="Times New Roman"/>
          <w:sz w:val="22"/>
          <w:u w:color="FF0000"/>
        </w:rPr>
      </w:r>
      <w:r w:rsidRPr="009D683D">
        <w:rPr>
          <w:rFonts w:ascii="Calibri" w:eastAsia="Calibri" w:hAnsi="Calibri" w:cs="Times New Roman"/>
          <w:sz w:val="22"/>
          <w:u w:color="FF0000"/>
        </w:rPr>
        <w:fldChar w:fldCharType="end"/>
      </w:r>
      <w:r w:rsidRPr="009D683D">
        <w:rPr>
          <w:rFonts w:ascii="Calibri" w:eastAsia="Calibri" w:hAnsi="Calibri" w:cs="Times New Roman"/>
          <w:sz w:val="22"/>
          <w:u w:color="FF0000"/>
        </w:rPr>
      </w:r>
      <w:r w:rsidRPr="009D683D">
        <w:rPr>
          <w:rFonts w:ascii="Calibri" w:eastAsia="Calibri" w:hAnsi="Calibri" w:cs="Times New Roman"/>
          <w:sz w:val="22"/>
          <w:u w:color="FF0000"/>
        </w:rPr>
        <w:fldChar w:fldCharType="separate"/>
      </w:r>
      <w:r w:rsidRPr="009D683D">
        <w:rPr>
          <w:rFonts w:ascii="Calibri" w:eastAsia="Calibri" w:hAnsi="Calibri" w:cs="Times New Roman"/>
          <w:noProof/>
          <w:sz w:val="22"/>
          <w:u w:color="FF0000"/>
        </w:rPr>
        <w:t>(Swain &amp; Barclay, 2013; Tonelli et al., 2005)</w:t>
      </w:r>
      <w:r w:rsidRPr="009D683D">
        <w:rPr>
          <w:rFonts w:ascii="Calibri" w:eastAsia="Calibri" w:hAnsi="Calibri" w:cs="Times New Roman"/>
          <w:sz w:val="22"/>
          <w:u w:color="FF0000"/>
        </w:rPr>
        <w:fldChar w:fldCharType="end"/>
      </w:r>
      <w:r w:rsidRPr="009D683D">
        <w:rPr>
          <w:rFonts w:ascii="Calibri" w:eastAsia="Calibri" w:hAnsi="Calibri" w:cs="Times New Roman"/>
          <w:sz w:val="22"/>
        </w:rPr>
        <w:t xml:space="preserve"> have been attributed to culturally inappropriate and ineffective communication practices. Indigenous patients’ lower levels of understanding of both their illness and its treatments have been linked to reduced active engagement in critical decision-making junctures and long-term management of their condition </w:t>
      </w:r>
      <w:r w:rsidRPr="009D683D">
        <w:rPr>
          <w:rFonts w:ascii="Calibri" w:eastAsia="Calibri" w:hAnsi="Calibri" w:cs="Times New Roman"/>
          <w:sz w:val="22"/>
          <w:u w:color="FF0000"/>
        </w:rPr>
        <w:fldChar w:fldCharType="begin"/>
      </w:r>
      <w:r w:rsidRPr="009D683D">
        <w:rPr>
          <w:rFonts w:ascii="Calibri" w:eastAsia="Calibri" w:hAnsi="Calibri" w:cs="Times New Roman"/>
          <w:sz w:val="22"/>
          <w:u w:color="FF0000"/>
        </w:rPr>
        <w:instrText xml:space="preserve"> ADDIN EN.CITE &lt;EndNote&gt;&lt;Cite&gt;&lt;Author&gt;Devitt&lt;/Author&gt;&lt;Year&gt;1998&lt;/Year&gt;&lt;RecNum&gt;4433&lt;/RecNum&gt;&lt;DisplayText&gt;(Devitt &amp;amp; McMasters, 1998)&lt;/DisplayText&gt;&lt;record&gt;&lt;rec-number&gt;4433&lt;/rec-number&gt;&lt;foreign-keys&gt;&lt;key app="EN" db-id="tw5prexd3xe203e9xflx2ze102wttr90awaa" timestamp="1543878792"&gt;4433&lt;/key&gt;&lt;/foreign-keys&gt;&lt;ref-type name="Book"&gt;6&lt;/ref-type&gt;&lt;contributors&gt;&lt;authors&gt;&lt;author&gt;Devitt, J.&lt;/author&gt;&lt;author&gt;McMasters, A.&lt;/author&gt;&lt;/authors&gt;&lt;/contributors&gt;&lt;titles&gt;&lt;title&gt;Living on Medicine: A Cultural Study of End-stage Renal Failure in Aboriginal People&lt;/title&gt;&lt;/titles&gt;&lt;dates&gt;&lt;year&gt;1998&lt;/year&gt;&lt;/dates&gt;&lt;publisher&gt;IAD Press&lt;/publisher&gt;&lt;isbn&gt;9781864650020&lt;/isbn&gt;&lt;urls&gt;&lt;related-urls&gt;&lt;url&gt;https://books.google.com.au/books?id=pZxuAAAACAAJ&lt;/url&gt;&lt;/related-urls&gt;&lt;/urls&gt;&lt;/record&gt;&lt;/Cite&gt;&lt;/EndNote&gt;</w:instrText>
      </w:r>
      <w:r w:rsidRPr="009D683D">
        <w:rPr>
          <w:rFonts w:ascii="Calibri" w:eastAsia="Calibri" w:hAnsi="Calibri" w:cs="Times New Roman"/>
          <w:sz w:val="22"/>
          <w:u w:color="FF0000"/>
        </w:rPr>
        <w:fldChar w:fldCharType="separate"/>
      </w:r>
      <w:r w:rsidRPr="009D683D">
        <w:rPr>
          <w:rFonts w:ascii="Calibri" w:eastAsia="Calibri" w:hAnsi="Calibri" w:cs="Times New Roman"/>
          <w:noProof/>
          <w:sz w:val="22"/>
          <w:u w:color="FF0000"/>
        </w:rPr>
        <w:t>(Devitt &amp; McMasters, 1998)</w:t>
      </w:r>
      <w:r w:rsidRPr="009D683D">
        <w:rPr>
          <w:rFonts w:ascii="Calibri" w:eastAsia="Calibri" w:hAnsi="Calibri" w:cs="Times New Roman"/>
          <w:sz w:val="22"/>
          <w:u w:color="FF0000"/>
        </w:rPr>
        <w:fldChar w:fldCharType="end"/>
      </w:r>
      <w:r w:rsidRPr="009D683D">
        <w:rPr>
          <w:rFonts w:ascii="Calibri" w:eastAsia="Calibri" w:hAnsi="Calibri" w:cs="Times New Roman"/>
          <w:sz w:val="22"/>
        </w:rPr>
        <w:t xml:space="preserve">. The engagement of interpreters to assist Indigenous patients in health care settings has also been identified as grossly underutilised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&lt;EndNote&gt;&lt;Cite&gt;&lt;Author&gt;Amery&lt;/Author&gt;&lt;Year&gt;2017&lt;/Year&gt;&lt;RecNum&gt;164&lt;/RecNum&gt;&lt;DisplayText&gt;(Amery, 2017)&lt;/DisplayText&gt;&lt;record&gt;&lt;rec-number&gt;164&lt;/rec-number&gt;&lt;foreign-keys&gt;&lt;key app="EN" db-id="ews5ve9enfwav7etdtjvztfdrftvwrf9vrsx" timestamp="1543381789"&gt;164&lt;/key&gt;&lt;/foreign-keys&gt;&lt;ref-type name="Journal Article"&gt;17&lt;/ref-type&gt;&lt;contributors&gt;&lt;authors&gt;&lt;author&gt;Amery, R.&lt;/author&gt;&lt;/authors&gt;&lt;/contributors&gt;&lt;auth-address&gt;University of Adelaide, Adelaide, SA robert.amery@adelaide.edu.au.&lt;/auth-address&gt;&lt;titles&gt;&lt;title&gt;Recognising the communication gap in Indigenous health care&lt;/title&gt;&lt;secondary-title&gt;Med J Aust&lt;/secondary-title&gt;&lt;/titles&gt;&lt;periodical&gt;&lt;full-title&gt;Med J Aust&lt;/full-title&gt;&lt;/periodical&gt;&lt;pages&gt;13-15&lt;/pages&gt;&lt;volume&gt;207&lt;/volume&gt;&lt;number&gt;1&lt;/number&gt;&lt;edition&gt;2017/07/01&lt;/edition&gt;&lt;keywords&gt;&lt;keyword&gt;Australia&lt;/keyword&gt;&lt;keyword&gt;Communication&lt;/keyword&gt;&lt;keyword&gt;*Cultural Competency&lt;/keyword&gt;&lt;keyword&gt;Health Services, Indigenous/manpower/*standards&lt;/keyword&gt;&lt;keyword&gt;Humans&lt;/keyword&gt;&lt;keyword&gt;*Language&lt;/keyword&gt;&lt;keyword&gt;*Oceanic Ancestry Group&lt;/keyword&gt;&lt;keyword&gt;*Professional-Patient Relations&lt;/keyword&gt;&lt;keyword&gt;*Communication&lt;/keyword&gt;&lt;/keywords&gt;&lt;dates&gt;&lt;year&gt;2017&lt;/year&gt;&lt;pub-dates&gt;&lt;date&gt;Jul 3&lt;/date&gt;&lt;/pub-dates&gt;&lt;/dates&gt;&lt;isbn&gt;1326-5377 (Electronic)&amp;#xD;0025-729X (Linking)&lt;/isbn&gt;&lt;accession-num&gt;28659103&lt;/accession-num&gt;&lt;urls&gt;&lt;related-urls&gt;&lt;url&gt;https://www.ncbi.nlm.nih.gov/pubmed/28659103&lt;/url&gt;&lt;/related-urls&gt;&lt;/urls&gt;&lt;electronic-resource-num&gt;10.5694/mja17.00042 &lt;/electronic-resource-num&gt;&lt;/record&gt;&lt;/Cite&gt;&lt;/EndNote&gt;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(Amery, 2017)</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primarily due to structural and process barriers </w:t>
      </w:r>
      <w:r w:rsidRPr="009D683D">
        <w:rPr>
          <w:rFonts w:ascii="Calibri" w:eastAsia="Calibri" w:hAnsi="Calibri" w:cs="Times New Roman"/>
          <w:sz w:val="22"/>
        </w:rPr>
        <w:fldChar w:fldCharType="begin">
          <w:fldData xml:space="preserve">PEVuZE5vdGU+PENpdGU+PEF1dGhvcj5SYWxwaDwvQXV0aG9yPjxZZWFyPjIwMTc8L1llYXI+PFJl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PEVuZE5vdGU+PENpdGU+PEF1dGhvcj5SYWxwaDwvQXV0aG9yPjxZZWFyPjIwMTc8L1llYXI+PFJl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(Ralph et al., 2017)</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These barriers comprise: limited interpreter availability, complexity in booking interpreters, health care provider time constraints, inadequate delivery of tools and training in cultural competence and working with interpreters, low knowledge and documentation of which language patients speak, and preferential use of unofficial interpreters (i.e. family members) for convenience </w:t>
      </w:r>
      <w:r w:rsidRPr="009D683D">
        <w:rPr>
          <w:rFonts w:ascii="Calibri" w:eastAsia="Calibri" w:hAnsi="Calibri" w:cs="Times New Roman"/>
          <w:sz w:val="22"/>
        </w:rPr>
        <w:fldChar w:fldCharType="begin">
          <w:fldData xml:space="preserve">PEVuZE5vdGU+PENpdGU+PEF1dGhvcj5SYWxwaDwvQXV0aG9yPjxZZWFyPjIwMTc8L1llYXI+PFJl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PEVuZE5vdGU+PENpdGU+PEF1dGhvcj5SYWxwaDwvQXV0aG9yPjxZZWFyPjIwMTc8L1llYXI+PFJl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(Ralph et al., 2017)</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t>
      </w:r>
    </w:p>
    <w:p w14:paraId="77C79E5C"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u w:color="FF0000"/>
        </w:rPr>
        <w:t xml:space="preserve">In a large and diverse cohort study of Indigenous dialysis patients, Devitt et al. (2017) </w:t>
      </w:r>
      <w:r w:rsidRPr="009D683D">
        <w:rPr>
          <w:rFonts w:ascii="Calibri" w:eastAsia="Calibri" w:hAnsi="Calibri" w:cs="Times New Roman"/>
          <w:sz w:val="22"/>
        </w:rPr>
        <w:t xml:space="preserve">found that the vast majority expressed a positive, in some cases intense, interest in receiving a kidney transplant.  While many patients viewed it as their only hope of re-establishing a normal life in their homeland with their family, only half of the respondents reported feeling sufficiently informed about their </w:t>
      </w:r>
      <w:r w:rsidRPr="009D683D">
        <w:rPr>
          <w:rFonts w:ascii="Calibri" w:eastAsia="Calibri" w:hAnsi="Calibri" w:cs="Times New Roman"/>
          <w:sz w:val="22"/>
        </w:rPr>
        <w:lastRenderedPageBreak/>
        <w:t xml:space="preserve">transplant status and prospects </w:t>
      </w:r>
      <w:r w:rsidRPr="009D683D">
        <w:rPr>
          <w:rFonts w:ascii="Calibri" w:eastAsia="Calibri" w:hAnsi="Calibri" w:cs="Times New Roman"/>
          <w:sz w:val="22"/>
          <w:u w:color="FF0000"/>
        </w:rPr>
        <w:fldChar w:fldCharType="begin">
          <w:fldData xml:space="preserve">PEVuZE5vdGU+PENpdGU+PEF1dGhvcj5EZXZpdHQ8L0F1dGhvcj48WWVhcj4yMDE3PC9ZZWFyPjxS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</w:fldData>
        </w:fldChar>
      </w:r>
      <w:r w:rsidRPr="009D683D">
        <w:rPr>
          <w:rFonts w:ascii="Calibri" w:eastAsia="Calibri" w:hAnsi="Calibri" w:cs="Times New Roman"/>
          <w:sz w:val="22"/>
          <w:u w:color="FF0000"/>
        </w:rPr>
        <w:instrText xml:space="preserve"> ADDIN EN.CITE </w:instrText>
      </w:r>
      <w:r w:rsidRPr="009D683D">
        <w:rPr>
          <w:rFonts w:ascii="Calibri" w:eastAsia="Calibri" w:hAnsi="Calibri" w:cs="Times New Roman"/>
          <w:sz w:val="22"/>
          <w:u w:color="FF0000"/>
        </w:rPr>
        <w:fldChar w:fldCharType="begin">
          <w:fldData xml:space="preserve">PEVuZE5vdGU+PENpdGU+PEF1dGhvcj5EZXZpdHQ8L0F1dGhvcj48WWVhcj4yMDE3PC9ZZWFyPjxS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</w:fldData>
        </w:fldChar>
      </w:r>
      <w:r w:rsidRPr="009D683D">
        <w:rPr>
          <w:rFonts w:ascii="Calibri" w:eastAsia="Calibri" w:hAnsi="Calibri" w:cs="Times New Roman"/>
          <w:sz w:val="22"/>
          <w:u w:color="FF0000"/>
        </w:rPr>
        <w:instrText xml:space="preserve"> ADDIN EN.CITE.DATA </w:instrText>
      </w:r>
      <w:r w:rsidRPr="009D683D">
        <w:rPr>
          <w:rFonts w:ascii="Calibri" w:eastAsia="Calibri" w:hAnsi="Calibri" w:cs="Times New Roman"/>
          <w:sz w:val="22"/>
          <w:u w:color="FF0000"/>
        </w:rPr>
      </w:r>
      <w:r w:rsidRPr="009D683D">
        <w:rPr>
          <w:rFonts w:ascii="Calibri" w:eastAsia="Calibri" w:hAnsi="Calibri" w:cs="Times New Roman"/>
          <w:sz w:val="22"/>
          <w:u w:color="FF0000"/>
        </w:rPr>
        <w:fldChar w:fldCharType="end"/>
      </w:r>
      <w:r w:rsidRPr="009D683D">
        <w:rPr>
          <w:rFonts w:ascii="Calibri" w:eastAsia="Calibri" w:hAnsi="Calibri" w:cs="Times New Roman"/>
          <w:sz w:val="22"/>
          <w:u w:color="FF0000"/>
        </w:rPr>
      </w:r>
      <w:r w:rsidRPr="009D683D">
        <w:rPr>
          <w:rFonts w:ascii="Calibri" w:eastAsia="Calibri" w:hAnsi="Calibri" w:cs="Times New Roman"/>
          <w:sz w:val="22"/>
          <w:u w:color="FF0000"/>
        </w:rPr>
        <w:fldChar w:fldCharType="separate"/>
      </w:r>
      <w:r w:rsidRPr="009D683D">
        <w:rPr>
          <w:rFonts w:ascii="Calibri" w:eastAsia="Calibri" w:hAnsi="Calibri" w:cs="Times New Roman"/>
          <w:noProof/>
          <w:sz w:val="22"/>
          <w:u w:color="FF0000"/>
        </w:rPr>
        <w:t>(Devitt et al., 2017)</w:t>
      </w:r>
      <w:r w:rsidRPr="009D683D">
        <w:rPr>
          <w:rFonts w:ascii="Calibri" w:eastAsia="Calibri" w:hAnsi="Calibri" w:cs="Times New Roman"/>
          <w:sz w:val="22"/>
          <w:u w:color="FF0000"/>
        </w:rPr>
        <w:fldChar w:fldCharType="end"/>
      </w:r>
      <w:r w:rsidRPr="009D683D">
        <w:rPr>
          <w:rFonts w:ascii="Calibri" w:eastAsia="Calibri" w:hAnsi="Calibri" w:cs="Times New Roman"/>
          <w:sz w:val="22"/>
        </w:rPr>
        <w:t xml:space="preserve">. Devitt et al. (2017) also noted that most patients only had a rudimentary knowledge of transplantation and an extremely limited understanding of eligibility criteria, the pathway to being listed and the risks/benefits associated with transplantation. Of the 146 Indigenous patients interviewed, one in four were either mistaken or uncertain about their current listing status </w:t>
      </w:r>
      <w:r w:rsidRPr="009D683D">
        <w:rPr>
          <w:rFonts w:ascii="Calibri" w:eastAsia="Calibri" w:hAnsi="Calibri" w:cs="Times New Roman"/>
          <w:sz w:val="22"/>
          <w:u w:color="FF0000"/>
        </w:rPr>
        <w:fldChar w:fldCharType="begin">
          <w:fldData xml:space="preserve">PEVuZE5vdGU+PENpdGU+PEF1dGhvcj5EZXZpdHQ8L0F1dGhvcj48WWVhcj4yMDE3PC9ZZWFyPjxS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</w:fldData>
        </w:fldChar>
      </w:r>
      <w:r w:rsidRPr="009D683D">
        <w:rPr>
          <w:rFonts w:ascii="Calibri" w:eastAsia="Calibri" w:hAnsi="Calibri" w:cs="Times New Roman"/>
          <w:sz w:val="22"/>
          <w:u w:color="FF0000"/>
        </w:rPr>
        <w:instrText xml:space="preserve"> ADDIN EN.CITE </w:instrText>
      </w:r>
      <w:r w:rsidRPr="009D683D">
        <w:rPr>
          <w:rFonts w:ascii="Calibri" w:eastAsia="Calibri" w:hAnsi="Calibri" w:cs="Times New Roman"/>
          <w:sz w:val="22"/>
          <w:u w:color="FF0000"/>
        </w:rPr>
        <w:fldChar w:fldCharType="begin">
          <w:fldData xml:space="preserve">PEVuZE5vdGU+PENpdGU+PEF1dGhvcj5EZXZpdHQ8L0F1dGhvcj48WWVhcj4yMDE3PC9ZZWFyPjxS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</w:fldData>
        </w:fldChar>
      </w:r>
      <w:r w:rsidRPr="009D683D">
        <w:rPr>
          <w:rFonts w:ascii="Calibri" w:eastAsia="Calibri" w:hAnsi="Calibri" w:cs="Times New Roman"/>
          <w:sz w:val="22"/>
          <w:u w:color="FF0000"/>
        </w:rPr>
        <w:instrText xml:space="preserve"> ADDIN EN.CITE.DATA </w:instrText>
      </w:r>
      <w:r w:rsidRPr="009D683D">
        <w:rPr>
          <w:rFonts w:ascii="Calibri" w:eastAsia="Calibri" w:hAnsi="Calibri" w:cs="Times New Roman"/>
          <w:sz w:val="22"/>
          <w:u w:color="FF0000"/>
        </w:rPr>
      </w:r>
      <w:r w:rsidRPr="009D683D">
        <w:rPr>
          <w:rFonts w:ascii="Calibri" w:eastAsia="Calibri" w:hAnsi="Calibri" w:cs="Times New Roman"/>
          <w:sz w:val="22"/>
          <w:u w:color="FF0000"/>
        </w:rPr>
        <w:fldChar w:fldCharType="end"/>
      </w:r>
      <w:r w:rsidRPr="009D683D">
        <w:rPr>
          <w:rFonts w:ascii="Calibri" w:eastAsia="Calibri" w:hAnsi="Calibri" w:cs="Times New Roman"/>
          <w:sz w:val="22"/>
          <w:u w:color="FF0000"/>
        </w:rPr>
      </w:r>
      <w:r w:rsidRPr="009D683D">
        <w:rPr>
          <w:rFonts w:ascii="Calibri" w:eastAsia="Calibri" w:hAnsi="Calibri" w:cs="Times New Roman"/>
          <w:sz w:val="22"/>
          <w:u w:color="FF0000"/>
        </w:rPr>
        <w:fldChar w:fldCharType="separate"/>
      </w:r>
      <w:r w:rsidRPr="009D683D">
        <w:rPr>
          <w:rFonts w:ascii="Calibri" w:eastAsia="Calibri" w:hAnsi="Calibri" w:cs="Times New Roman"/>
          <w:noProof/>
          <w:sz w:val="22"/>
          <w:u w:color="FF0000"/>
        </w:rPr>
        <w:t>(Devitt et al., 2017)</w:t>
      </w:r>
      <w:r w:rsidRPr="009D683D">
        <w:rPr>
          <w:rFonts w:ascii="Calibri" w:eastAsia="Calibri" w:hAnsi="Calibri" w:cs="Times New Roman"/>
          <w:sz w:val="22"/>
          <w:u w:color="FF0000"/>
        </w:rPr>
        <w:fldChar w:fldCharType="end"/>
      </w:r>
      <w:r w:rsidRPr="009D683D">
        <w:rPr>
          <w:rFonts w:ascii="Calibri" w:eastAsia="Calibri" w:hAnsi="Calibri" w:cs="Times New Roman"/>
          <w:sz w:val="22"/>
        </w:rPr>
        <w:t xml:space="preserve">. These issues have been reinforced by repeated anecdotes from staff and patients in dialysis units who have reported that education and discussions about transplantation are commonly misinterpreted by Indigenous patients as automatic acceptance and placement on the waitlist. </w:t>
      </w:r>
    </w:p>
    <w:p w14:paraId="40133638"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The multiple communication barriers faced by Indigenous patients not only undermines their engagement in treatment decision-making, but also promotes a sense of disempowerment at the individual, family and community level </w:t>
      </w:r>
      <w:r w:rsidRPr="009D683D">
        <w:rPr>
          <w:rFonts w:ascii="Calibri" w:eastAsia="Calibri" w:hAnsi="Calibri" w:cs="Times New Roman"/>
          <w:sz w:val="22"/>
          <w:u w:color="FF0000"/>
        </w:rPr>
        <w:fldChar w:fldCharType="begin">
          <w:fldData xml:space="preserve">PEVuZE5vdGU+PENpdGU+PEF1dGhvcj5TeXBlazwvQXV0aG9yPjxZZWFyPjIwMTg8L1llYXI+PFJl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</w:fldData>
        </w:fldChar>
      </w:r>
      <w:r w:rsidRPr="009D683D">
        <w:rPr>
          <w:rFonts w:ascii="Calibri" w:eastAsia="Calibri" w:hAnsi="Calibri" w:cs="Times New Roman"/>
          <w:sz w:val="22"/>
          <w:u w:color="FF0000"/>
        </w:rPr>
        <w:instrText xml:space="preserve"> ADDIN EN.CITE </w:instrText>
      </w:r>
      <w:r w:rsidRPr="009D683D">
        <w:rPr>
          <w:rFonts w:ascii="Calibri" w:eastAsia="Calibri" w:hAnsi="Calibri" w:cs="Times New Roman"/>
          <w:sz w:val="22"/>
          <w:u w:color="FF0000"/>
        </w:rPr>
        <w:fldChar w:fldCharType="begin">
          <w:fldData xml:space="preserve">PEVuZE5vdGU+PENpdGU+PEF1dGhvcj5TeXBlazwvQXV0aG9yPjxZZWFyPjIwMTg8L1llYXI+PFJl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</w:fldData>
        </w:fldChar>
      </w:r>
      <w:r w:rsidRPr="009D683D">
        <w:rPr>
          <w:rFonts w:ascii="Calibri" w:eastAsia="Calibri" w:hAnsi="Calibri" w:cs="Times New Roman"/>
          <w:sz w:val="22"/>
          <w:u w:color="FF0000"/>
        </w:rPr>
        <w:instrText xml:space="preserve"> ADDIN EN.CITE.DATA </w:instrText>
      </w:r>
      <w:r w:rsidRPr="009D683D">
        <w:rPr>
          <w:rFonts w:ascii="Calibri" w:eastAsia="Calibri" w:hAnsi="Calibri" w:cs="Times New Roman"/>
          <w:sz w:val="22"/>
          <w:u w:color="FF0000"/>
        </w:rPr>
      </w:r>
      <w:r w:rsidRPr="009D683D">
        <w:rPr>
          <w:rFonts w:ascii="Calibri" w:eastAsia="Calibri" w:hAnsi="Calibri" w:cs="Times New Roman"/>
          <w:sz w:val="22"/>
          <w:u w:color="FF0000"/>
        </w:rPr>
        <w:fldChar w:fldCharType="end"/>
      </w:r>
      <w:r w:rsidRPr="009D683D">
        <w:rPr>
          <w:rFonts w:ascii="Calibri" w:eastAsia="Calibri" w:hAnsi="Calibri" w:cs="Times New Roman"/>
          <w:sz w:val="22"/>
          <w:u w:color="FF0000"/>
        </w:rPr>
      </w:r>
      <w:r w:rsidRPr="009D683D">
        <w:rPr>
          <w:rFonts w:ascii="Calibri" w:eastAsia="Calibri" w:hAnsi="Calibri" w:cs="Times New Roman"/>
          <w:sz w:val="22"/>
          <w:u w:color="FF0000"/>
        </w:rPr>
        <w:fldChar w:fldCharType="separate"/>
      </w:r>
      <w:r w:rsidRPr="009D683D">
        <w:rPr>
          <w:rFonts w:ascii="Calibri" w:eastAsia="Calibri" w:hAnsi="Calibri" w:cs="Times New Roman"/>
          <w:noProof/>
          <w:sz w:val="22"/>
          <w:u w:color="FF0000"/>
        </w:rPr>
        <w:t>(Devitt et al., 2017; Sypek et al., 2018)</w:t>
      </w:r>
      <w:r w:rsidRPr="009D683D">
        <w:rPr>
          <w:rFonts w:ascii="Calibri" w:eastAsia="Calibri" w:hAnsi="Calibri" w:cs="Times New Roman"/>
          <w:sz w:val="22"/>
          <w:u w:color="FF0000"/>
        </w:rPr>
        <w:fldChar w:fldCharType="end"/>
      </w:r>
      <w:r w:rsidRPr="009D683D">
        <w:rPr>
          <w:rFonts w:ascii="Calibri" w:eastAsia="Calibri" w:hAnsi="Calibri" w:cs="Times New Roman"/>
          <w:sz w:val="22"/>
          <w:u w:color="FF0000"/>
        </w:rPr>
        <w:t>.</w:t>
      </w:r>
    </w:p>
    <w:p w14:paraId="3C13D37E" w14:textId="77777777"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Culturally appropriate communication and education resources</w:t>
      </w:r>
    </w:p>
    <w:p w14:paraId="5FA557BF" w14:textId="77777777" w:rsidR="009D683D" w:rsidRPr="009D683D" w:rsidRDefault="009D683D" w:rsidP="009D683D">
      <w:pPr>
        <w:spacing w:line="276" w:lineRule="auto"/>
        <w:jc w:val="both"/>
        <w:rPr>
          <w:rFonts w:ascii="Calibri" w:eastAsia="Calibri" w:hAnsi="Calibri" w:cs="Calibri"/>
        </w:rPr>
      </w:pPr>
      <w:r w:rsidRPr="009D683D">
        <w:rPr>
          <w:rFonts w:ascii="Calibri" w:eastAsia="MS Mincho" w:hAnsi="Calibri" w:cs="Arial"/>
          <w:bCs/>
          <w:sz w:val="22"/>
          <w:lang w:val="en-US" w:eastAsia="ja-JP"/>
        </w:rPr>
        <w:t xml:space="preserve">Research has noted several common difficulties experienced by the predominantly non-Indigenous health workforce in effectively communicating with Indigenous people and providing appropriate advice. In many cases, these difficulties drive a misperception that Indigenous patients have limited capacity to understand and adhere to strict medical regimes </w:t>
      </w:r>
      <w:r w:rsidRPr="009D683D">
        <w:rPr>
          <w:rFonts w:ascii="Calibri" w:eastAsia="MS Mincho" w:hAnsi="Calibri" w:cs="Arial"/>
          <w:bCs/>
          <w:sz w:val="22"/>
          <w:lang w:val="en-US" w:eastAsia="ja-JP"/>
        </w:rPr>
        <w:fldChar w:fldCharType="begin">
          <w:fldData xml:space="preserve">PEVuZE5vdGU+PENpdGU+PEF1dGhvcj5DYXNzPC9BdXRob3I+PFllYXI+MjAwMjwvWWVhcj48UmVj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</w:fldData>
        </w:fldChar>
      </w:r>
      <w:r w:rsidRPr="009D683D">
        <w:rPr>
          <w:rFonts w:ascii="Calibri" w:eastAsia="MS Mincho" w:hAnsi="Calibri" w:cs="Arial"/>
          <w:bCs/>
          <w:sz w:val="22"/>
          <w:lang w:val="en-US" w:eastAsia="ja-JP"/>
        </w:rPr>
        <w:instrText xml:space="preserve"> ADDIN EN.CITE </w:instrText>
      </w:r>
      <w:r w:rsidRPr="009D683D">
        <w:rPr>
          <w:rFonts w:ascii="Calibri" w:eastAsia="MS Mincho" w:hAnsi="Calibri" w:cs="Arial"/>
          <w:bCs/>
          <w:sz w:val="22"/>
          <w:lang w:val="en-US" w:eastAsia="ja-JP"/>
        </w:rPr>
        <w:fldChar w:fldCharType="begin">
          <w:fldData xml:space="preserve">PEVuZE5vdGU+PENpdGU+PEF1dGhvcj5DYXNzPC9BdXRob3I+PFllYXI+MjAwMjwvWWVhcj48UmVj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</w:fldData>
        </w:fldChar>
      </w:r>
      <w:r w:rsidRPr="009D683D">
        <w:rPr>
          <w:rFonts w:ascii="Calibri" w:eastAsia="MS Mincho" w:hAnsi="Calibri" w:cs="Arial"/>
          <w:bCs/>
          <w:sz w:val="22"/>
          <w:lang w:val="en-US" w:eastAsia="ja-JP"/>
        </w:rPr>
        <w:instrText xml:space="preserve"> ADDIN EN.CITE.DATA </w:instrText>
      </w:r>
      <w:r w:rsidRPr="009D683D">
        <w:rPr>
          <w:rFonts w:ascii="Calibri" w:eastAsia="MS Mincho" w:hAnsi="Calibri" w:cs="Arial"/>
          <w:bCs/>
          <w:sz w:val="22"/>
          <w:lang w:val="en-US" w:eastAsia="ja-JP"/>
        </w:rPr>
      </w:r>
      <w:r w:rsidRPr="009D683D">
        <w:rPr>
          <w:rFonts w:ascii="Calibri" w:eastAsia="MS Mincho" w:hAnsi="Calibri" w:cs="Arial"/>
          <w:bCs/>
          <w:sz w:val="22"/>
          <w:lang w:val="en-US" w:eastAsia="ja-JP"/>
        </w:rPr>
        <w:fldChar w:fldCharType="end"/>
      </w:r>
      <w:r w:rsidRPr="009D683D">
        <w:rPr>
          <w:rFonts w:ascii="Calibri" w:eastAsia="MS Mincho" w:hAnsi="Calibri" w:cs="Arial"/>
          <w:bCs/>
          <w:sz w:val="22"/>
          <w:lang w:val="en-US" w:eastAsia="ja-JP"/>
        </w:rPr>
      </w:r>
      <w:r w:rsidRPr="009D683D">
        <w:rPr>
          <w:rFonts w:ascii="Calibri" w:eastAsia="MS Mincho" w:hAnsi="Calibri" w:cs="Arial"/>
          <w:bCs/>
          <w:sz w:val="22"/>
          <w:lang w:val="en-US" w:eastAsia="ja-JP"/>
        </w:rPr>
        <w:fldChar w:fldCharType="separate"/>
      </w:r>
      <w:r w:rsidRPr="009D683D">
        <w:rPr>
          <w:rFonts w:ascii="Calibri" w:eastAsia="MS Mincho" w:hAnsi="Calibri" w:cs="Arial"/>
          <w:bCs/>
          <w:noProof/>
          <w:sz w:val="22"/>
          <w:lang w:val="en-US" w:eastAsia="ja-JP"/>
        </w:rPr>
        <w:t>(Anderson, Devitt, et al., 2012; Cass et al., 2002)</w:t>
      </w:r>
      <w:r w:rsidRPr="009D683D">
        <w:rPr>
          <w:rFonts w:ascii="Calibri" w:eastAsia="MS Mincho" w:hAnsi="Calibri" w:cs="Arial"/>
          <w:bCs/>
          <w:sz w:val="22"/>
          <w:lang w:eastAsia="ja-JP"/>
        </w:rPr>
        <w:fldChar w:fldCharType="end"/>
      </w:r>
      <w:r w:rsidRPr="009D683D">
        <w:rPr>
          <w:rFonts w:ascii="Calibri" w:eastAsia="MS Mincho" w:hAnsi="Calibri" w:cs="Arial"/>
          <w:bCs/>
          <w:sz w:val="22"/>
          <w:lang w:eastAsia="ja-JP"/>
        </w:rPr>
        <w:t>.</w:t>
      </w:r>
      <w:r w:rsidRPr="009D683D">
        <w:rPr>
          <w:rFonts w:ascii="Calibri" w:eastAsia="Calibri" w:hAnsi="Calibri" w:cs="Times New Roman"/>
          <w:sz w:val="22"/>
        </w:rPr>
        <w:t xml:space="preserve"> Factors contributing to poor communication between health professionals and Indigenous patients include: multiple linguistic, social and cultural communication barriers; perceptions of systematic exclusion from critical knowledge </w:t>
      </w:r>
      <w:r w:rsidRPr="009D683D">
        <w:rPr>
          <w:rFonts w:ascii="Calibri" w:eastAsia="Calibri" w:hAnsi="Calibri" w:cs="Times New Roman"/>
          <w:sz w:val="22"/>
        </w:rPr>
        <w:fldChar w:fldCharType="begin">
          <w:fldData xml:space="preserve">PEVuZE5vdGU+PENpdGU+PEF1dGhvcj5Mb3dlbGw8L0F1dGhvcj48WWVhcj4yMDEyPC9ZZWFyPjxS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PEVuZE5vdGU+PENpdGU+PEF1dGhvcj5Mb3dlbGw8L0F1dGhvcj48WWVhcj4yMDEyPC9ZZWFyPjxS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(Lowell et al., 2012)</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a lack of culturally appropriate, user-friendly information and patient education strategies; and failing to assess and cater for patients’ level of health literacy </w:t>
      </w:r>
      <w:r w:rsidRPr="009D683D">
        <w:rPr>
          <w:rFonts w:ascii="Calibri" w:eastAsia="Calibri" w:hAnsi="Calibri" w:cs="Times New Roman"/>
          <w:sz w:val="22"/>
          <w:u w:color="FF0000"/>
        </w:rPr>
        <w:fldChar w:fldCharType="begin">
          <w:fldData xml:space="preserve">PEVuZE5vdGU+PENpdGU+PEF1dGhvcj5EZXZpdHQ8L0F1dGhvcj48WWVhcj4yMDE3PC9ZZWFyPjxS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</w:fldData>
        </w:fldChar>
      </w:r>
      <w:r w:rsidRPr="009D683D">
        <w:rPr>
          <w:rFonts w:ascii="Calibri" w:eastAsia="Calibri" w:hAnsi="Calibri" w:cs="Times New Roman"/>
          <w:sz w:val="22"/>
          <w:u w:color="FF0000"/>
        </w:rPr>
        <w:instrText xml:space="preserve"> ADDIN EN.CITE </w:instrText>
      </w:r>
      <w:r w:rsidRPr="009D683D">
        <w:rPr>
          <w:rFonts w:ascii="Calibri" w:eastAsia="Calibri" w:hAnsi="Calibri" w:cs="Times New Roman"/>
          <w:sz w:val="22"/>
          <w:u w:color="FF0000"/>
        </w:rPr>
        <w:fldChar w:fldCharType="begin">
          <w:fldData xml:space="preserve">PEVuZE5vdGU+PENpdGU+PEF1dGhvcj5EZXZpdHQ8L0F1dGhvcj48WWVhcj4yMDE3PC9ZZWFyPjxS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</w:fldData>
        </w:fldChar>
      </w:r>
      <w:r w:rsidRPr="009D683D">
        <w:rPr>
          <w:rFonts w:ascii="Calibri" w:eastAsia="Calibri" w:hAnsi="Calibri" w:cs="Times New Roman"/>
          <w:sz w:val="22"/>
          <w:u w:color="FF0000"/>
        </w:rPr>
        <w:instrText xml:space="preserve"> ADDIN EN.CITE.DATA </w:instrText>
      </w:r>
      <w:r w:rsidRPr="009D683D">
        <w:rPr>
          <w:rFonts w:ascii="Calibri" w:eastAsia="Calibri" w:hAnsi="Calibri" w:cs="Times New Roman"/>
          <w:sz w:val="22"/>
          <w:u w:color="FF0000"/>
        </w:rPr>
      </w:r>
      <w:r w:rsidRPr="009D683D">
        <w:rPr>
          <w:rFonts w:ascii="Calibri" w:eastAsia="Calibri" w:hAnsi="Calibri" w:cs="Times New Roman"/>
          <w:sz w:val="22"/>
          <w:u w:color="FF0000"/>
        </w:rPr>
        <w:fldChar w:fldCharType="end"/>
      </w:r>
      <w:r w:rsidRPr="009D683D">
        <w:rPr>
          <w:rFonts w:ascii="Calibri" w:eastAsia="Calibri" w:hAnsi="Calibri" w:cs="Times New Roman"/>
          <w:sz w:val="22"/>
          <w:u w:color="FF0000"/>
        </w:rPr>
      </w:r>
      <w:r w:rsidRPr="009D683D">
        <w:rPr>
          <w:rFonts w:ascii="Calibri" w:eastAsia="Calibri" w:hAnsi="Calibri" w:cs="Times New Roman"/>
          <w:sz w:val="22"/>
          <w:u w:color="FF0000"/>
        </w:rPr>
        <w:fldChar w:fldCharType="separate"/>
      </w:r>
      <w:r w:rsidRPr="009D683D">
        <w:rPr>
          <w:rFonts w:ascii="Calibri" w:eastAsia="Calibri" w:hAnsi="Calibri" w:cs="Times New Roman"/>
          <w:noProof/>
          <w:sz w:val="22"/>
          <w:u w:color="FF0000"/>
        </w:rPr>
        <w:t>(Devitt et al., 2017)</w:t>
      </w:r>
      <w:r w:rsidRPr="009D683D">
        <w:rPr>
          <w:rFonts w:ascii="Calibri" w:eastAsia="Calibri" w:hAnsi="Calibri" w:cs="Times New Roman"/>
          <w:sz w:val="22"/>
          <w:u w:color="FF0000"/>
        </w:rPr>
        <w:fldChar w:fldCharType="end"/>
      </w:r>
      <w:r w:rsidRPr="009D683D">
        <w:rPr>
          <w:rFonts w:ascii="Calibri" w:eastAsia="Calibri" w:hAnsi="Calibri" w:cs="Times New Roman"/>
          <w:sz w:val="22"/>
          <w:u w:color="FF0000"/>
        </w:rPr>
        <w:t>.</w:t>
      </w:r>
      <w:r w:rsidRPr="009D683D">
        <w:rPr>
          <w:rFonts w:ascii="Calibri" w:eastAsia="Calibri" w:hAnsi="Calibri" w:cs="Times New Roman"/>
          <w:sz w:val="22"/>
        </w:rPr>
        <w:t xml:space="preserve"> </w:t>
      </w:r>
      <w:r w:rsidRPr="009D683D">
        <w:rPr>
          <w:rFonts w:ascii="Calibri" w:eastAsia="MS Mincho" w:hAnsi="Calibri" w:cs="Arial"/>
          <w:bCs/>
          <w:sz w:val="22"/>
          <w:lang w:val="en-US" w:eastAsia="ja-JP"/>
        </w:rPr>
        <w:t>Health literacy competencies apply to both</w:t>
      </w:r>
      <w:r w:rsidRPr="009D683D">
        <w:rPr>
          <w:rFonts w:ascii="Calibri" w:eastAsia="MS Mincho" w:hAnsi="Calibri" w:cs="Arial"/>
          <w:bCs/>
          <w:i/>
          <w:sz w:val="22"/>
          <w:lang w:val="en-US" w:eastAsia="ja-JP"/>
        </w:rPr>
        <w:t xml:space="preserve"> </w:t>
      </w:r>
      <w:r w:rsidRPr="009D683D">
        <w:rPr>
          <w:rFonts w:ascii="Calibri" w:eastAsia="MS Mincho" w:hAnsi="Calibri" w:cs="Arial"/>
          <w:bCs/>
          <w:sz w:val="22"/>
          <w:lang w:val="en-US" w:eastAsia="ja-JP"/>
        </w:rPr>
        <w:t xml:space="preserve">the seeker and provider of information, and there is a growing emphasis on the need for renal care providers to rigorously assess Indigenous patients’ health literacy and tailor communication accordingly. </w:t>
      </w:r>
    </w:p>
    <w:p w14:paraId="65242575"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MS Mincho" w:hAnsi="Calibri" w:cs="Arial"/>
          <w:bCs/>
          <w:sz w:val="22"/>
          <w:lang w:val="en-US" w:eastAsia="ja-JP"/>
        </w:rPr>
        <w:t>Indigenous patients and their families have also repeatedly raised concerns about the quality of transplant education resources. Indigenous patients’ feedback suggests that: current transplant information formats are poor facilitators of emotional engagement; the volume of information is often overwhelming; not all of it is relevant to the individual; and it is commonly complicated with the use of medical jargon, requiring practitioners’ assistance to decode the message</w:t>
      </w:r>
      <w:r w:rsidRPr="009D683D">
        <w:rPr>
          <w:rFonts w:ascii="Calibri" w:eastAsia="Calibri" w:hAnsi="Calibri" w:cs="Times New Roman"/>
          <w:sz w:val="22"/>
          <w:u w:color="FF0000"/>
        </w:rPr>
        <w:t xml:space="preserve"> </w:t>
      </w:r>
      <w:r w:rsidRPr="009D683D">
        <w:rPr>
          <w:rFonts w:ascii="Calibri" w:eastAsia="Calibri" w:hAnsi="Calibri" w:cs="Times New Roman"/>
          <w:sz w:val="22"/>
          <w:u w:color="FF0000"/>
        </w:rPr>
        <w:fldChar w:fldCharType="begin">
          <w:fldData xml:space="preserve">PEVuZE5vdGU+PENpdGU+PEF1dGhvcj5Eb2xlPC9BdXRob3I+PFllYXI+MjAxMzwvWWVhcj48UmVj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</w:fldData>
        </w:fldChar>
      </w:r>
      <w:r w:rsidRPr="009D683D">
        <w:rPr>
          <w:rFonts w:ascii="Calibri" w:eastAsia="Calibri" w:hAnsi="Calibri" w:cs="Times New Roman"/>
          <w:sz w:val="22"/>
          <w:u w:color="FF0000"/>
        </w:rPr>
        <w:instrText xml:space="preserve"> ADDIN EN.CITE </w:instrText>
      </w:r>
      <w:r w:rsidRPr="009D683D">
        <w:rPr>
          <w:rFonts w:ascii="Calibri" w:eastAsia="Calibri" w:hAnsi="Calibri" w:cs="Times New Roman"/>
          <w:sz w:val="22"/>
          <w:u w:color="FF0000"/>
        </w:rPr>
        <w:fldChar w:fldCharType="begin">
          <w:fldData xml:space="preserve">PEVuZE5vdGU+PENpdGU+PEF1dGhvcj5Eb2xlPC9BdXRob3I+PFllYXI+MjAxMzwvWWVhcj48UmVj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</w:fldData>
        </w:fldChar>
      </w:r>
      <w:r w:rsidRPr="009D683D">
        <w:rPr>
          <w:rFonts w:ascii="Calibri" w:eastAsia="Calibri" w:hAnsi="Calibri" w:cs="Times New Roman"/>
          <w:sz w:val="22"/>
          <w:u w:color="FF0000"/>
        </w:rPr>
        <w:instrText xml:space="preserve"> ADDIN EN.CITE.DATA </w:instrText>
      </w:r>
      <w:r w:rsidRPr="009D683D">
        <w:rPr>
          <w:rFonts w:ascii="Calibri" w:eastAsia="Calibri" w:hAnsi="Calibri" w:cs="Times New Roman"/>
          <w:sz w:val="22"/>
          <w:u w:color="FF0000"/>
        </w:rPr>
      </w:r>
      <w:r w:rsidRPr="009D683D">
        <w:rPr>
          <w:rFonts w:ascii="Calibri" w:eastAsia="Calibri" w:hAnsi="Calibri" w:cs="Times New Roman"/>
          <w:sz w:val="22"/>
          <w:u w:color="FF0000"/>
        </w:rPr>
        <w:fldChar w:fldCharType="end"/>
      </w:r>
      <w:r w:rsidRPr="009D683D">
        <w:rPr>
          <w:rFonts w:ascii="Calibri" w:eastAsia="Calibri" w:hAnsi="Calibri" w:cs="Times New Roman"/>
          <w:sz w:val="22"/>
          <w:u w:color="FF0000"/>
        </w:rPr>
      </w:r>
      <w:r w:rsidRPr="009D683D">
        <w:rPr>
          <w:rFonts w:ascii="Calibri" w:eastAsia="Calibri" w:hAnsi="Calibri" w:cs="Times New Roman"/>
          <w:sz w:val="22"/>
          <w:u w:color="FF0000"/>
        </w:rPr>
        <w:fldChar w:fldCharType="separate"/>
      </w:r>
      <w:r w:rsidRPr="009D683D">
        <w:rPr>
          <w:rFonts w:ascii="Calibri" w:eastAsia="Calibri" w:hAnsi="Calibri" w:cs="Times New Roman"/>
          <w:noProof/>
          <w:sz w:val="22"/>
          <w:u w:color="FF0000"/>
        </w:rPr>
        <w:t>(Cass, Cunningham, Snelling, Wang, &amp; Hoy, 2003; Dole, 2013; Hayes, 2008; Liaw et al., 2011; Yeates et al., 2009)</w:t>
      </w:r>
      <w:r w:rsidRPr="009D683D">
        <w:rPr>
          <w:rFonts w:ascii="Calibri" w:eastAsia="Calibri" w:hAnsi="Calibri" w:cs="Times New Roman"/>
          <w:sz w:val="22"/>
          <w:u w:color="FF0000"/>
        </w:rPr>
        <w:fldChar w:fldCharType="end"/>
      </w:r>
      <w:r w:rsidRPr="009D683D">
        <w:rPr>
          <w:rFonts w:ascii="Calibri" w:eastAsia="MS Mincho" w:hAnsi="Calibri" w:cs="Arial"/>
          <w:bCs/>
          <w:sz w:val="22"/>
          <w:lang w:val="en-US" w:eastAsia="ja-JP"/>
        </w:rPr>
        <w:t>.</w:t>
      </w:r>
      <w:r w:rsidRPr="009D683D">
        <w:rPr>
          <w:rFonts w:ascii="Calibri" w:eastAsia="Calibri" w:hAnsi="Calibri" w:cs="Times New Roman"/>
          <w:sz w:val="22"/>
        </w:rPr>
        <w:t xml:space="preserve"> Despite these concerns, most transplant education resources continue to focus on the non-Indigenous population, and the small percentage that have been tailored for the Indigenous patient cohort are primarily developed by clinical nursing staff, who have limited capacity to address the resource gap. Importantly, few Australian transplant resources or education programs to date have been developed with Indigenous consumer input or independently evaluated.</w:t>
      </w:r>
    </w:p>
    <w:p w14:paraId="36BDE900"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An evaluation of a transplant education program in the United States tailored to meet the unique cultural and linguistic needs of Hispanic patients found that it empowered both patients and their families by addressing specific cultural concerns and improving attitudes about kidney transplantation, thus facilitating increased access to the transplant waiting list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&lt;EndNote&gt;&lt;Cite&gt;&lt;Author&gt;Gordon&lt;/Author&gt;&lt;Year&gt;2014&lt;/Year&gt;&lt;RecNum&gt;95&lt;/RecNum&gt;&lt;DisplayText&gt;(Gordon et al., 2014)&lt;/DisplayText&gt;&lt;record&gt;&lt;rec-number&gt;95&lt;/rec-number&gt;&lt;foreign-keys&gt;&lt;key app="EN" db-id="ews5ve9enfwav7etdtjvztfdrftvwrf9vrsx" timestamp="1543209419"&gt;95&lt;/key&gt;&lt;/foreign-keys&gt;&lt;ref-type name="Journal Article"&gt;17&lt;/ref-type&gt;&lt;contributors&gt;&lt;authors&gt;&lt;author&gt;Gordon, E. J.&lt;/author&gt;&lt;author&gt;Reddy, E.&lt;/author&gt;&lt;author&gt;Gil, S.&lt;/author&gt;&lt;author&gt;Feinglass, J.&lt;/author&gt;&lt;author&gt;Rodde, J.&lt;/author&gt;&lt;author&gt;Abecassis, M. M.&lt;/author&gt;&lt;author&gt;Caicedo, J. C.&lt;/author&gt;&lt;/authors&gt;&lt;/contributors&gt;&lt;titles&gt;&lt;title&gt;Culturally competent transplant program improves Hispanics’ knowledge and attitudes about live kidney donation and transplant&lt;/title&gt;&lt;secondary-title&gt;Prog Transplant (Aliso Viejo, Calif)&lt;/secondary-title&gt;&lt;/titles&gt;&lt;periodical&gt;&lt;full-title&gt;Prog Transplant (Aliso Viejo, Calif)&lt;/full-title&gt;&lt;/periodical&gt;&lt;volume&gt;24&lt;/volume&gt;&lt;dates&gt;&lt;year&gt;2014&lt;/year&gt;&lt;/dates&gt;&lt;label&gt;Gordon2014&lt;/label&gt;&lt;urls&gt;&lt;related-urls&gt;&lt;url&gt;https://doi.org/10.7182/pit2014378&lt;/url&gt;&lt;/related-urls&gt;&lt;/urls&gt;&lt;electronic-resource-num&gt;10.7182/pit2014378&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(Gordon et al., 2014)</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While no comparable program has been trialled for the Indigenous Australian population, the need for culturally competent pre-transplant education programs is indisputable and has been identified by both patients and health professionals in numerous studies </w:t>
      </w:r>
      <w:r w:rsidRPr="009D683D">
        <w:rPr>
          <w:rFonts w:ascii="Calibri" w:eastAsia="Calibri" w:hAnsi="Calibri" w:cs="Times New Roman"/>
          <w:sz w:val="22"/>
        </w:rPr>
        <w:fldChar w:fldCharType="begin">
          <w:fldData xml:space="preserve">PEVuZE5vdGU+PENpdGU+PEF1dGhvcj5MYW1iZXJ0PC9BdXRob3I+PFllYXI+MjAxNTwvWWVhcj48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PEVuZE5vdGU+PENpdGU+PEF1dGhvcj5MYW1iZXJ0PC9BdXRob3I+PFllYXI+MjAxNTwvWWVhcj48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(Anderson et al., 2008; Cass et al., 2002; Lambert, Mullan, Mansfield, &amp; Lonergan, 2015)</w:t>
      </w:r>
      <w:r w:rsidRPr="009D683D">
        <w:rPr>
          <w:rFonts w:ascii="Calibri" w:eastAsia="Calibri" w:hAnsi="Calibri" w:cs="Times New Roman"/>
          <w:sz w:val="22"/>
        </w:rPr>
        <w:fldChar w:fldCharType="end"/>
      </w:r>
      <w:r w:rsidRPr="009D683D">
        <w:rPr>
          <w:rFonts w:ascii="Calibri" w:eastAsia="Calibri" w:hAnsi="Calibri" w:cs="Times New Roman"/>
          <w:sz w:val="22"/>
        </w:rPr>
        <w:t>.</w:t>
      </w:r>
    </w:p>
    <w:p w14:paraId="2EA06344" w14:textId="77777777"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lastRenderedPageBreak/>
        <w:t>Differing spiritual beliefs and decision-making processes</w:t>
      </w:r>
    </w:p>
    <w:p w14:paraId="5A0CFF5E"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For many Indigenous people, the kidney holds special importance in relation to spiritual and physical wellbeing. A sick kidney represents more than physical ill health in some cultures, and accepting a kidney from another person has ramifications beyond the release from maintenance dialysis. As a result, some Indigenous people may distrust transplantation and disregard it as a viable treatment option for themselves or family members </w:t>
      </w:r>
      <w:r w:rsidRPr="009D683D">
        <w:rPr>
          <w:rFonts w:ascii="Calibri" w:eastAsia="Calibri" w:hAnsi="Calibri" w:cs="Times New Roman"/>
          <w:sz w:val="22"/>
          <w:u w:color="FF0000"/>
        </w:rPr>
        <w:fldChar w:fldCharType="begin">
          <w:fldData xml:space="preserve">PEVuZE5vdGU+PENpdGU+PEF1dGhvcj5BbmRlcnNvbjwvQXV0aG9yPjxZZWFyPjIwMDk8L1llYXI+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=
</w:fldData>
        </w:fldChar>
      </w:r>
      <w:r w:rsidRPr="009D683D">
        <w:rPr>
          <w:rFonts w:ascii="Calibri" w:eastAsia="Calibri" w:hAnsi="Calibri" w:cs="Times New Roman"/>
          <w:sz w:val="22"/>
          <w:u w:color="FF0000"/>
        </w:rPr>
        <w:instrText xml:space="preserve"> ADDIN EN.CITE </w:instrText>
      </w:r>
      <w:r w:rsidRPr="009D683D">
        <w:rPr>
          <w:rFonts w:ascii="Calibri" w:eastAsia="Calibri" w:hAnsi="Calibri" w:cs="Times New Roman"/>
          <w:sz w:val="22"/>
          <w:u w:color="FF0000"/>
        </w:rPr>
        <w:fldChar w:fldCharType="begin">
          <w:fldData xml:space="preserve">PEVuZE5vdGU+PENpdGU+PEF1dGhvcj5BbmRlcnNvbjwvQXV0aG9yPjxZZWFyPjIwMDk8L1llYXI+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=
</w:fldData>
        </w:fldChar>
      </w:r>
      <w:r w:rsidRPr="009D683D">
        <w:rPr>
          <w:rFonts w:ascii="Calibri" w:eastAsia="Calibri" w:hAnsi="Calibri" w:cs="Times New Roman"/>
          <w:sz w:val="22"/>
          <w:u w:color="FF0000"/>
        </w:rPr>
        <w:instrText xml:space="preserve"> ADDIN EN.CITE.DATA </w:instrText>
      </w:r>
      <w:r w:rsidRPr="009D683D">
        <w:rPr>
          <w:rFonts w:ascii="Calibri" w:eastAsia="Calibri" w:hAnsi="Calibri" w:cs="Times New Roman"/>
          <w:sz w:val="22"/>
          <w:u w:color="FF0000"/>
        </w:rPr>
      </w:r>
      <w:r w:rsidRPr="009D683D">
        <w:rPr>
          <w:rFonts w:ascii="Calibri" w:eastAsia="Calibri" w:hAnsi="Calibri" w:cs="Times New Roman"/>
          <w:sz w:val="22"/>
          <w:u w:color="FF0000"/>
        </w:rPr>
        <w:fldChar w:fldCharType="end"/>
      </w:r>
      <w:r w:rsidRPr="009D683D">
        <w:rPr>
          <w:rFonts w:ascii="Calibri" w:eastAsia="Calibri" w:hAnsi="Calibri" w:cs="Times New Roman"/>
          <w:sz w:val="22"/>
          <w:u w:color="FF0000"/>
        </w:rPr>
      </w:r>
      <w:r w:rsidRPr="009D683D">
        <w:rPr>
          <w:rFonts w:ascii="Calibri" w:eastAsia="Calibri" w:hAnsi="Calibri" w:cs="Times New Roman"/>
          <w:sz w:val="22"/>
          <w:u w:color="FF0000"/>
        </w:rPr>
        <w:fldChar w:fldCharType="separate"/>
      </w:r>
      <w:r w:rsidRPr="009D683D">
        <w:rPr>
          <w:rFonts w:ascii="Calibri" w:eastAsia="Calibri" w:hAnsi="Calibri" w:cs="Times New Roman"/>
          <w:noProof/>
          <w:sz w:val="22"/>
          <w:u w:color="FF0000"/>
        </w:rPr>
        <w:t>(Anderson, Yeates, Cunningham, Devitt, &amp; Cass, 2009)</w:t>
      </w:r>
      <w:r w:rsidRPr="009D683D">
        <w:rPr>
          <w:rFonts w:ascii="Calibri" w:eastAsia="Calibri" w:hAnsi="Calibri" w:cs="Times New Roman"/>
          <w:sz w:val="22"/>
          <w:u w:color="FF0000"/>
        </w:rPr>
        <w:fldChar w:fldCharType="end"/>
      </w:r>
      <w:r w:rsidRPr="009D683D">
        <w:rPr>
          <w:rFonts w:ascii="Calibri" w:eastAsia="Calibri" w:hAnsi="Calibri" w:cs="Times New Roman"/>
          <w:sz w:val="22"/>
        </w:rPr>
        <w:t xml:space="preserve">. While there is some literature and anecdotal evidence to suggest this is primarily a view held by older family members with a lesser impact on younger generations, the relationship, influence and authority of elder family members in the decision-making process must be fully appreciated by practitioners. </w:t>
      </w:r>
    </w:p>
    <w:p w14:paraId="3FADA6EB"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For many Indigenous communities, important decisions are not made by the individual in isolation, and consultation with extended family over a period of several months or longer are considered essential. This is a process that must run its course, but the significant delays it causes in completing informed consent, transplant assessment and work-up supports the case for education and discussions on treatment options to commence early, ideally before dialysis is initiated.</w:t>
      </w:r>
    </w:p>
    <w:p w14:paraId="03E9632F" w14:textId="77777777"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Late referral to dialysis</w:t>
      </w:r>
    </w:p>
    <w:p w14:paraId="2B8EC570"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Late referral (defined as being first seen by a nephrologist less than 3 months prior to starting dialysis) is now less prevalent among Indigenous patients than non-Indigenous patients, as shown in Table 4. These rates show that 83% of Indigenous ESKD patients are assessed by a nephrologist well in advance of commencing dialysis, providing an opportunity for early discussions about treatment pathways. </w:t>
      </w:r>
    </w:p>
    <w:p w14:paraId="1F39187B" w14:textId="77777777" w:rsidR="009D683D" w:rsidRPr="009D683D" w:rsidRDefault="009D683D" w:rsidP="009D683D">
      <w:pPr>
        <w:spacing w:after="120" w:line="276" w:lineRule="auto"/>
        <w:jc w:val="both"/>
        <w:rPr>
          <w:rFonts w:ascii="Calibri" w:eastAsia="Calibri" w:hAnsi="Calibri" w:cs="Times New Roman"/>
          <w:sz w:val="22"/>
        </w:rPr>
      </w:pPr>
      <w:r w:rsidRPr="009D683D">
        <w:rPr>
          <w:rFonts w:ascii="Calibri" w:eastAsia="Calibri" w:hAnsi="Calibri" w:cs="Times New Roman"/>
          <w:i/>
          <w:sz w:val="22"/>
        </w:rPr>
        <w:t xml:space="preserve">Table 4: </w:t>
      </w:r>
      <w:r w:rsidRPr="009D683D">
        <w:rPr>
          <w:rFonts w:ascii="Calibri" w:eastAsia="Calibri" w:hAnsi="Calibri" w:cs="Times New Roman"/>
          <w:sz w:val="22"/>
        </w:rPr>
        <w:t xml:space="preserve">Percentage of Late Referral by Ethnicity 2013-2017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&lt;EndNote&gt;&lt;Cite&gt;&lt;Author&gt;ANZDATA&lt;/Author&gt;&lt;Year&gt;2018&lt;/Year&gt;&lt;RecNum&gt;388&lt;/RecNum&gt;&lt;DisplayText&gt;(ANZDATA, 2018)&lt;/DisplayText&gt;&lt;record&gt;&lt;rec-number&gt;388&lt;/rec-number&gt;&lt;foreign-keys&gt;&lt;key app="EN" db-id="ews5ve9enfwav7etdtjvztfdrftvwrf9vrsx" timestamp="1548731729"&gt;388&lt;/key&gt;&lt;/foreign-keys&gt;&lt;ref-type name="Government Document"&gt;46&lt;/ref-type&gt;&lt;contributors&gt;&lt;authors&gt;&lt;author&gt;ANZDATA&lt;/author&gt;&lt;/authors&gt;&lt;secondary-authors&gt;&lt;author&gt;ANZDATA&lt;/author&gt;&lt;/secondary-authors&gt;&lt;/contributors&gt;&lt;titles&gt;&lt;title&gt;Chapter 10: ESKD in Indigenous Peoples of Australia and Aotearoa/New Zealand&lt;/title&gt;&lt;/titles&gt;&lt;dates&gt;&lt;year&gt;2018&lt;/year&gt;&lt;/dates&gt;&lt;pub-location&gt;Adelaide, Australia&lt;/pub-location&gt;&lt;publisher&gt;ANZDATA Registry&lt;/publisher&gt;&lt;urls&gt;&lt;/urls&gt;&lt;/record&gt;&lt;/Cite&gt;&lt;/EndNote&gt;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(ANZDATA, 2018)</w:t>
      </w:r>
      <w:r w:rsidRPr="009D683D">
        <w:rPr>
          <w:rFonts w:ascii="Calibri" w:eastAsia="Calibri" w:hAnsi="Calibri" w:cs="Times New Roman"/>
          <w:sz w:val="22"/>
        </w:rPr>
        <w:fldChar w:fldCharType="end"/>
      </w:r>
      <w:r w:rsidRPr="009D683D">
        <w:rPr>
          <w:rFonts w:ascii="Calibri" w:eastAsia="Calibri" w:hAnsi="Calibri" w:cs="Times New Roman"/>
          <w:sz w:val="22"/>
        </w:rPr>
        <w:t>.</w:t>
      </w:r>
    </w:p>
    <w:tbl>
      <w:tblPr>
        <w:tblStyle w:val="ListTable312"/>
        <w:tblW w:w="0" w:type="auto"/>
        <w:jc w:val="center"/>
        <w:tblLook w:val="04A0" w:firstRow="1" w:lastRow="0" w:firstColumn="1" w:lastColumn="0" w:noHBand="0" w:noVBand="1"/>
      </w:tblPr>
      <w:tblGrid>
        <w:gridCol w:w="663"/>
        <w:gridCol w:w="1671"/>
        <w:gridCol w:w="1223"/>
      </w:tblGrid>
      <w:tr w:rsidR="009D683D" w:rsidRPr="009D683D" w14:paraId="2552FCB5" w14:textId="77777777" w:rsidTr="009D683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tcPr>
          <w:p w14:paraId="6C6CE266" w14:textId="77777777" w:rsidR="009D683D" w:rsidRPr="009D683D" w:rsidRDefault="009D683D" w:rsidP="009D683D">
            <w:pPr>
              <w:spacing w:line="276" w:lineRule="auto"/>
              <w:rPr>
                <w:rFonts w:ascii="Calibri" w:eastAsia="Calibri" w:hAnsi="Calibri" w:cs="Times New Roman"/>
                <w:sz w:val="22"/>
              </w:rPr>
            </w:pPr>
            <w:r w:rsidRPr="009D683D">
              <w:rPr>
                <w:rFonts w:ascii="Calibri" w:eastAsia="Calibri" w:hAnsi="Calibri" w:cs="Times New Roman"/>
                <w:sz w:val="22"/>
              </w:rPr>
              <w:t>Year</w:t>
            </w:r>
          </w:p>
        </w:tc>
        <w:tc>
          <w:tcPr>
            <w:tcW w:w="0" w:type="auto"/>
          </w:tcPr>
          <w:p w14:paraId="28365A58" w14:textId="77777777" w:rsidR="009D683D" w:rsidRPr="009D683D" w:rsidRDefault="009D683D" w:rsidP="009D683D">
            <w:pPr>
              <w:spacing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Non-Indigenous</w:t>
            </w:r>
          </w:p>
        </w:tc>
        <w:tc>
          <w:tcPr>
            <w:tcW w:w="0" w:type="auto"/>
          </w:tcPr>
          <w:p w14:paraId="48349C0A" w14:textId="77777777" w:rsidR="009D683D" w:rsidRPr="009D683D" w:rsidRDefault="009D683D" w:rsidP="009D683D">
            <w:pPr>
              <w:spacing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Indigenous</w:t>
            </w:r>
          </w:p>
        </w:tc>
      </w:tr>
      <w:tr w:rsidR="009D683D" w:rsidRPr="009D683D" w14:paraId="3C6D0763" w14:textId="77777777" w:rsidTr="009D68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BB573C2" w14:textId="77777777" w:rsidR="009D683D" w:rsidRPr="009D683D" w:rsidRDefault="009D683D" w:rsidP="009D683D">
            <w:pPr>
              <w:spacing w:line="276" w:lineRule="auto"/>
              <w:jc w:val="center"/>
              <w:rPr>
                <w:rFonts w:ascii="Calibri" w:eastAsia="Calibri" w:hAnsi="Calibri" w:cs="Times New Roman"/>
                <w:sz w:val="22"/>
              </w:rPr>
            </w:pPr>
            <w:r w:rsidRPr="009D683D">
              <w:rPr>
                <w:rFonts w:ascii="Calibri" w:eastAsia="Calibri" w:hAnsi="Calibri" w:cs="Times New Roman"/>
                <w:sz w:val="22"/>
              </w:rPr>
              <w:t>2013</w:t>
            </w:r>
          </w:p>
        </w:tc>
        <w:tc>
          <w:tcPr>
            <w:tcW w:w="0" w:type="auto"/>
          </w:tcPr>
          <w:p w14:paraId="7B26C8AB"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19%</w:t>
            </w:r>
          </w:p>
        </w:tc>
        <w:tc>
          <w:tcPr>
            <w:tcW w:w="0" w:type="auto"/>
          </w:tcPr>
          <w:p w14:paraId="19ED373E"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18%</w:t>
            </w:r>
          </w:p>
        </w:tc>
      </w:tr>
      <w:tr w:rsidR="009D683D" w:rsidRPr="009D683D" w14:paraId="661C1E8B" w14:textId="77777777" w:rsidTr="009D683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DC12DD7" w14:textId="77777777" w:rsidR="009D683D" w:rsidRPr="009D683D" w:rsidRDefault="009D683D" w:rsidP="009D683D">
            <w:pPr>
              <w:spacing w:line="276" w:lineRule="auto"/>
              <w:jc w:val="center"/>
              <w:rPr>
                <w:rFonts w:ascii="Calibri" w:eastAsia="Calibri" w:hAnsi="Calibri" w:cs="Times New Roman"/>
                <w:sz w:val="22"/>
              </w:rPr>
            </w:pPr>
            <w:r w:rsidRPr="009D683D">
              <w:rPr>
                <w:rFonts w:ascii="Calibri" w:eastAsia="Calibri" w:hAnsi="Calibri" w:cs="Times New Roman"/>
                <w:sz w:val="22"/>
              </w:rPr>
              <w:t>2014</w:t>
            </w:r>
          </w:p>
        </w:tc>
        <w:tc>
          <w:tcPr>
            <w:tcW w:w="0" w:type="auto"/>
          </w:tcPr>
          <w:p w14:paraId="370878E2"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18%</w:t>
            </w:r>
          </w:p>
        </w:tc>
        <w:tc>
          <w:tcPr>
            <w:tcW w:w="0" w:type="auto"/>
          </w:tcPr>
          <w:p w14:paraId="5B123F88"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15%</w:t>
            </w:r>
          </w:p>
        </w:tc>
      </w:tr>
      <w:tr w:rsidR="009D683D" w:rsidRPr="009D683D" w14:paraId="3757B69C" w14:textId="77777777" w:rsidTr="009D68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FCCA80A" w14:textId="77777777" w:rsidR="009D683D" w:rsidRPr="009D683D" w:rsidRDefault="009D683D" w:rsidP="009D683D">
            <w:pPr>
              <w:spacing w:line="276" w:lineRule="auto"/>
              <w:jc w:val="center"/>
              <w:rPr>
                <w:rFonts w:ascii="Calibri" w:eastAsia="Calibri" w:hAnsi="Calibri" w:cs="Times New Roman"/>
                <w:sz w:val="22"/>
              </w:rPr>
            </w:pPr>
            <w:r w:rsidRPr="009D683D">
              <w:rPr>
                <w:rFonts w:ascii="Calibri" w:eastAsia="Calibri" w:hAnsi="Calibri" w:cs="Times New Roman"/>
                <w:sz w:val="22"/>
              </w:rPr>
              <w:t>2015</w:t>
            </w:r>
          </w:p>
        </w:tc>
        <w:tc>
          <w:tcPr>
            <w:tcW w:w="0" w:type="auto"/>
          </w:tcPr>
          <w:p w14:paraId="495776E7"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18%</w:t>
            </w:r>
          </w:p>
        </w:tc>
        <w:tc>
          <w:tcPr>
            <w:tcW w:w="0" w:type="auto"/>
          </w:tcPr>
          <w:p w14:paraId="3B794BA4"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17%</w:t>
            </w:r>
          </w:p>
        </w:tc>
      </w:tr>
      <w:tr w:rsidR="009D683D" w:rsidRPr="009D683D" w14:paraId="6599893C" w14:textId="77777777" w:rsidTr="009D683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B0544F5" w14:textId="77777777" w:rsidR="009D683D" w:rsidRPr="009D683D" w:rsidRDefault="009D683D" w:rsidP="009D683D">
            <w:pPr>
              <w:spacing w:line="276" w:lineRule="auto"/>
              <w:jc w:val="center"/>
              <w:rPr>
                <w:rFonts w:ascii="Calibri" w:eastAsia="Calibri" w:hAnsi="Calibri" w:cs="Times New Roman"/>
                <w:sz w:val="22"/>
              </w:rPr>
            </w:pPr>
            <w:r w:rsidRPr="009D683D">
              <w:rPr>
                <w:rFonts w:ascii="Calibri" w:eastAsia="Calibri" w:hAnsi="Calibri" w:cs="Times New Roman"/>
                <w:sz w:val="22"/>
              </w:rPr>
              <w:t>2016</w:t>
            </w:r>
          </w:p>
        </w:tc>
        <w:tc>
          <w:tcPr>
            <w:tcW w:w="0" w:type="auto"/>
          </w:tcPr>
          <w:p w14:paraId="54332D04"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19%</w:t>
            </w:r>
          </w:p>
        </w:tc>
        <w:tc>
          <w:tcPr>
            <w:tcW w:w="0" w:type="auto"/>
          </w:tcPr>
          <w:p w14:paraId="4A52CD44"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14%</w:t>
            </w:r>
          </w:p>
        </w:tc>
      </w:tr>
      <w:tr w:rsidR="009D683D" w:rsidRPr="009D683D" w14:paraId="0D35903A" w14:textId="77777777" w:rsidTr="009D68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E32B357" w14:textId="77777777" w:rsidR="009D683D" w:rsidRPr="009D683D" w:rsidRDefault="009D683D" w:rsidP="009D683D">
            <w:pPr>
              <w:spacing w:line="276" w:lineRule="auto"/>
              <w:jc w:val="center"/>
              <w:rPr>
                <w:rFonts w:ascii="Calibri" w:eastAsia="Calibri" w:hAnsi="Calibri" w:cs="Times New Roman"/>
                <w:sz w:val="22"/>
              </w:rPr>
            </w:pPr>
            <w:r w:rsidRPr="009D683D">
              <w:rPr>
                <w:rFonts w:ascii="Calibri" w:eastAsia="Calibri" w:hAnsi="Calibri" w:cs="Times New Roman"/>
                <w:sz w:val="22"/>
              </w:rPr>
              <w:t>2017</w:t>
            </w:r>
          </w:p>
        </w:tc>
        <w:tc>
          <w:tcPr>
            <w:tcW w:w="0" w:type="auto"/>
          </w:tcPr>
          <w:p w14:paraId="0A16E3B4"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18%</w:t>
            </w:r>
          </w:p>
        </w:tc>
        <w:tc>
          <w:tcPr>
            <w:tcW w:w="0" w:type="auto"/>
          </w:tcPr>
          <w:p w14:paraId="2B2A34BA"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17%</w:t>
            </w:r>
          </w:p>
        </w:tc>
      </w:tr>
    </w:tbl>
    <w:p w14:paraId="5AEAAD94" w14:textId="77777777" w:rsidR="009D683D" w:rsidRPr="009D683D" w:rsidRDefault="009D683D" w:rsidP="009D683D">
      <w:pPr>
        <w:spacing w:line="276" w:lineRule="auto"/>
        <w:jc w:val="both"/>
        <w:rPr>
          <w:rFonts w:ascii="Calibri" w:eastAsia="Calibri" w:hAnsi="Calibri" w:cs="Times New Roman"/>
          <w:sz w:val="2"/>
        </w:rPr>
      </w:pPr>
    </w:p>
    <w:p w14:paraId="7811DC8E" w14:textId="77777777" w:rsidR="009D683D" w:rsidRPr="009D683D" w:rsidRDefault="009D683D" w:rsidP="009D683D">
      <w:pPr>
        <w:spacing w:before="60" w:line="276" w:lineRule="auto"/>
        <w:jc w:val="both"/>
        <w:rPr>
          <w:rFonts w:ascii="Calibri" w:eastAsia="Calibri" w:hAnsi="Calibri" w:cs="Times New Roman"/>
          <w:i/>
          <w:sz w:val="22"/>
        </w:rPr>
      </w:pPr>
      <w:r w:rsidRPr="009D683D">
        <w:rPr>
          <w:rFonts w:ascii="Calibri" w:eastAsia="Calibri" w:hAnsi="Calibri" w:cs="Times New Roman"/>
          <w:sz w:val="22"/>
        </w:rPr>
        <w:t xml:space="preserve">Late referral manifests in poorer physical condition at commencement of treatment and negatively impacts ensuing treatment phases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&lt;EndNote&gt;&lt;Cite&gt;&lt;Author&gt;Cass&lt;/Author&gt;&lt;Year&gt;2003&lt;/Year&gt;&lt;RecNum&gt;70&lt;/RecNum&gt;&lt;DisplayText&gt;(Cass, Cunningham, Snelling, &amp;amp; Ayanian, 2003)&lt;/DisplayText&gt;&lt;record&gt;&lt;rec-number&gt;70&lt;/rec-number&gt;&lt;foreign-keys&gt;&lt;key app="EN" db-id="ews5ve9enfwav7etdtjvztfdrftvwrf9vrsx" timestamp="1543209419"&gt;70&lt;/key&gt;&lt;/foreign-keys&gt;&lt;ref-type name="Journal Article"&gt;17&lt;/ref-type&gt;&lt;contributors&gt;&lt;authors&gt;&lt;author&gt;Cass, A.&lt;/author&gt;&lt;author&gt;Cunningham, J.&lt;/author&gt;&lt;author&gt;Snelling, P.&lt;/author&gt;&lt;author&gt;Ayanian, J. Z.&lt;/author&gt;&lt;/authors&gt;&lt;/contributors&gt;&lt;titles&gt;&lt;title&gt;Late referral to a nephrologist reduces access to renal transplantation&lt;/title&gt;&lt;secondary-title&gt;Am J Kidney Dis&lt;/secondary-title&gt;&lt;/titles&gt;&lt;periodical&gt;&lt;full-title&gt;Am J Kidney Dis&lt;/full-title&gt;&lt;/periodical&gt;&lt;volume&gt;42&lt;/volume&gt;&lt;dates&gt;&lt;year&gt;2003&lt;/year&gt;&lt;/dates&gt;&lt;label&gt;Cass2003&lt;/label&gt;&lt;urls&gt;&lt;related-urls&gt;&lt;url&gt;https://doi.org/10.1016/j.ajkd.2003.07.006&lt;/url&gt;&lt;/related-urls&gt;&lt;/urls&gt;&lt;electronic-resource-num&gt;10.1016/j.ajkd.2003.07.006&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(Cass, Cunningham, Snelling, &amp; Ayanian, 2003)</w:t>
      </w:r>
      <w:r w:rsidRPr="009D683D">
        <w:rPr>
          <w:rFonts w:ascii="Calibri" w:eastAsia="Calibri" w:hAnsi="Calibri" w:cs="Times New Roman"/>
          <w:sz w:val="22"/>
        </w:rPr>
        <w:fldChar w:fldCharType="end"/>
      </w:r>
      <w:r w:rsidRPr="009D683D">
        <w:rPr>
          <w:rFonts w:ascii="Calibri" w:eastAsia="Calibri" w:hAnsi="Calibri" w:cs="Times New Roman"/>
          <w:sz w:val="22"/>
        </w:rPr>
        <w:t>. The development of user-friendly, culturally-informed methods to educate Indigenous patients and their families is still needed to combat late referral and promote early transplant and organ donation decision making</w:t>
      </w:r>
      <w:r w:rsidRPr="009D683D">
        <w:rPr>
          <w:rFonts w:ascii="Calibri" w:eastAsia="Calibri" w:hAnsi="Calibri" w:cs="Times New Roman"/>
          <w:i/>
          <w:sz w:val="22"/>
        </w:rPr>
        <w:t xml:space="preserve">.  </w:t>
      </w:r>
    </w:p>
    <w:p w14:paraId="604732F6" w14:textId="77777777"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The role of patient navigator programs (PNPs)</w:t>
      </w:r>
    </w:p>
    <w:p w14:paraId="267AFF7B"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In the past decade, there has been considerable interest in the role of patient navigators in addressing systematic problems in access to health care for Indigenous patients. The first PNP was established in New York in 1990 to address perceived barriers stemming from mistrust, fatalistic views and system complexity experienced by medically underserved, generally African American women, with breast cancer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&lt;EndNote&gt;&lt;Cite&gt;&lt;Author&gt;Freeman&lt;/Author&gt;&lt;Year&gt;2006&lt;/Year&gt;&lt;RecNum&gt;375&lt;/RecNum&gt;&lt;DisplayText&gt;(H. P. Freeman, 2006)&lt;/DisplayText&gt;&lt;record&gt;&lt;rec-number&gt;375&lt;/rec-number&gt;&lt;foreign-keys&gt;&lt;key app="EN" db-id="ews5ve9enfwav7etdtjvztfdrftvwrf9vrsx" timestamp="1547173975"&gt;375&lt;/key&gt;&lt;/foreign-keys&gt;&lt;ref-type name="Journal Article"&gt;17&lt;/ref-type&gt;&lt;contributors&gt;&lt;authors&gt;&lt;author&gt;Freeman, H. P.&lt;/author&gt;&lt;/authors&gt;&lt;/contributors&gt;&lt;titles&gt;&lt;title&gt;Patient navigation: a community based strategy to reduce cancer disparities&lt;/title&gt;&lt;secondary-title&gt;J Urban Health&lt;/secondary-title&gt;&lt;/titles&gt;&lt;periodical&gt;&lt;full-title&gt;J Urban Health&lt;/full-title&gt;&lt;/periodical&gt;&lt;pages&gt;139-41&lt;/pages&gt;&lt;volume&gt;83&lt;/volume&gt;&lt;number&gt;2&lt;/number&gt;&lt;edition&gt;2006/06/01&lt;/edition&gt;&lt;keywords&gt;&lt;keyword&gt;Community Health Services/*organization &amp;amp; administration/statistics &amp;amp; numerical&lt;/keyword&gt;&lt;keyword&gt;data&lt;/keyword&gt;&lt;keyword&gt;*Community Health Workers&lt;/keyword&gt;&lt;keyword&gt;Community-Institutional Relations&lt;/keyword&gt;&lt;keyword&gt;Health Services Accessibility/*organization &amp;amp; administration&lt;/keyword&gt;&lt;keyword&gt;Humans&lt;/keyword&gt;&lt;keyword&gt;Mass Screening&lt;/keyword&gt;&lt;keyword&gt;Neoplasms/diagnosis/epidemiology&lt;/keyword&gt;&lt;keyword&gt;New York City/epidemiology&lt;/keyword&gt;&lt;keyword&gt;*Patient Advocacy&lt;/keyword&gt;&lt;keyword&gt;*Poverty/ethnology&lt;/keyword&gt;&lt;keyword&gt;*Vulnerable Populations/ethnology&lt;/keyword&gt;&lt;/keywords&gt;&lt;dates&gt;&lt;year&gt;2006&lt;/year&gt;&lt;pub-dates&gt;&lt;date&gt;Mar&lt;/date&gt;&lt;/pub-dates&gt;&lt;/dates&gt;&lt;isbn&gt;1099-3460 (Print)&amp;#xD;1099-3460 (Linking)&lt;/isbn&gt;&lt;accession-num&gt;16736361&lt;/accession-num&gt;&lt;label&gt;Freeman2006&lt;/label&gt;&lt;work-type&gt;journal article&lt;/work-type&gt;&lt;urls&gt;&lt;related-urls&gt;&lt;url&gt;https://www.ncbi.nlm.nih.gov/pubmed/16736361&lt;/url&gt;&lt;/related-urls&gt;&lt;/urls&gt;&lt;custom2&gt;PMC2527166&lt;/custom2&gt;&lt;electronic-resource-num&gt;10.1007/s11524-006-9030-0&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(H. P. Freeman, 2006)</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The objective of PNPs is to train lay individuals to provide one-on-one support during assessment, treatment and beyond for individuals who may have a limited understanding of Western health care systems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&lt;EndNote&gt;&lt;Cite&gt;&lt;Author&gt;Whop&lt;/Author&gt;&lt;Year&gt;2012&lt;/Year&gt;&lt;RecNum&gt;204&lt;/RecNum&gt;&lt;DisplayText&gt;(Whop et al., 2012)&lt;/DisplayText&gt;&lt;record&gt;&lt;rec-number&gt;204&lt;/rec-number&gt;&lt;foreign-keys&gt;&lt;key app="EN" db-id="ews5ve9enfwav7etdtjvztfdrftvwrf9vrsx" timestamp="1543460867"&gt;204&lt;/key&gt;&lt;/foreign-keys&gt;&lt;ref-type name="Journal Article"&gt;17&lt;/ref-type&gt;&lt;contributors&gt;&lt;authors&gt;&lt;author&gt;Whop, L. J.&lt;/author&gt;&lt;author&gt;Valery, P. C.&lt;/author&gt;&lt;author&gt;Beesley, V. L.&lt;/author&gt;&lt;author&gt;Moore, S. P.&lt;/author&gt;&lt;author&gt;Lokuge, K.&lt;/author&gt;&lt;author&gt;Jacka, C.&lt;/author&gt;&lt;author&gt;Garvey, G.&lt;/author&gt;&lt;/authors&gt;&lt;/contributors&gt;&lt;titles&gt;&lt;title&gt;Navigating the cancer journey: A review of patient navigator programs for Indigenous cancer patients&lt;/title&gt;&lt;secondary-title&gt;Asia Pac J Clin Oncol&lt;/secondary-title&gt;&lt;/titles&gt;&lt;periodical&gt;&lt;full-title&gt;Asia Pac J Clin Oncol&lt;/full-title&gt;&lt;/periodical&gt;&lt;volume&gt;8&lt;/volume&gt;&lt;dates&gt;&lt;year&gt;2012&lt;/year&gt;&lt;/dates&gt;&lt;label&gt;Whop2012&lt;/label&gt;&lt;urls&gt;&lt;related-urls&gt;&lt;url&gt;https://doi.org/10.1111/j.1743-7563.2012.01532.x&lt;/url&gt;&lt;/related-urls&gt;&lt;/urls&gt;&lt;electronic-resource-num&gt;10.1111/j.1743-7563.2012.01532.x&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(Whop et al., 2012)</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In recent years, PNPs have become more widely used, particularly in the Canadian Indigenous population, and have expanded to not only inform patients about treatment options and available services, but also to address cultural, educational and language barriers through community outreach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&lt;EndNote&gt;&lt;Cite&gt;&lt;Author&gt;Whop&lt;/Author&gt;&lt;Year&gt;2012&lt;/Year&gt;&lt;RecNum&gt;204&lt;/RecNum&gt;&lt;DisplayText&gt;(Whop et al., 2012)&lt;/DisplayText&gt;&lt;record&gt;&lt;rec-number&gt;204&lt;/rec-number&gt;&lt;foreign-keys&gt;&lt;key app="EN" db-id="ews5ve9enfwav7etdtjvztfdrftvwrf9vrsx" timestamp="1543460867"&gt;204&lt;/key&gt;&lt;/foreign-keys&gt;&lt;ref-type name="Journal Article"&gt;17&lt;/ref-type&gt;&lt;contributors&gt;&lt;authors&gt;&lt;author&gt;Whop, L. J.&lt;/author&gt;&lt;author&gt;Valery, P. C.&lt;/author&gt;&lt;author&gt;Beesley, V. L.&lt;/author&gt;&lt;author&gt;Moore, S. P.&lt;/author&gt;&lt;author&gt;Lokuge, K.&lt;/author&gt;&lt;author&gt;Jacka, C.&lt;/author&gt;&lt;author&gt;Garvey, G.&lt;/author&gt;&lt;/authors&gt;&lt;/contributors&gt;&lt;titles&gt;&lt;title&gt;Navigating the cancer journey: A review of patient navigator programs for Indigenous cancer patients&lt;/title&gt;&lt;secondary-title&gt;Asia Pac J Clin Oncol&lt;/secondary-title&gt;&lt;/titles&gt;&lt;periodical&gt;&lt;full-title&gt;Asia Pac J Clin Oncol&lt;/full-title&gt;&lt;/periodical&gt;&lt;volume&gt;8&lt;/volume&gt;&lt;dates&gt;&lt;year&gt;2012&lt;/year&gt;&lt;/dates&gt;&lt;label&gt;Whop2012&lt;/label&gt;&lt;urls&gt;&lt;related-urls&gt;&lt;url&gt;https://doi.org/10.1111/j.1743-7563.2012.01532.x&lt;/url&gt;&lt;/related-urls&gt;&lt;/urls&gt;&lt;electronic-resource-num&gt;10.1111/j.1743-7563.2012.01532.x&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(Whop et al., 2012)</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t>
      </w:r>
    </w:p>
    <w:p w14:paraId="57A7CBAD"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lastRenderedPageBreak/>
        <w:t xml:space="preserve">While the efficacy of PNPs in the Indigenous kidney transplant candidate and recipient population remains unclear, feedback from consumer engagement activities suggests that this is a potentially valuable initiative worth evaluating in Australian </w:t>
      </w:r>
      <w:proofErr w:type="spellStart"/>
      <w:r w:rsidRPr="009D683D">
        <w:rPr>
          <w:rFonts w:ascii="Calibri" w:eastAsia="Calibri" w:hAnsi="Calibri" w:cs="Times New Roman"/>
          <w:sz w:val="22"/>
        </w:rPr>
        <w:t>renal</w:t>
      </w:r>
      <w:proofErr w:type="spellEnd"/>
      <w:r w:rsidRPr="009D683D">
        <w:rPr>
          <w:rFonts w:ascii="Calibri" w:eastAsia="Calibri" w:hAnsi="Calibri" w:cs="Times New Roman"/>
          <w:sz w:val="22"/>
        </w:rPr>
        <w:t xml:space="preserve"> units and transplant centres.</w:t>
      </w:r>
    </w:p>
    <w:p w14:paraId="5B3D9C50" w14:textId="77777777" w:rsidR="009D683D" w:rsidRPr="009D683D" w:rsidRDefault="009D683D" w:rsidP="009D683D">
      <w:pPr>
        <w:keepNext/>
        <w:keepLines/>
        <w:numPr>
          <w:ilvl w:val="2"/>
          <w:numId w:val="0"/>
        </w:numPr>
        <w:spacing w:before="40" w:after="0"/>
        <w:ind w:left="720" w:hanging="720"/>
        <w:outlineLvl w:val="2"/>
        <w:rPr>
          <w:rFonts w:ascii="Calibri Light" w:eastAsia="Times New Roman" w:hAnsi="Calibri Light" w:cs="Times New Roman"/>
          <w:sz w:val="24"/>
          <w:szCs w:val="24"/>
        </w:rPr>
      </w:pPr>
      <w:bookmarkStart w:id="46" w:name="_Toc2585810"/>
      <w:r w:rsidRPr="009D683D">
        <w:rPr>
          <w:rFonts w:ascii="Calibri Light" w:eastAsia="Times New Roman" w:hAnsi="Calibri Light" w:cs="Times New Roman"/>
          <w:sz w:val="24"/>
          <w:szCs w:val="24"/>
        </w:rPr>
        <w:t>Completing transplant workup tests and formal assessment</w:t>
      </w:r>
      <w:bookmarkEnd w:id="46"/>
    </w:p>
    <w:p w14:paraId="65A29B8D" w14:textId="77777777"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Personal agency and competing priorities</w:t>
      </w:r>
    </w:p>
    <w:p w14:paraId="2A365F0B"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Competing family priorities and cultural obligations, a personally resource intense treatment regime and multiple specialist and investigative appointments can lead to poor attendance at transplant workup and assessment appointments. This can manifest in further delays with regard to the completion of transplant assessment, workup and admittance to the waitlist. Practitioners may also associate poor attendance with non-adherence, which influences expectations of future behaviour, including how the patient would manage and respond to the demands of kidney transplantation, promoting unconscious bias and institutional racism </w:t>
      </w:r>
      <w:r w:rsidRPr="009D683D">
        <w:rPr>
          <w:rFonts w:ascii="Calibri" w:eastAsia="Calibri" w:hAnsi="Calibri" w:cs="Times New Roman"/>
          <w:sz w:val="22"/>
          <w:u w:color="FF0000"/>
        </w:rPr>
        <w:fldChar w:fldCharType="begin">
          <w:fldData xml:space="preserve">PEVuZE5vdGU+PENpdGU+PEF1dGhvcj5SaXg8L0F1dGhvcj48WWVhcj4yMDE1PC9ZZWFyPjxSZWNO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=
</w:fldData>
        </w:fldChar>
      </w:r>
      <w:r w:rsidRPr="009D683D">
        <w:rPr>
          <w:rFonts w:ascii="Calibri" w:eastAsia="Calibri" w:hAnsi="Calibri" w:cs="Times New Roman"/>
          <w:sz w:val="22"/>
          <w:u w:color="FF0000"/>
        </w:rPr>
        <w:instrText xml:space="preserve"> ADDIN EN.CITE </w:instrText>
      </w:r>
      <w:r w:rsidRPr="009D683D">
        <w:rPr>
          <w:rFonts w:ascii="Calibri" w:eastAsia="Calibri" w:hAnsi="Calibri" w:cs="Times New Roman"/>
          <w:sz w:val="22"/>
          <w:u w:color="FF0000"/>
        </w:rPr>
        <w:fldChar w:fldCharType="begin">
          <w:fldData xml:space="preserve">PEVuZE5vdGU+PENpdGU+PEF1dGhvcj5SaXg8L0F1dGhvcj48WWVhcj4yMDE1PC9ZZWFyPjxSZWNO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=
</w:fldData>
        </w:fldChar>
      </w:r>
      <w:r w:rsidRPr="009D683D">
        <w:rPr>
          <w:rFonts w:ascii="Calibri" w:eastAsia="Calibri" w:hAnsi="Calibri" w:cs="Times New Roman"/>
          <w:sz w:val="22"/>
          <w:u w:color="FF0000"/>
        </w:rPr>
        <w:instrText xml:space="preserve"> ADDIN EN.CITE.DATA </w:instrText>
      </w:r>
      <w:r w:rsidRPr="009D683D">
        <w:rPr>
          <w:rFonts w:ascii="Calibri" w:eastAsia="Calibri" w:hAnsi="Calibri" w:cs="Times New Roman"/>
          <w:sz w:val="22"/>
          <w:u w:color="FF0000"/>
        </w:rPr>
      </w:r>
      <w:r w:rsidRPr="009D683D">
        <w:rPr>
          <w:rFonts w:ascii="Calibri" w:eastAsia="Calibri" w:hAnsi="Calibri" w:cs="Times New Roman"/>
          <w:sz w:val="22"/>
          <w:u w:color="FF0000"/>
        </w:rPr>
        <w:fldChar w:fldCharType="end"/>
      </w:r>
      <w:r w:rsidRPr="009D683D">
        <w:rPr>
          <w:rFonts w:ascii="Calibri" w:eastAsia="Calibri" w:hAnsi="Calibri" w:cs="Times New Roman"/>
          <w:sz w:val="22"/>
          <w:u w:color="FF0000"/>
        </w:rPr>
      </w:r>
      <w:r w:rsidRPr="009D683D">
        <w:rPr>
          <w:rFonts w:ascii="Calibri" w:eastAsia="Calibri" w:hAnsi="Calibri" w:cs="Times New Roman"/>
          <w:sz w:val="22"/>
          <w:u w:color="FF0000"/>
        </w:rPr>
        <w:fldChar w:fldCharType="separate"/>
      </w:r>
      <w:r w:rsidRPr="009D683D">
        <w:rPr>
          <w:rFonts w:ascii="Calibri" w:eastAsia="Calibri" w:hAnsi="Calibri" w:cs="Times New Roman"/>
          <w:noProof/>
          <w:sz w:val="22"/>
          <w:u w:color="FF0000"/>
        </w:rPr>
        <w:t>(Majoni &amp; Abeyaratne, 2013; Rix et al., 2015; Tonelli et al., 2005; Tonelli et al., 2004; Yeates et al., 2009)</w:t>
      </w:r>
      <w:r w:rsidRPr="009D683D">
        <w:rPr>
          <w:rFonts w:ascii="Calibri" w:eastAsia="Calibri" w:hAnsi="Calibri" w:cs="Times New Roman"/>
          <w:sz w:val="22"/>
          <w:u w:color="FF0000"/>
        </w:rPr>
        <w:fldChar w:fldCharType="end"/>
      </w:r>
      <w:r w:rsidRPr="009D683D">
        <w:rPr>
          <w:rFonts w:ascii="Calibri" w:eastAsia="Calibri" w:hAnsi="Calibri" w:cs="Times New Roman"/>
          <w:sz w:val="22"/>
        </w:rPr>
        <w:t>.</w:t>
      </w:r>
    </w:p>
    <w:p w14:paraId="02E8F547" w14:textId="77777777"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Geographical barriers</w:t>
      </w:r>
    </w:p>
    <w:p w14:paraId="3E1654D3"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While there is great diversity among the Indigenous Australian population, many Indigenous patients share social and environmental factors that are likely to affect how they respond to the demands of pre-transplant assessments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&lt;EndNote&gt;&lt;Cite&gt;&lt;Author&gt;Anderson&lt;/Author&gt;&lt;Year&gt;2013&lt;/Year&gt;&lt;RecNum&gt;154&lt;/RecNum&gt;&lt;DisplayText&gt;(Anderson et al., 2013)&lt;/DisplayText&gt;&lt;record&gt;&lt;rec-number&gt;154&lt;/rec-number&gt;&lt;foreign-keys&gt;&lt;key app="EN" db-id="ews5ve9enfwav7etdtjvztfdrftvwrf9vrsx" timestamp="1543278758"&gt;154&lt;/key&gt;&lt;/foreign-keys&gt;&lt;ref-type name="Journal Article"&gt;17&lt;/ref-type&gt;&lt;contributors&gt;&lt;authors&gt;&lt;author&gt;Anderson, K.&lt;/author&gt;&lt;author&gt;Cunningham, J.&lt;/author&gt;&lt;author&gt;Devitt, J.&lt;/author&gt;&lt;author&gt;Cass, A.&lt;/author&gt;&lt;/authors&gt;&lt;/contributors&gt;&lt;titles&gt;&lt;title&gt;The IMPAKT study: using qualitative research to explore the impact of end-stage kidney disease and its treatments on aboriginal and Torres Strait Islander Australians&lt;/title&gt;&lt;secondary-title&gt;Kidney International Supplements&lt;/secondary-title&gt;&lt;alt-title&gt;Kidney International Supplements&lt;/alt-title&gt;&lt;/titles&gt;&lt;periodical&gt;&lt;full-title&gt;Kidney Int Suppl (2011)&lt;/full-title&gt;&lt;abbr-1&gt;Kidney international supplements&lt;/abbr-1&gt;&lt;/periodical&gt;&lt;alt-periodical&gt;&lt;full-title&gt;Kidney Int Suppl (2011)&lt;/full-title&gt;&lt;abbr-1&gt;Kidney international supplements&lt;/abbr-1&gt;&lt;/alt-periodical&gt;&lt;pages&gt;223-226&lt;/pages&gt;&lt;volume&gt;3&lt;/volume&gt;&lt;number&gt;2&lt;/number&gt;&lt;section&gt;223&lt;/section&gt;&lt;dates&gt;&lt;year&gt;2013&lt;/year&gt;&lt;/dates&gt;&lt;isbn&gt;21571716&lt;/isbn&gt;&lt;urls&gt;&lt;/urls&gt;&lt;electronic-resource-num&gt;10.1038/kisup.2013.19&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(Anderson et al., 2013)</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One particularly prevalent factor is remoteness, with two-thirds of Australia’s Indigenous population living in rural and remote communities, often with populations between 50 and 3000 people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&lt;EndNote&gt;&lt;Cite&gt;&lt;Author&gt;Anderson&lt;/Author&gt;&lt;Year&gt;2013&lt;/Year&gt;&lt;RecNum&gt;154&lt;/RecNum&gt;&lt;DisplayText&gt;(Anderson et al., 2013)&lt;/DisplayText&gt;&lt;record&gt;&lt;rec-number&gt;154&lt;/rec-number&gt;&lt;foreign-keys&gt;&lt;key app="EN" db-id="ews5ve9enfwav7etdtjvztfdrftvwrf9vrsx" timestamp="1543278758"&gt;154&lt;/key&gt;&lt;/foreign-keys&gt;&lt;ref-type name="Journal Article"&gt;17&lt;/ref-type&gt;&lt;contributors&gt;&lt;authors&gt;&lt;author&gt;Anderson, K.&lt;/author&gt;&lt;author&gt;Cunningham, J.&lt;/author&gt;&lt;author&gt;Devitt, J.&lt;/author&gt;&lt;author&gt;Cass, A.&lt;/author&gt;&lt;/authors&gt;&lt;/contributors&gt;&lt;titles&gt;&lt;title&gt;The IMPAKT study: using qualitative research to explore the impact of end-stage kidney disease and its treatments on aboriginal and Torres Strait Islander Australians&lt;/title&gt;&lt;secondary-title&gt;Kidney International Supplements&lt;/secondary-title&gt;&lt;alt-title&gt;Kidney International Supplements&lt;/alt-title&gt;&lt;/titles&gt;&lt;periodical&gt;&lt;full-title&gt;Kidney Int Suppl (2011)&lt;/full-title&gt;&lt;abbr-1&gt;Kidney international supplements&lt;/abbr-1&gt;&lt;/periodical&gt;&lt;alt-periodical&gt;&lt;full-title&gt;Kidney Int Suppl (2011)&lt;/full-title&gt;&lt;abbr-1&gt;Kidney international supplements&lt;/abbr-1&gt;&lt;/alt-periodical&gt;&lt;pages&gt;223-226&lt;/pages&gt;&lt;volume&gt;3&lt;/volume&gt;&lt;number&gt;2&lt;/number&gt;&lt;section&gt;223&lt;/section&gt;&lt;dates&gt;&lt;year&gt;2013&lt;/year&gt;&lt;/dates&gt;&lt;isbn&gt;21571716&lt;/isbn&gt;&lt;urls&gt;&lt;/urls&gt;&lt;electronic-resource-num&gt;10.1038/kisup.2013.19&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(Anderson et al., 2013)</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The prevalence and burden of ESKD is significantly greater in remote compared to urban areas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&lt;EndNote&gt;&lt;Cite&gt;&lt;Author&gt;Cass&lt;/Author&gt;&lt;Year&gt;2001&lt;/Year&gt;&lt;RecNum&gt;305&lt;/RecNum&gt;&lt;DisplayText&gt;(Cass et al., 2001)&lt;/DisplayText&gt;&lt;record&gt;&lt;rec-number&gt;305&lt;/rec-number&gt;&lt;foreign-keys&gt;&lt;key app="EN" db-id="ews5ve9enfwav7etdtjvztfdrftvwrf9vrsx" timestamp="1545259926"&gt;305&lt;/key&gt;&lt;/foreign-keys&gt;&lt;ref-type name="Journal Article"&gt;17&lt;/ref-type&gt;&lt;contributors&gt;&lt;authors&gt;&lt;author&gt;Cass, A.&lt;/author&gt;&lt;author&gt;Cunningham, J.&lt;/author&gt;&lt;author&gt;Wang, Z.&lt;/author&gt;&lt;author&gt;Hoy, W.&lt;/author&gt;&lt;/authors&gt;&lt;/contributors&gt;&lt;auth-address&gt;Menzies School of Health Research, Casuarina, NT.&lt;/auth-address&gt;&lt;titles&gt;&lt;title&gt;Regional variation in the incidence of end-stage renal disease in Indigenous Australians&lt;/title&gt;&lt;secondary-title&gt;Med J Aust&lt;/secondary-title&gt;&lt;alt-title&gt;The Medical journal of Australia&lt;/alt-title&gt;&lt;/titles&gt;&lt;periodical&gt;&lt;full-title&gt;Med J Aust&lt;/full-title&gt;&lt;/periodical&gt;&lt;alt-periodical&gt;&lt;full-title&gt;The Medical journal of Australia&lt;/full-title&gt;&lt;/alt-periodical&gt;&lt;pages&gt;24-7&lt;/pages&gt;&lt;volume&gt;175&lt;/volume&gt;&lt;number&gt;1&lt;/number&gt;&lt;edition&gt;2001/07/31&lt;/edition&gt;&lt;keywords&gt;&lt;keyword&gt;Australia/epidemiology&lt;/keyword&gt;&lt;keyword&gt;*Ethnic Groups&lt;/keyword&gt;&lt;keyword&gt;*Health Services Accessibility&lt;/keyword&gt;&lt;keyword&gt;Humans&lt;/keyword&gt;&lt;keyword&gt;Incidence&lt;/keyword&gt;&lt;keyword&gt;Kidney Failure, Chronic/*epidemiology/therapy&lt;/keyword&gt;&lt;keyword&gt;*Oceanic Ancestry Group&lt;/keyword&gt;&lt;keyword&gt;Registries&lt;/keyword&gt;&lt;/keywords&gt;&lt;dates&gt;&lt;year&gt;2001&lt;/year&gt;&lt;pub-dates&gt;&lt;date&gt;Jul 2&lt;/date&gt;&lt;/pub-dates&gt;&lt;/dates&gt;&lt;isbn&gt;0025-729X (Print)&amp;#xD;0025-729X (Linking)&lt;/isbn&gt;&lt;accession-num&gt;11476198&lt;/accession-num&gt;&lt;urls&gt;&lt;related-urls&gt;&lt;url&gt;https://www.ncbi.nlm.nih.gov/pubmed/11476198&lt;/url&gt;&lt;/related-urls&gt;&lt;/urls&gt;&lt;/record&gt;&lt;/Cite&gt;&lt;/EndNote&gt;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(ANZDATA, 2018; Cass et al., 2001)</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and the need to relocate to access treatment has a strong negative impact on individuals, families and entire communities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&lt;EndNote&gt;&lt;Cite&gt;&lt;Author&gt;Preston-Thomas&lt;/Author&gt;&lt;Year&gt;2007&lt;/Year&gt;&lt;RecNum&gt;14&lt;/RecNum&gt;&lt;DisplayText&gt;(Preston-Thomas, Cass, &amp;amp; O&amp;apos;Rourke, 2007)&lt;/DisplayText&gt;&lt;record&gt;&lt;rec-number&gt;14&lt;/rec-number&gt;&lt;foreign-keys&gt;&lt;key app="EN" db-id="ews5ve9enfwav7etdtjvztfdrftvwrf9vrsx" timestamp="1543203950"&gt;14&lt;/key&gt;&lt;/foreign-keys&gt;&lt;ref-type name="Journal Article"&gt;17&lt;/ref-type&gt;&lt;contributors&gt;&lt;authors&gt;&lt;author&gt;Preston-Thomas, A.&lt;/author&gt;&lt;author&gt;Cass, A.&lt;/author&gt;&lt;author&gt;O&amp;apos;Rourke, P.&lt;/author&gt;&lt;/authors&gt;&lt;/contributors&gt;&lt;titles&gt;&lt;title&gt;Trends in the incidence of treated end-stage kidney disease among Indigenous Australians and access to treatment&lt;/title&gt;&lt;secondary-title&gt;Aust N Z J Public Health&lt;/secondary-title&gt;&lt;/titles&gt;&lt;periodical&gt;&lt;full-title&gt;Aust N Z J Public Health&lt;/full-title&gt;&lt;/periodical&gt;&lt;volume&gt;31&lt;/volume&gt;&lt;dates&gt;&lt;year&gt;2007&lt;/year&gt;&lt;/dates&gt;&lt;label&gt;Preston-Thomas2007&lt;/label&gt;&lt;urls&gt;&lt;related-urls&gt;&lt;url&gt;https://doi.org/10.1111/j.1753-6405.2007.00111.x&lt;/url&gt;&lt;/related-urls&gt;&lt;/urls&gt;&lt;electronic-resource-num&gt;10.1111/j.1753-6405.2007.00111.x&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(Preston-Thomas, Cass, &amp; O'Rourke, 2007)</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t>
      </w:r>
    </w:p>
    <w:p w14:paraId="79C0E6B0"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Geographical variation in transplant rates has been reported in North America, Canada, Europe and Australia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&lt;EndNote&gt;&lt;Cite&gt;&lt;Author&gt;Yeates&lt;/Author&gt;&lt;Year&gt;2009&lt;/Year&gt;&lt;RecNum&gt;60&lt;/RecNum&gt;&lt;DisplayText&gt;(Yeates et al., 2009)&lt;/DisplayText&gt;&lt;record&gt;&lt;rec-number&gt;60&lt;/rec-number&gt;&lt;foreign-keys&gt;&lt;key app="EN" db-id="ews5ve9enfwav7etdtjvztfdrftvwrf9vrsx" timestamp="1543209419"&gt;60&lt;/key&gt;&lt;/foreign-keys&gt;&lt;ref-type name="Journal Article"&gt;17&lt;/ref-type&gt;&lt;contributors&gt;&lt;authors&gt;&lt;author&gt;Yeates, K. E.&lt;/author&gt;&lt;author&gt;Cass, A.&lt;/author&gt;&lt;author&gt;Sequist, T. D.&lt;/author&gt;&lt;author&gt;McDonald, S. P.&lt;/author&gt;&lt;author&gt;Jardine, M. J.&lt;/author&gt;&lt;author&gt;Trpeski, L.&lt;/author&gt;&lt;author&gt;Ayanian, J. Z.&lt;/author&gt;&lt;/authors&gt;&lt;/contributors&gt;&lt;titles&gt;&lt;title&gt;Indigenous people in Australia, Canada, New Zealand and the United States are less likely to receive renal transplantation&lt;/title&gt;&lt;secondary-title&gt;Kidney Int&lt;/secondary-title&gt;&lt;/titles&gt;&lt;periodical&gt;&lt;full-title&gt;Kidney Int&lt;/full-title&gt;&lt;/periodical&gt;&lt;volume&gt;76&lt;/volume&gt;&lt;dates&gt;&lt;year&gt;2009&lt;/year&gt;&lt;/dates&gt;&lt;label&gt;Yeates2009&lt;/label&gt;&lt;urls&gt;&lt;related-urls&gt;&lt;url&gt;https://doi.org/10.1038/ki.2009.236&lt;/url&gt;&lt;/related-urls&gt;&lt;/urls&gt;&lt;electronic-resource-num&gt;10.1038/ki.2009.236&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(Yeates et al., 2009)</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Recent research has reaffirmed that Indigenous patients undergoing dialysis are substantially less likely than non-Indigenous patients to be placed on the transplant waitlist, as shown in Figure 5, with this disparity increasing with remoteness </w:t>
      </w:r>
      <w:r w:rsidRPr="009D683D">
        <w:rPr>
          <w:rFonts w:ascii="Calibri" w:eastAsia="Calibri" w:hAnsi="Calibri" w:cs="Times New Roman"/>
          <w:sz w:val="22"/>
          <w:u w:color="FF0000"/>
        </w:rPr>
        <w:fldChar w:fldCharType="begin"/>
      </w:r>
      <w:r w:rsidRPr="009D683D">
        <w:rPr>
          <w:rFonts w:ascii="Calibri" w:eastAsia="Calibri" w:hAnsi="Calibri" w:cs="Times New Roman"/>
          <w:sz w:val="22"/>
          <w:u w:color="FF0000"/>
        </w:rPr>
        <w:instrText xml:space="preserve"> ADDIN EN.CITE &lt;EndNote&gt;&lt;Cite&gt;&lt;Author&gt;Khanal&lt;/Author&gt;&lt;Year&gt;2018&lt;/Year&gt;&lt;RecNum&gt;158&lt;/RecNum&gt;&lt;DisplayText&gt;(Khanal et al., 2018)&lt;/DisplayText&gt;&lt;record&gt;&lt;rec-number&gt;158&lt;/rec-number&gt;&lt;foreign-keys&gt;&lt;key app="EN" db-id="ews5ve9enfwav7etdtjvztfdrftvwrf9vrsx" timestamp="1543289451"&gt;158&lt;/key&gt;&lt;/foreign-keys&gt;&lt;ref-type name="Journal Article"&gt;17&lt;/ref-type&gt;&lt;contributors&gt;&lt;authors&gt;&lt;author&gt;Khanal, N.&lt;/author&gt;&lt;author&gt;Lawton, P. D.&lt;/author&gt;&lt;author&gt;Cass, A.&lt;/author&gt;&lt;author&gt;McDonald, S. P.&lt;/author&gt;&lt;/authors&gt;&lt;/contributors&gt;&lt;auth-address&gt;University of Adelaide, Adelaide, SA namrata@anzdata.org.au.&amp;#xD;Menzies School of Health Research, Charles Darwin University, Darwin, NT.&amp;#xD;University of Adelaide, Adelaide, SA.&lt;/auth-address&gt;&lt;titles&gt;&lt;title&gt;Disparity of access to kidney transplantation by Indigenous and non-Indigenous Australians&lt;/title&gt;&lt;secondary-title&gt;Med J Aust&lt;/secondary-title&gt;&lt;/titles&gt;&lt;periodical&gt;&lt;full-title&gt;Med J Aust&lt;/full-title&gt;&lt;/periodical&gt;&lt;pages&gt;261-266&lt;/pages&gt;&lt;volume&gt;209&lt;/volume&gt;&lt;number&gt;6&lt;/number&gt;&lt;edition&gt;2018/09/14&lt;/edition&gt;&lt;keywords&gt;&lt;keyword&gt;Indigenous health&lt;/keyword&gt;&lt;keyword&gt;Kidney diseases&lt;/keyword&gt;&lt;keyword&gt;Kidney transplantation&lt;/keyword&gt;&lt;keyword&gt;Renal dialysis&lt;/keyword&gt;&lt;/keywords&gt;&lt;dates&gt;&lt;year&gt;2018&lt;/year&gt;&lt;pub-dates&gt;&lt;date&gt;Sep 17&lt;/date&gt;&lt;/pub-dates&gt;&lt;/dates&gt;&lt;isbn&gt;1326-5377 (Electronic)&amp;#xD;0025-729X (Linking)&lt;/isbn&gt;&lt;accession-num&gt;30208818&lt;/accession-num&gt;&lt;urls&gt;&lt;related-urls&gt;&lt;url&gt;https://www.ncbi.nlm.nih.gov/pubmed/30208818&lt;/url&gt;&lt;/related-urls&gt;&lt;/urls&gt;&lt;electronic-resource-num&gt;10.5694/mja18.00304 &lt;/electronic-resource-num&gt;&lt;/record&gt;&lt;/Cite&gt;&lt;/EndNote&gt;</w:instrText>
      </w:r>
      <w:r w:rsidRPr="009D683D">
        <w:rPr>
          <w:rFonts w:ascii="Calibri" w:eastAsia="Calibri" w:hAnsi="Calibri" w:cs="Times New Roman"/>
          <w:sz w:val="22"/>
          <w:u w:color="FF0000"/>
        </w:rPr>
        <w:fldChar w:fldCharType="separate"/>
      </w:r>
      <w:r w:rsidRPr="009D683D">
        <w:rPr>
          <w:rFonts w:ascii="Calibri" w:eastAsia="Calibri" w:hAnsi="Calibri" w:cs="Times New Roman"/>
          <w:noProof/>
          <w:sz w:val="22"/>
          <w:u w:color="FF0000"/>
        </w:rPr>
        <w:t>(Khanal et al., 2018)</w:t>
      </w:r>
      <w:r w:rsidRPr="009D683D">
        <w:rPr>
          <w:rFonts w:ascii="Calibri" w:eastAsia="Calibri" w:hAnsi="Calibri" w:cs="Times New Roman"/>
          <w:sz w:val="22"/>
          <w:u w:color="FF0000"/>
        </w:rPr>
        <w:fldChar w:fldCharType="end"/>
      </w:r>
      <w:r w:rsidRPr="009D683D">
        <w:rPr>
          <w:rFonts w:ascii="Calibri" w:eastAsia="Calibri" w:hAnsi="Calibri" w:cs="Times New Roman"/>
          <w:sz w:val="22"/>
        </w:rPr>
        <w:t>.</w:t>
      </w:r>
    </w:p>
    <w:p w14:paraId="785EDC14" w14:textId="77777777" w:rsidR="009D683D" w:rsidRPr="009D683D" w:rsidRDefault="009D683D" w:rsidP="009D683D">
      <w:pPr>
        <w:spacing w:after="120" w:line="276" w:lineRule="auto"/>
        <w:rPr>
          <w:rFonts w:ascii="Calibri" w:eastAsia="Calibri" w:hAnsi="Calibri" w:cs="Times New Roman"/>
          <w:sz w:val="22"/>
        </w:rPr>
      </w:pPr>
      <w:r w:rsidRPr="009D683D">
        <w:rPr>
          <w:rFonts w:ascii="Calibri" w:eastAsia="Calibri" w:hAnsi="Calibri" w:cs="Times New Roman"/>
          <w:i/>
          <w:sz w:val="22"/>
        </w:rPr>
        <w:t xml:space="preserve">Figure 5: </w:t>
      </w:r>
      <w:r w:rsidRPr="009D683D">
        <w:rPr>
          <w:rFonts w:ascii="Calibri" w:eastAsia="Calibri" w:hAnsi="Calibri" w:cs="Times New Roman"/>
          <w:sz w:val="22"/>
        </w:rPr>
        <w:t xml:space="preserve">Unadjusted Kaplan Meier (K-M) curve showing cumulative incidence of waitlisting (time to placement on the waitlist after initiation of RRT) by ethnicity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&lt;EndNote&gt;&lt;Cite&gt;&lt;Author&gt;Khanal&lt;/Author&gt;&lt;Year&gt;2018&lt;/Year&gt;&lt;RecNum&gt;158&lt;/RecNum&gt;&lt;DisplayText&gt;(Khanal et al., 2018)&lt;/DisplayText&gt;&lt;record&gt;&lt;rec-number&gt;158&lt;/rec-number&gt;&lt;foreign-keys&gt;&lt;key app="EN" db-id="ews5ve9enfwav7etdtjvztfdrftvwrf9vrsx" timestamp="1543289451"&gt;158&lt;/key&gt;&lt;/foreign-keys&gt;&lt;ref-type name="Journal Article"&gt;17&lt;/ref-type&gt;&lt;contributors&gt;&lt;authors&gt;&lt;author&gt;Khanal, N.&lt;/author&gt;&lt;author&gt;Lawton, P. D.&lt;/author&gt;&lt;author&gt;Cass, A.&lt;/author&gt;&lt;author&gt;McDonald, S. P.&lt;/author&gt;&lt;/authors&gt;&lt;/contributors&gt;&lt;auth-address&gt;University of Adelaide, Adelaide, SA namrata@anzdata.org.au.&amp;#xD;Menzies School of Health Research, Charles Darwin University, Darwin, NT.&amp;#xD;University of Adelaide, Adelaide, SA.&lt;/auth-address&gt;&lt;titles&gt;&lt;title&gt;Disparity of access to kidney transplantation by Indigenous and non-Indigenous Australians&lt;/title&gt;&lt;secondary-title&gt;Med J Aust&lt;/secondary-title&gt;&lt;/titles&gt;&lt;periodical&gt;&lt;full-title&gt;Med J Aust&lt;/full-title&gt;&lt;/periodical&gt;&lt;pages&gt;261-266&lt;/pages&gt;&lt;volume&gt;209&lt;/volume&gt;&lt;number&gt;6&lt;/number&gt;&lt;edition&gt;2018/09/14&lt;/edition&gt;&lt;keywords&gt;&lt;keyword&gt;Indigenous health&lt;/keyword&gt;&lt;keyword&gt;Kidney diseases&lt;/keyword&gt;&lt;keyword&gt;Kidney transplantation&lt;/keyword&gt;&lt;keyword&gt;Renal dialysis&lt;/keyword&gt;&lt;/keywords&gt;&lt;dates&gt;&lt;year&gt;2018&lt;/year&gt;&lt;pub-dates&gt;&lt;date&gt;Sep 17&lt;/date&gt;&lt;/pub-dates&gt;&lt;/dates&gt;&lt;isbn&gt;1326-5377 (Electronic)&amp;#xD;0025-729X (Linking)&lt;/isbn&gt;&lt;accession-num&gt;30208818&lt;/accession-num&gt;&lt;urls&gt;&lt;related-urls&gt;&lt;url&gt;https://www.ncbi.nlm.nih.gov/pubmed/30208818&lt;/url&gt;&lt;/related-urls&gt;&lt;/urls&gt;&lt;electronic-resource-num&gt;10.5694/mja18.00304 &lt;/electronic-resource-num&gt;&lt;/record&gt;&lt;/Cite&gt;&lt;/EndNote&gt;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(Khanal et al., 2018)</w:t>
      </w:r>
      <w:r w:rsidRPr="009D683D">
        <w:rPr>
          <w:rFonts w:ascii="Calibri" w:eastAsia="Calibri" w:hAnsi="Calibri" w:cs="Times New Roman"/>
          <w:sz w:val="22"/>
        </w:rPr>
        <w:fldChar w:fldCharType="end"/>
      </w:r>
      <w:r w:rsidRPr="009D683D">
        <w:rPr>
          <w:rFonts w:ascii="Calibri" w:eastAsia="Calibri" w:hAnsi="Calibri" w:cs="Times New Roman"/>
          <w:sz w:val="22"/>
        </w:rPr>
        <w:t>.</w:t>
      </w:r>
    </w:p>
    <w:p w14:paraId="6A2DEC11" w14:textId="77777777" w:rsidR="009D683D" w:rsidRPr="009D683D" w:rsidRDefault="009D683D" w:rsidP="009D683D">
      <w:pPr>
        <w:spacing w:line="276" w:lineRule="auto"/>
        <w:jc w:val="center"/>
        <w:rPr>
          <w:rFonts w:ascii="Calibri" w:eastAsia="Calibri" w:hAnsi="Calibri" w:cs="Times New Roman"/>
          <w:sz w:val="22"/>
        </w:rPr>
      </w:pPr>
      <w:r w:rsidRPr="009D683D">
        <w:rPr>
          <w:rFonts w:ascii="Times New Roman" w:eastAsia="Calibri" w:hAnsi="Times New Roman" w:cs="Times New Roman"/>
          <w:noProof/>
          <w:sz w:val="24"/>
          <w:lang w:eastAsia="en-AU"/>
        </w:rPr>
        <w:drawing>
          <wp:inline distT="0" distB="0" distL="0" distR="0" wp14:anchorId="253DCDB8" wp14:editId="0A7E311F">
            <wp:extent cx="3971392" cy="2676525"/>
            <wp:effectExtent l="0" t="0" r="0" b="0"/>
            <wp:docPr id="221" name="Picture 221" descr="Graph showing that Indigenous patients undergoing dialysis are substantially less likely than non-Indigenous patients to be placed on the transplant waitlist with this disparity increasing with remote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toWL_0803.jpg"/>
                    <pic:cNvPicPr/>
                  </pic:nvPicPr>
                  <pic:blipFill>
                    <a:blip r:embed="rId31" cstate="email">
                      <a:extLst>
                        <a:ext uri="{28A0092B-C50C-407E-A947-70E740481C1C}">
                          <a14:useLocalDpi xmlns:a14="http://schemas.microsoft.com/office/drawing/2010/main"/>
                        </a:ext>
                      </a:extLst>
                    </a:blip>
                    <a:stretch>
                      <a:fillRect/>
                    </a:stretch>
                  </pic:blipFill>
                  <pic:spPr>
                    <a:xfrm>
                      <a:off x="0" y="0"/>
                      <a:ext cx="4202208" cy="2832084"/>
                    </a:xfrm>
                    <a:prstGeom prst="rect">
                      <a:avLst/>
                    </a:prstGeom>
                  </pic:spPr>
                </pic:pic>
              </a:graphicData>
            </a:graphic>
          </wp:inline>
        </w:drawing>
      </w:r>
    </w:p>
    <w:p w14:paraId="7EC62B4D" w14:textId="77777777"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lastRenderedPageBreak/>
        <w:t>Requirement to travel long distances and coordinate multidisciplinary services</w:t>
      </w:r>
    </w:p>
    <w:p w14:paraId="13783517" w14:textId="77777777" w:rsidR="009D683D" w:rsidRPr="009D683D" w:rsidRDefault="009D683D" w:rsidP="009D683D">
      <w:pPr>
        <w:spacing w:after="0" w:line="276" w:lineRule="auto"/>
        <w:jc w:val="both"/>
        <w:rPr>
          <w:rFonts w:ascii="Calibri" w:eastAsia="Calibri" w:hAnsi="Calibri" w:cs="Times New Roman"/>
          <w:sz w:val="22"/>
        </w:rPr>
      </w:pPr>
      <w:r w:rsidRPr="009D683D">
        <w:rPr>
          <w:rFonts w:ascii="Calibri" w:eastAsia="Calibri" w:hAnsi="Calibri" w:cs="Times New Roman"/>
          <w:sz w:val="22"/>
        </w:rPr>
        <w:t xml:space="preserve">Access to health-related infrastructure in remote communities is generally poor, and in 2005-06 approximately half of Indigenous ESKD patients resided in areas with neither dialysis nor transplant facilities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&lt;EndNote&gt;&lt;Cite&gt;&lt;Author&gt;Anderson&lt;/Author&gt;&lt;Year&gt;2013&lt;/Year&gt;&lt;RecNum&gt;154&lt;/RecNum&gt;&lt;DisplayText&gt;(Anderson et al., 2013)&lt;/DisplayText&gt;&lt;record&gt;&lt;rec-number&gt;154&lt;/rec-number&gt;&lt;foreign-keys&gt;&lt;key app="EN" db-id="ews5ve9enfwav7etdtjvztfdrftvwrf9vrsx" timestamp="1543278758"&gt;154&lt;/key&gt;&lt;/foreign-keys&gt;&lt;ref-type name="Journal Article"&gt;17&lt;/ref-type&gt;&lt;contributors&gt;&lt;authors&gt;&lt;author&gt;Anderson, K.&lt;/author&gt;&lt;author&gt;Cunningham, J.&lt;/author&gt;&lt;author&gt;Devitt, J.&lt;/author&gt;&lt;author&gt;Cass, A.&lt;/author&gt;&lt;/authors&gt;&lt;/contributors&gt;&lt;titles&gt;&lt;title&gt;The IMPAKT study: using qualitative research to explore the impact of end-stage kidney disease and its treatments on aboriginal and Torres Strait Islander Australians&lt;/title&gt;&lt;secondary-title&gt;Kidney International Supplements&lt;/secondary-title&gt;&lt;alt-title&gt;Kidney International Supplements&lt;/alt-title&gt;&lt;/titles&gt;&lt;periodical&gt;&lt;full-title&gt;Kidney Int Suppl (2011)&lt;/full-title&gt;&lt;abbr-1&gt;Kidney international supplements&lt;/abbr-1&gt;&lt;/periodical&gt;&lt;alt-periodical&gt;&lt;full-title&gt;Kidney Int Suppl (2011)&lt;/full-title&gt;&lt;abbr-1&gt;Kidney international supplements&lt;/abbr-1&gt;&lt;/alt-periodical&gt;&lt;pages&gt;223-226&lt;/pages&gt;&lt;volume&gt;3&lt;/volume&gt;&lt;number&gt;2&lt;/number&gt;&lt;section&gt;223&lt;/section&gt;&lt;dates&gt;&lt;year&gt;2013&lt;/year&gt;&lt;/dates&gt;&lt;isbn&gt;21571716&lt;/isbn&gt;&lt;urls&gt;&lt;/urls&gt;&lt;electronic-resource-num&gt;10.1038/kisup.2013.19&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(Anderson et al., 2013)</w:t>
      </w:r>
      <w:r w:rsidRPr="009D683D">
        <w:rPr>
          <w:rFonts w:ascii="Calibri" w:eastAsia="Calibri" w:hAnsi="Calibri" w:cs="Times New Roman"/>
          <w:sz w:val="22"/>
        </w:rPr>
        <w:fldChar w:fldCharType="end"/>
      </w:r>
      <w:r w:rsidRPr="009D683D">
        <w:rPr>
          <w:rFonts w:ascii="Calibri" w:eastAsia="Calibri" w:hAnsi="Calibri" w:cs="Times New Roman"/>
          <w:sz w:val="22"/>
        </w:rPr>
        <w:t>. However, even when renal services are available within the local community, certain basic investigative tests required for pre-transplant workup are commonly only performed in urban areas, including:</w:t>
      </w:r>
    </w:p>
    <w:p w14:paraId="0599809C" w14:textId="77777777" w:rsidR="009D683D" w:rsidRPr="009D683D" w:rsidRDefault="009D683D" w:rsidP="00782640">
      <w:pPr>
        <w:numPr>
          <w:ilvl w:val="0"/>
          <w:numId w:val="39"/>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Cardiac investigations (i.e. echocardiography, coronary angiogram and stress test)</w:t>
      </w:r>
    </w:p>
    <w:p w14:paraId="6CE79E8F" w14:textId="77777777" w:rsidR="009D683D" w:rsidRPr="009D683D" w:rsidRDefault="009D683D" w:rsidP="00782640">
      <w:pPr>
        <w:numPr>
          <w:ilvl w:val="0"/>
          <w:numId w:val="39"/>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Radiology investigations (i.e. chest x-ray, abdominal/renal ultrasound, bone density studies)</w:t>
      </w:r>
    </w:p>
    <w:p w14:paraId="0CBAD581" w14:textId="77777777" w:rsidR="009D683D" w:rsidRPr="009D683D" w:rsidRDefault="009D683D" w:rsidP="00782640">
      <w:pPr>
        <w:numPr>
          <w:ilvl w:val="0"/>
          <w:numId w:val="39"/>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Dental examination</w:t>
      </w:r>
    </w:p>
    <w:p w14:paraId="769D6B95" w14:textId="77777777" w:rsidR="009D683D" w:rsidRPr="009D683D" w:rsidRDefault="009D683D" w:rsidP="00782640">
      <w:pPr>
        <w:numPr>
          <w:ilvl w:val="0"/>
          <w:numId w:val="39"/>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Dermatology review</w:t>
      </w:r>
    </w:p>
    <w:p w14:paraId="10353C67" w14:textId="77777777" w:rsidR="009D683D" w:rsidRPr="009D683D" w:rsidRDefault="009D683D" w:rsidP="00782640">
      <w:pPr>
        <w:numPr>
          <w:ilvl w:val="0"/>
          <w:numId w:val="39"/>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Lung function</w:t>
      </w:r>
    </w:p>
    <w:p w14:paraId="655AE5E6" w14:textId="77777777" w:rsidR="009D683D" w:rsidRPr="009D683D" w:rsidRDefault="009D683D" w:rsidP="00782640">
      <w:pPr>
        <w:numPr>
          <w:ilvl w:val="0"/>
          <w:numId w:val="39"/>
        </w:numPr>
        <w:spacing w:after="60" w:line="276" w:lineRule="auto"/>
        <w:ind w:left="714" w:hanging="357"/>
        <w:jc w:val="both"/>
        <w:rPr>
          <w:rFonts w:ascii="Calibri" w:eastAsia="Calibri" w:hAnsi="Calibri" w:cs="Times New Roman"/>
          <w:sz w:val="22"/>
        </w:rPr>
      </w:pPr>
      <w:r w:rsidRPr="009D683D">
        <w:rPr>
          <w:rFonts w:ascii="Calibri" w:eastAsia="Calibri" w:hAnsi="Calibri" w:cs="Times New Roman"/>
          <w:sz w:val="22"/>
        </w:rPr>
        <w:t>Infective screening (i.e. MRSA, VRE)</w:t>
      </w:r>
    </w:p>
    <w:p w14:paraId="6B32A861" w14:textId="77777777" w:rsidR="009D683D" w:rsidRPr="009D683D" w:rsidRDefault="009D683D" w:rsidP="009D683D">
      <w:pPr>
        <w:spacing w:before="240" w:after="120" w:line="276" w:lineRule="auto"/>
        <w:jc w:val="both"/>
        <w:rPr>
          <w:rFonts w:ascii="Calibri" w:eastAsia="Calibri" w:hAnsi="Calibri" w:cs="Times New Roman"/>
          <w:sz w:val="22"/>
        </w:rPr>
      </w:pPr>
      <w:r w:rsidRPr="009D683D">
        <w:rPr>
          <w:rFonts w:ascii="Calibri" w:eastAsia="Calibri" w:hAnsi="Calibri" w:cs="Times New Roman"/>
          <w:sz w:val="22"/>
        </w:rPr>
        <w:t xml:space="preserve">Undertaking regular day or overnight trips to tertiary facilities hundreds of kilometres away, or even interstate, is time consuming and logistically challenging. In addition to travel related stressors, coordinating specialist appointments, transport operators, community clinics, accommodation providers and dialysis units requires extensive planning. Failure to secure all of the required bookings or capacity issues with any one operator can derail the process, making the completion of tests a lengthy and frustrating process for rural and remote patients. Additionally, in some instances Indigenous patients’ reluctance to leave their community to complete pre-transplant assessment and workup, or a need to return to community during the assessment process for family and cultural obligations, manifests in further delays and reduces their likelihood of achieving waitlisting status. </w:t>
      </w:r>
    </w:p>
    <w:p w14:paraId="3A498E5F" w14:textId="77777777" w:rsidR="0055104B" w:rsidRDefault="009D683D" w:rsidP="009D683D">
      <w:pPr>
        <w:spacing w:after="120" w:line="276" w:lineRule="auto"/>
        <w:jc w:val="both"/>
        <w:rPr>
          <w:rFonts w:ascii="Calibri" w:eastAsia="Calibri" w:hAnsi="Calibri" w:cs="Times New Roman"/>
          <w:sz w:val="22"/>
        </w:rPr>
      </w:pPr>
      <w:r w:rsidRPr="009D683D">
        <w:rPr>
          <w:rFonts w:ascii="Calibri" w:eastAsia="Calibri" w:hAnsi="Calibri" w:cs="Times New Roman"/>
          <w:noProof/>
          <w:sz w:val="22"/>
          <w:lang w:eastAsia="en-AU"/>
        </w:rPr>
        <w:lastRenderedPageBreak/>
        <mc:AlternateContent>
          <mc:Choice Requires="wps">
            <w:drawing>
              <wp:inline distT="0" distB="0" distL="0" distR="0" wp14:anchorId="4436FBE0" wp14:editId="742C9A46">
                <wp:extent cx="5705475" cy="4562475"/>
                <wp:effectExtent l="0" t="0" r="28575" b="28575"/>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562475"/>
                        </a:xfrm>
                        <a:prstGeom prst="rect">
                          <a:avLst/>
                        </a:prstGeom>
                        <a:solidFill>
                          <a:srgbClr val="70AD47">
                            <a:lumMod val="20000"/>
                            <a:lumOff val="80000"/>
                          </a:srgbClr>
                        </a:solidFill>
                        <a:ln w="9525">
                          <a:solidFill>
                            <a:srgbClr val="000000"/>
                          </a:solidFill>
                          <a:miter lim="800000"/>
                          <a:headEnd/>
                          <a:tailEnd/>
                        </a:ln>
                      </wps:spPr>
                      <wps:txbx>
                        <w:txbxContent>
                          <w:p w14:paraId="7A20580A" w14:textId="77777777" w:rsidR="00A41391" w:rsidRDefault="00A41391" w:rsidP="009D683D">
                            <w:pPr>
                              <w:spacing w:after="120" w:line="276" w:lineRule="auto"/>
                              <w:jc w:val="both"/>
                              <w:rPr>
                                <w:b/>
                                <w:sz w:val="24"/>
                              </w:rPr>
                            </w:pPr>
                            <w:r w:rsidRPr="00E72765">
                              <w:rPr>
                                <w:b/>
                                <w:sz w:val="24"/>
                              </w:rPr>
                              <w:t xml:space="preserve">Box </w:t>
                            </w:r>
                            <w:r>
                              <w:rPr>
                                <w:b/>
                                <w:sz w:val="24"/>
                              </w:rPr>
                              <w:t>6</w:t>
                            </w:r>
                            <w:r w:rsidRPr="00E72765">
                              <w:rPr>
                                <w:b/>
                                <w:sz w:val="24"/>
                              </w:rPr>
                              <w:t xml:space="preserve">: Case study of a waitlisting journey </w:t>
                            </w:r>
                            <w:r>
                              <w:rPr>
                                <w:b/>
                                <w:sz w:val="24"/>
                              </w:rPr>
                              <w:t>delayed due to family obligations</w:t>
                            </w:r>
                          </w:p>
                          <w:p w14:paraId="45DE6F85" w14:textId="77777777" w:rsidR="00A41391" w:rsidRDefault="00A41391" w:rsidP="009D683D">
                            <w:pPr>
                              <w:spacing w:line="276" w:lineRule="auto"/>
                              <w:jc w:val="both"/>
                            </w:pPr>
                            <w:r w:rsidRPr="00EC3187">
                              <w:t>A 62-year</w:t>
                            </w:r>
                            <w:r>
                              <w:t>-old male patient from the Tiwi Islands commenced dialysis in May 2014. He received transplant education in July 2015, was assessed for transplantation in July 2016 and then referred for transplant workup in August 2016. Since then, his workup journey has comprised:</w:t>
                            </w:r>
                          </w:p>
                          <w:p w14:paraId="01690CC6" w14:textId="77777777" w:rsidR="00A41391" w:rsidRDefault="00A41391" w:rsidP="00782640">
                            <w:pPr>
                              <w:pStyle w:val="ListParagraph"/>
                              <w:numPr>
                                <w:ilvl w:val="0"/>
                                <w:numId w:val="79"/>
                              </w:numPr>
                              <w:spacing w:line="276" w:lineRule="auto"/>
                              <w:jc w:val="both"/>
                            </w:pPr>
                            <w:r>
                              <w:t>In September 2016, dental outreach in the Tiwi Islands was undertaken.</w:t>
                            </w:r>
                          </w:p>
                          <w:p w14:paraId="361BB809" w14:textId="77777777" w:rsidR="00A41391" w:rsidRDefault="00A41391" w:rsidP="00782640">
                            <w:pPr>
                              <w:pStyle w:val="ListParagraph"/>
                              <w:numPr>
                                <w:ilvl w:val="0"/>
                                <w:numId w:val="79"/>
                              </w:numPr>
                              <w:spacing w:line="276" w:lineRule="auto"/>
                              <w:jc w:val="both"/>
                            </w:pPr>
                            <w:r>
                              <w:t>In May 2017, the patient travelled to Darwin for a week of workup, but left halfway through to attend a funeral back home.</w:t>
                            </w:r>
                          </w:p>
                          <w:p w14:paraId="606FFC46" w14:textId="77777777" w:rsidR="00A41391" w:rsidRDefault="00A41391" w:rsidP="00782640">
                            <w:pPr>
                              <w:pStyle w:val="ListParagraph"/>
                              <w:numPr>
                                <w:ilvl w:val="0"/>
                                <w:numId w:val="79"/>
                              </w:numPr>
                              <w:spacing w:line="276" w:lineRule="auto"/>
                              <w:jc w:val="both"/>
                            </w:pPr>
                            <w:r>
                              <w:t>In October 2017, the patient returned to Darwin to complete cardiac testing but failed to attend a follow up dental appointment.</w:t>
                            </w:r>
                          </w:p>
                          <w:p w14:paraId="432DE7EA" w14:textId="77777777" w:rsidR="00A41391" w:rsidRDefault="00A41391" w:rsidP="00782640">
                            <w:pPr>
                              <w:pStyle w:val="ListParagraph"/>
                              <w:numPr>
                                <w:ilvl w:val="0"/>
                                <w:numId w:val="79"/>
                              </w:numPr>
                              <w:spacing w:line="276" w:lineRule="auto"/>
                              <w:jc w:val="both"/>
                            </w:pPr>
                            <w:r>
                              <w:t>In November 2017, the Royal Adelaide Hospital reviewed the patient for transplant waitlisting, but needed the patient to complete Mantoux, dental and HLA tests.</w:t>
                            </w:r>
                          </w:p>
                          <w:p w14:paraId="5326D7B8" w14:textId="77777777" w:rsidR="00A41391" w:rsidRDefault="00A41391" w:rsidP="00782640">
                            <w:pPr>
                              <w:pStyle w:val="ListParagraph"/>
                              <w:numPr>
                                <w:ilvl w:val="0"/>
                                <w:numId w:val="79"/>
                              </w:numPr>
                              <w:spacing w:line="276" w:lineRule="auto"/>
                              <w:jc w:val="both"/>
                            </w:pPr>
                            <w:r>
                              <w:t>In August 2018, the patient travelled to Darwin for further workup testing but developed chest pain and could not complete the scheduled appointments.</w:t>
                            </w:r>
                          </w:p>
                          <w:p w14:paraId="142E9446" w14:textId="77777777" w:rsidR="00A41391" w:rsidRDefault="00A41391" w:rsidP="00782640">
                            <w:pPr>
                              <w:pStyle w:val="ListParagraph"/>
                              <w:numPr>
                                <w:ilvl w:val="0"/>
                                <w:numId w:val="79"/>
                              </w:numPr>
                              <w:spacing w:line="276" w:lineRule="auto"/>
                              <w:jc w:val="both"/>
                            </w:pPr>
                            <w:r>
                              <w:t xml:space="preserve"> In December 2018, the patient failed to attend cardiology and dental appointments in Darwin due to a funeral in the Tiwi Islands.</w:t>
                            </w:r>
                          </w:p>
                          <w:p w14:paraId="59FB0085" w14:textId="77777777" w:rsidR="00A41391" w:rsidRDefault="00A41391" w:rsidP="00782640">
                            <w:pPr>
                              <w:pStyle w:val="ListParagraph"/>
                              <w:numPr>
                                <w:ilvl w:val="0"/>
                                <w:numId w:val="79"/>
                              </w:numPr>
                              <w:spacing w:line="276" w:lineRule="auto"/>
                              <w:jc w:val="both"/>
                            </w:pPr>
                            <w:r>
                              <w:t>As of January 2019, the patient is still yet to complete cardiology and dental consultations.</w:t>
                            </w:r>
                          </w:p>
                          <w:p w14:paraId="0D4FC5E9" w14:textId="77777777" w:rsidR="00A41391" w:rsidRPr="00EC3187" w:rsidRDefault="00A41391" w:rsidP="009D683D">
                            <w:pPr>
                              <w:spacing w:line="276" w:lineRule="auto"/>
                              <w:jc w:val="both"/>
                            </w:pPr>
                            <w:r>
                              <w:t>This case study highlights the difficulties faced by rural and remote patients in completing workup and achieving waitlisting. In many cases, these patients are required to put their lives on hold in order to complete testing in an urban centre that is hundreds or thousands of kilometres from their home community. Those who prioritise family and cultural obligations are likely to be negatively affected by workup delays, as most tests cannot be performed in the home community.</w:t>
                            </w:r>
                          </w:p>
                          <w:p w14:paraId="48683C15" w14:textId="77777777" w:rsidR="00A41391" w:rsidRDefault="00A41391" w:rsidP="009D683D">
                            <w:pPr>
                              <w:spacing w:line="276" w:lineRule="auto"/>
                              <w:jc w:val="both"/>
                            </w:pPr>
                          </w:p>
                        </w:txbxContent>
                      </wps:txbx>
                      <wps:bodyPr rot="0" vert="horz" wrap="square" lIns="91440" tIns="45720" rIns="91440" bIns="45720" anchor="t" anchorCtr="0">
                        <a:noAutofit/>
                      </wps:bodyPr>
                    </wps:wsp>
                  </a:graphicData>
                </a:graphic>
              </wp:inline>
            </w:drawing>
          </mc:Choice>
          <mc:Fallback>
            <w:pict>
              <v:shape w14:anchorId="4436FBE0" id="_x0000_s1034" type="#_x0000_t202" style="width:449.25pt;height:3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" fillcolor="#e2f0d9">
                <v:textbox>
                  <w:txbxContent>
                    <w:p w14:paraId="7A20580A" w14:textId="77777777" w:rsidR="00A41391" w:rsidRDefault="00A41391" w:rsidP="009D683D">
                      <w:pPr>
                        <w:spacing w:after="120" w:line="276" w:lineRule="auto"/>
                        <w:jc w:val="both"/>
                        <w:rPr>
                          <w:b/>
                          <w:sz w:val="24"/>
                        </w:rPr>
                      </w:pPr>
                      <w:r w:rsidRPr="00E72765">
                        <w:rPr>
                          <w:b/>
                          <w:sz w:val="24"/>
                        </w:rPr>
                        <w:t xml:space="preserve">Box </w:t>
                      </w:r>
                      <w:r>
                        <w:rPr>
                          <w:b/>
                          <w:sz w:val="24"/>
                        </w:rPr>
                        <w:t>6</w:t>
                      </w:r>
                      <w:r w:rsidRPr="00E72765">
                        <w:rPr>
                          <w:b/>
                          <w:sz w:val="24"/>
                        </w:rPr>
                        <w:t xml:space="preserve">: Case study of a waitlisting journey </w:t>
                      </w:r>
                      <w:r>
                        <w:rPr>
                          <w:b/>
                          <w:sz w:val="24"/>
                        </w:rPr>
                        <w:t>delayed due to family obligations</w:t>
                      </w:r>
                    </w:p>
                    <w:p w14:paraId="45DE6F85" w14:textId="77777777" w:rsidR="00A41391" w:rsidRDefault="00A41391" w:rsidP="009D683D">
                      <w:pPr>
                        <w:spacing w:line="276" w:lineRule="auto"/>
                        <w:jc w:val="both"/>
                      </w:pPr>
                      <w:r w:rsidRPr="00EC3187">
                        <w:t>A 62-year</w:t>
                      </w:r>
                      <w:r>
                        <w:t>-old male patient from the Tiwi Islands commenced dialysis in May 2014. He received transplant education in July 2015, was assessed for transplantation in July 2016 and then referred for transplant workup in August 2016. Since then, his workup journey has comprised:</w:t>
                      </w:r>
                    </w:p>
                    <w:p w14:paraId="01690CC6" w14:textId="77777777" w:rsidR="00A41391" w:rsidRDefault="00A41391" w:rsidP="00782640">
                      <w:pPr>
                        <w:pStyle w:val="ListParagraph"/>
                        <w:numPr>
                          <w:ilvl w:val="0"/>
                          <w:numId w:val="79"/>
                        </w:numPr>
                        <w:spacing w:line="276" w:lineRule="auto"/>
                        <w:jc w:val="both"/>
                      </w:pPr>
                      <w:r>
                        <w:t>In September 2016, dental outreach in the Tiwi Islands was undertaken.</w:t>
                      </w:r>
                    </w:p>
                    <w:p w14:paraId="361BB809" w14:textId="77777777" w:rsidR="00A41391" w:rsidRDefault="00A41391" w:rsidP="00782640">
                      <w:pPr>
                        <w:pStyle w:val="ListParagraph"/>
                        <w:numPr>
                          <w:ilvl w:val="0"/>
                          <w:numId w:val="79"/>
                        </w:numPr>
                        <w:spacing w:line="276" w:lineRule="auto"/>
                        <w:jc w:val="both"/>
                      </w:pPr>
                      <w:r>
                        <w:t>In May 2017, the patient travelled to Darwin for a week of workup, but left halfway through to attend a funeral back home.</w:t>
                      </w:r>
                    </w:p>
                    <w:p w14:paraId="606FFC46" w14:textId="77777777" w:rsidR="00A41391" w:rsidRDefault="00A41391" w:rsidP="00782640">
                      <w:pPr>
                        <w:pStyle w:val="ListParagraph"/>
                        <w:numPr>
                          <w:ilvl w:val="0"/>
                          <w:numId w:val="79"/>
                        </w:numPr>
                        <w:spacing w:line="276" w:lineRule="auto"/>
                        <w:jc w:val="both"/>
                      </w:pPr>
                      <w:r>
                        <w:t>In October 2017, the patient returned to Darwin to complete cardiac testing but failed to attend a follow up dental appointment.</w:t>
                      </w:r>
                    </w:p>
                    <w:p w14:paraId="432DE7EA" w14:textId="77777777" w:rsidR="00A41391" w:rsidRDefault="00A41391" w:rsidP="00782640">
                      <w:pPr>
                        <w:pStyle w:val="ListParagraph"/>
                        <w:numPr>
                          <w:ilvl w:val="0"/>
                          <w:numId w:val="79"/>
                        </w:numPr>
                        <w:spacing w:line="276" w:lineRule="auto"/>
                        <w:jc w:val="both"/>
                      </w:pPr>
                      <w:r>
                        <w:t>In November 2017, the Royal Adelaide Hospital reviewed the patient for transplant waitlisting, but needed the patient to complete Mantoux, dental and HLA tests.</w:t>
                      </w:r>
                    </w:p>
                    <w:p w14:paraId="5326D7B8" w14:textId="77777777" w:rsidR="00A41391" w:rsidRDefault="00A41391" w:rsidP="00782640">
                      <w:pPr>
                        <w:pStyle w:val="ListParagraph"/>
                        <w:numPr>
                          <w:ilvl w:val="0"/>
                          <w:numId w:val="79"/>
                        </w:numPr>
                        <w:spacing w:line="276" w:lineRule="auto"/>
                        <w:jc w:val="both"/>
                      </w:pPr>
                      <w:r>
                        <w:t>In August 2018, the patient travelled to Darwin for further workup testing but developed chest pain and could not complete the scheduled appointments.</w:t>
                      </w:r>
                    </w:p>
                    <w:p w14:paraId="142E9446" w14:textId="77777777" w:rsidR="00A41391" w:rsidRDefault="00A41391" w:rsidP="00782640">
                      <w:pPr>
                        <w:pStyle w:val="ListParagraph"/>
                        <w:numPr>
                          <w:ilvl w:val="0"/>
                          <w:numId w:val="79"/>
                        </w:numPr>
                        <w:spacing w:line="276" w:lineRule="auto"/>
                        <w:jc w:val="both"/>
                      </w:pPr>
                      <w:r>
                        <w:t xml:space="preserve"> In December 2018, the patient failed to attend cardiology and dental appointments in Darwin due to a funeral in the Tiwi Islands.</w:t>
                      </w:r>
                    </w:p>
                    <w:p w14:paraId="59FB0085" w14:textId="77777777" w:rsidR="00A41391" w:rsidRDefault="00A41391" w:rsidP="00782640">
                      <w:pPr>
                        <w:pStyle w:val="ListParagraph"/>
                        <w:numPr>
                          <w:ilvl w:val="0"/>
                          <w:numId w:val="79"/>
                        </w:numPr>
                        <w:spacing w:line="276" w:lineRule="auto"/>
                        <w:jc w:val="both"/>
                      </w:pPr>
                      <w:r>
                        <w:t>As of January 2019, the patient is still yet to complete cardiology and dental consultations.</w:t>
                      </w:r>
                    </w:p>
                    <w:p w14:paraId="0D4FC5E9" w14:textId="77777777" w:rsidR="00A41391" w:rsidRPr="00EC3187" w:rsidRDefault="00A41391" w:rsidP="009D683D">
                      <w:pPr>
                        <w:spacing w:line="276" w:lineRule="auto"/>
                        <w:jc w:val="both"/>
                      </w:pPr>
                      <w:r>
                        <w:t>This case study highlights the difficulties faced by rural and remote patients in completing workup and achieving waitlisting. In many cases, these patients are required to put their lives on hold in order to complete testing in an urban centre that is hundreds or thousands of kilometres from their home community. Those who prioritise family and cultural obligations are likely to be negatively affected by workup delays, as most tests cannot be performed in the home community.</w:t>
                      </w:r>
                    </w:p>
                    <w:p w14:paraId="48683C15" w14:textId="77777777" w:rsidR="00A41391" w:rsidRDefault="00A41391" w:rsidP="009D683D">
                      <w:pPr>
                        <w:spacing w:line="276" w:lineRule="auto"/>
                        <w:jc w:val="both"/>
                      </w:pPr>
                    </w:p>
                  </w:txbxContent>
                </v:textbox>
                <w10:anchorlock/>
              </v:shape>
            </w:pict>
          </mc:Fallback>
        </mc:AlternateContent>
      </w:r>
    </w:p>
    <w:p w14:paraId="11728CCC" w14:textId="679E2DA2" w:rsidR="009D683D" w:rsidRPr="009D683D" w:rsidRDefault="009D683D" w:rsidP="009D683D">
      <w:pPr>
        <w:spacing w:after="120" w:line="276" w:lineRule="auto"/>
        <w:jc w:val="both"/>
        <w:rPr>
          <w:rFonts w:ascii="Calibri" w:eastAsia="Calibri" w:hAnsi="Calibri" w:cs="Times New Roman"/>
          <w:sz w:val="22"/>
        </w:rPr>
      </w:pPr>
      <w:r w:rsidRPr="009D683D">
        <w:rPr>
          <w:rFonts w:ascii="Calibri" w:eastAsia="Calibri" w:hAnsi="Calibri" w:cs="Times New Roman"/>
          <w:sz w:val="22"/>
        </w:rPr>
        <w:t xml:space="preserve">Patient assisted travel schemes (PATS) are managed by the states and territories, and all jurisdictions subsidise accommodation and private vehicle travel for eligible patients (NRHA, 2014). While eligibility varies between jurisdictions, PATS is typically available to patients travelling more than 100km one way for specialist medical services. Fuel allowances are generally only intended to cover a portion of the cost of fuel on a cents per kilometre basis, and commercial accommodation subsidies are limited, ranging from $40 to $60 per person per night. Some schemes also provide support for ground and air transport, which is vital for jurisdictions such as the Northern Territory where distances to specialist services can be vast. Over the past decade, a number of PATS schemes have been reviewed at federal state and territory government levels. Recurring recommendations have centred around increasing subsidies for accommodation and travel; streamlining the process for claiming reimbursements; and expanding the schemes to capture a range of essential non-medical specialist services such as allied health and dentistry, which are particularly important for kidney transplant candidates (NRHA, 2014). </w:t>
      </w:r>
    </w:p>
    <w:p w14:paraId="729035D0"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Multidisciplinary pre-transplant teams comprise a health care network devoted to identifying, preventing and managing the complications that arise in a patient’s journey to transplantation. A variety of medical and allied health staff, including nephrologists, nurses, dentists, pharmacists, social workers and Indigenous health workers, form part of pre-transplant teams, which work with and improve coordination between the primary and tertiary health care sectors. These teams also deliver accurate and culturally appropriate education, information and clinical care to kidney transplant candidates. Multidisciplinary outreach clinics should be made available to patients in rural and remote areas every 3 months, and an example of a patient’s appointment schedule is outlined in Table 5.</w:t>
      </w:r>
    </w:p>
    <w:p w14:paraId="7C55EFAB" w14:textId="77777777" w:rsidR="0055104B" w:rsidRDefault="009D683D" w:rsidP="009D683D">
      <w:pPr>
        <w:spacing w:after="120" w:line="276" w:lineRule="auto"/>
        <w:jc w:val="both"/>
        <w:rPr>
          <w:rFonts w:ascii="Calibri" w:eastAsia="Calibri" w:hAnsi="Calibri" w:cs="Times New Roman"/>
          <w:i/>
          <w:sz w:val="22"/>
        </w:rPr>
      </w:pPr>
      <w:r w:rsidRPr="009D683D">
        <w:rPr>
          <w:rFonts w:ascii="Calibri" w:eastAsia="Calibri" w:hAnsi="Calibri" w:cs="Times New Roman"/>
          <w:noProof/>
          <w:sz w:val="22"/>
          <w:lang w:eastAsia="en-AU"/>
        </w:rPr>
        <w:lastRenderedPageBreak/>
        <mc:AlternateContent>
          <mc:Choice Requires="wps">
            <w:drawing>
              <wp:inline distT="0" distB="0" distL="0" distR="0" wp14:anchorId="49624C42" wp14:editId="13AC2B15">
                <wp:extent cx="5715000" cy="1590675"/>
                <wp:effectExtent l="0" t="0" r="19050" b="2857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590675"/>
                        </a:xfrm>
                        <a:prstGeom prst="rect">
                          <a:avLst/>
                        </a:prstGeom>
                        <a:solidFill>
                          <a:srgbClr val="70AD47">
                            <a:lumMod val="20000"/>
                            <a:lumOff val="80000"/>
                          </a:srgbClr>
                        </a:solidFill>
                        <a:ln w="9525">
                          <a:solidFill>
                            <a:srgbClr val="000000"/>
                          </a:solidFill>
                          <a:miter lim="800000"/>
                          <a:headEnd/>
                          <a:tailEnd/>
                        </a:ln>
                      </wps:spPr>
                      <wps:txbx>
                        <w:txbxContent>
                          <w:p w14:paraId="6321FE4C" w14:textId="77777777" w:rsidR="00A41391" w:rsidRPr="00BB1690" w:rsidRDefault="00A41391" w:rsidP="009D683D">
                            <w:pPr>
                              <w:spacing w:line="276" w:lineRule="auto"/>
                              <w:jc w:val="both"/>
                              <w:rPr>
                                <w:b/>
                                <w:sz w:val="24"/>
                              </w:rPr>
                            </w:pPr>
                            <w:r w:rsidRPr="00BB1690">
                              <w:rPr>
                                <w:b/>
                                <w:sz w:val="24"/>
                              </w:rPr>
                              <w:t xml:space="preserve">Box </w:t>
                            </w:r>
                            <w:r>
                              <w:rPr>
                                <w:b/>
                                <w:sz w:val="24"/>
                              </w:rPr>
                              <w:t>7</w:t>
                            </w:r>
                            <w:r w:rsidRPr="00BB1690">
                              <w:rPr>
                                <w:b/>
                                <w:sz w:val="24"/>
                              </w:rPr>
                              <w:t>: Primary objectives of multidisciplinary pre-transplant care</w:t>
                            </w:r>
                          </w:p>
                          <w:p w14:paraId="2A259249" w14:textId="77777777" w:rsidR="00A41391" w:rsidRDefault="00A41391" w:rsidP="00782640">
                            <w:pPr>
                              <w:pStyle w:val="ListParagraph"/>
                              <w:numPr>
                                <w:ilvl w:val="0"/>
                                <w:numId w:val="82"/>
                              </w:numPr>
                              <w:spacing w:line="276" w:lineRule="auto"/>
                              <w:jc w:val="both"/>
                            </w:pPr>
                            <w:r>
                              <w:t>To evaluate and manage comorbid conditions (i.e. diabetes, hypertension, infections);</w:t>
                            </w:r>
                          </w:p>
                          <w:p w14:paraId="7E69CAD7" w14:textId="77777777" w:rsidR="00A41391" w:rsidRDefault="00A41391" w:rsidP="00782640">
                            <w:pPr>
                              <w:pStyle w:val="ListParagraph"/>
                              <w:numPr>
                                <w:ilvl w:val="0"/>
                                <w:numId w:val="82"/>
                              </w:numPr>
                              <w:spacing w:line="276" w:lineRule="auto"/>
                              <w:jc w:val="both"/>
                            </w:pPr>
                            <w:r>
                              <w:t>To prevent and manage cardiovascular disease;</w:t>
                            </w:r>
                          </w:p>
                          <w:p w14:paraId="3B978F85" w14:textId="77777777" w:rsidR="00A41391" w:rsidRDefault="00A41391" w:rsidP="00782640">
                            <w:pPr>
                              <w:pStyle w:val="ListParagraph"/>
                              <w:numPr>
                                <w:ilvl w:val="0"/>
                                <w:numId w:val="82"/>
                              </w:numPr>
                              <w:spacing w:line="276" w:lineRule="auto"/>
                              <w:ind w:left="714" w:hanging="357"/>
                              <w:jc w:val="both"/>
                            </w:pPr>
                            <w:r>
                              <w:t>To identify, prevent and manage ESKD specific complications (i.e. management of nutrition, anaemia, renal bone disease as well as fluid, electrolyte and acid-base problems); and</w:t>
                            </w:r>
                          </w:p>
                          <w:p w14:paraId="4069AD12" w14:textId="77777777" w:rsidR="00A41391" w:rsidRPr="00F523AC" w:rsidRDefault="00A41391" w:rsidP="00782640">
                            <w:pPr>
                              <w:pStyle w:val="ListParagraph"/>
                              <w:numPr>
                                <w:ilvl w:val="0"/>
                                <w:numId w:val="82"/>
                              </w:numPr>
                              <w:spacing w:line="276" w:lineRule="auto"/>
                              <w:jc w:val="both"/>
                            </w:pPr>
                            <w:r>
                              <w:t>To help patients and their families prepare for the demands of transplantation.</w:t>
                            </w:r>
                          </w:p>
                        </w:txbxContent>
                      </wps:txbx>
                      <wps:bodyPr rot="0" vert="horz" wrap="square" lIns="91440" tIns="45720" rIns="91440" bIns="45720" anchor="t" anchorCtr="0">
                        <a:noAutofit/>
                      </wps:bodyPr>
                    </wps:wsp>
                  </a:graphicData>
                </a:graphic>
              </wp:inline>
            </w:drawing>
          </mc:Choice>
          <mc:Fallback>
            <w:pict>
              <v:shape w14:anchorId="49624C42" id="_x0000_s1035" type="#_x0000_t202" style="width:450pt;height:1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" fillcolor="#e2f0d9">
                <v:textbox>
                  <w:txbxContent>
                    <w:p w14:paraId="6321FE4C" w14:textId="77777777" w:rsidR="00A41391" w:rsidRPr="00BB1690" w:rsidRDefault="00A41391" w:rsidP="009D683D">
                      <w:pPr>
                        <w:spacing w:line="276" w:lineRule="auto"/>
                        <w:jc w:val="both"/>
                        <w:rPr>
                          <w:b/>
                          <w:sz w:val="24"/>
                        </w:rPr>
                      </w:pPr>
                      <w:r w:rsidRPr="00BB1690">
                        <w:rPr>
                          <w:b/>
                          <w:sz w:val="24"/>
                        </w:rPr>
                        <w:t xml:space="preserve">Box </w:t>
                      </w:r>
                      <w:r>
                        <w:rPr>
                          <w:b/>
                          <w:sz w:val="24"/>
                        </w:rPr>
                        <w:t>7</w:t>
                      </w:r>
                      <w:r w:rsidRPr="00BB1690">
                        <w:rPr>
                          <w:b/>
                          <w:sz w:val="24"/>
                        </w:rPr>
                        <w:t>: Primary objectives of multidisciplinary pre-transplant care</w:t>
                      </w:r>
                    </w:p>
                    <w:p w14:paraId="2A259249" w14:textId="77777777" w:rsidR="00A41391" w:rsidRDefault="00A41391" w:rsidP="00782640">
                      <w:pPr>
                        <w:pStyle w:val="ListParagraph"/>
                        <w:numPr>
                          <w:ilvl w:val="0"/>
                          <w:numId w:val="82"/>
                        </w:numPr>
                        <w:spacing w:line="276" w:lineRule="auto"/>
                        <w:jc w:val="both"/>
                      </w:pPr>
                      <w:r>
                        <w:t>To evaluate and manage comorbid conditions (i.e. diabetes, hypertension, infections);</w:t>
                      </w:r>
                    </w:p>
                    <w:p w14:paraId="7E69CAD7" w14:textId="77777777" w:rsidR="00A41391" w:rsidRDefault="00A41391" w:rsidP="00782640">
                      <w:pPr>
                        <w:pStyle w:val="ListParagraph"/>
                        <w:numPr>
                          <w:ilvl w:val="0"/>
                          <w:numId w:val="82"/>
                        </w:numPr>
                        <w:spacing w:line="276" w:lineRule="auto"/>
                        <w:jc w:val="both"/>
                      </w:pPr>
                      <w:r>
                        <w:t>To prevent and manage cardiovascular disease;</w:t>
                      </w:r>
                    </w:p>
                    <w:p w14:paraId="3B978F85" w14:textId="77777777" w:rsidR="00A41391" w:rsidRDefault="00A41391" w:rsidP="00782640">
                      <w:pPr>
                        <w:pStyle w:val="ListParagraph"/>
                        <w:numPr>
                          <w:ilvl w:val="0"/>
                          <w:numId w:val="82"/>
                        </w:numPr>
                        <w:spacing w:line="276" w:lineRule="auto"/>
                        <w:ind w:left="714" w:hanging="357"/>
                        <w:jc w:val="both"/>
                      </w:pPr>
                      <w:r>
                        <w:t>To identify, prevent and manage ESKD specific complications (i.e. management of nutrition, anaemia, renal bone disease as well as fluid, electrolyte and acid-base problems); and</w:t>
                      </w:r>
                    </w:p>
                    <w:p w14:paraId="4069AD12" w14:textId="77777777" w:rsidR="00A41391" w:rsidRPr="00F523AC" w:rsidRDefault="00A41391" w:rsidP="00782640">
                      <w:pPr>
                        <w:pStyle w:val="ListParagraph"/>
                        <w:numPr>
                          <w:ilvl w:val="0"/>
                          <w:numId w:val="82"/>
                        </w:numPr>
                        <w:spacing w:line="276" w:lineRule="auto"/>
                        <w:jc w:val="both"/>
                      </w:pPr>
                      <w:r>
                        <w:t>To help patients and their families prepare for the demands of transplantation.</w:t>
                      </w:r>
                    </w:p>
                  </w:txbxContent>
                </v:textbox>
                <w10:anchorlock/>
              </v:shape>
            </w:pict>
          </mc:Fallback>
        </mc:AlternateContent>
      </w:r>
    </w:p>
    <w:p w14:paraId="216D6640" w14:textId="32E7A948" w:rsidR="009D683D" w:rsidRPr="009D683D" w:rsidRDefault="009D683D" w:rsidP="009D683D">
      <w:pPr>
        <w:spacing w:after="120" w:line="276" w:lineRule="auto"/>
        <w:jc w:val="both"/>
        <w:rPr>
          <w:rFonts w:ascii="Calibri" w:eastAsia="Calibri" w:hAnsi="Calibri" w:cs="Times New Roman"/>
          <w:sz w:val="22"/>
        </w:rPr>
      </w:pPr>
      <w:r w:rsidRPr="009D683D">
        <w:rPr>
          <w:rFonts w:ascii="Calibri" w:eastAsia="Calibri" w:hAnsi="Calibri" w:cs="Times New Roman"/>
          <w:i/>
          <w:sz w:val="22"/>
        </w:rPr>
        <w:t>Table 5</w:t>
      </w:r>
      <w:r w:rsidRPr="009D683D">
        <w:rPr>
          <w:rFonts w:ascii="Calibri" w:eastAsia="Calibri" w:hAnsi="Calibri" w:cs="Times New Roman"/>
          <w:sz w:val="22"/>
        </w:rPr>
        <w:t>: Example of a patient’s schedule for a multidisciplinary pre-transplant clinic.</w:t>
      </w:r>
    </w:p>
    <w:tbl>
      <w:tblPr>
        <w:tblStyle w:val="ListTable312"/>
        <w:tblW w:w="0" w:type="auto"/>
        <w:jc w:val="center"/>
        <w:tblLook w:val="04A0" w:firstRow="1" w:lastRow="0" w:firstColumn="1" w:lastColumn="0" w:noHBand="0" w:noVBand="1"/>
      </w:tblPr>
      <w:tblGrid>
        <w:gridCol w:w="2514"/>
        <w:gridCol w:w="516"/>
        <w:gridCol w:w="546"/>
        <w:gridCol w:w="596"/>
        <w:gridCol w:w="546"/>
        <w:gridCol w:w="622"/>
        <w:gridCol w:w="525"/>
        <w:gridCol w:w="461"/>
        <w:gridCol w:w="572"/>
        <w:gridCol w:w="549"/>
        <w:gridCol w:w="534"/>
      </w:tblGrid>
      <w:tr w:rsidR="009D683D" w:rsidRPr="009D683D" w14:paraId="2688E2A6" w14:textId="77777777" w:rsidTr="009D683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tcPr>
          <w:p w14:paraId="7CF8581F" w14:textId="77777777" w:rsidR="009D683D" w:rsidRPr="009D683D" w:rsidRDefault="009D683D" w:rsidP="009D683D">
            <w:pPr>
              <w:spacing w:line="276" w:lineRule="auto"/>
              <w:jc w:val="both"/>
              <w:rPr>
                <w:rFonts w:ascii="Calibri" w:eastAsia="Calibri" w:hAnsi="Calibri" w:cs="Times New Roman"/>
                <w:sz w:val="22"/>
              </w:rPr>
            </w:pPr>
          </w:p>
        </w:tc>
        <w:tc>
          <w:tcPr>
            <w:tcW w:w="0" w:type="auto"/>
          </w:tcPr>
          <w:p w14:paraId="5E59AA46" w14:textId="77777777" w:rsidR="009D683D" w:rsidRPr="009D683D" w:rsidRDefault="009D683D" w:rsidP="009D683D">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Jan</w:t>
            </w:r>
          </w:p>
        </w:tc>
        <w:tc>
          <w:tcPr>
            <w:tcW w:w="0" w:type="auto"/>
          </w:tcPr>
          <w:p w14:paraId="30E639F0" w14:textId="77777777" w:rsidR="009D683D" w:rsidRPr="009D683D" w:rsidRDefault="009D683D" w:rsidP="009D683D">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Feb</w:t>
            </w:r>
          </w:p>
        </w:tc>
        <w:tc>
          <w:tcPr>
            <w:tcW w:w="0" w:type="auto"/>
          </w:tcPr>
          <w:p w14:paraId="0B49855B" w14:textId="77777777" w:rsidR="009D683D" w:rsidRPr="009D683D" w:rsidRDefault="009D683D" w:rsidP="009D683D">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Mar</w:t>
            </w:r>
          </w:p>
        </w:tc>
        <w:tc>
          <w:tcPr>
            <w:tcW w:w="0" w:type="auto"/>
          </w:tcPr>
          <w:p w14:paraId="1E8DAD62" w14:textId="77777777" w:rsidR="009D683D" w:rsidRPr="009D683D" w:rsidRDefault="009D683D" w:rsidP="009D683D">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Apr</w:t>
            </w:r>
          </w:p>
        </w:tc>
        <w:tc>
          <w:tcPr>
            <w:tcW w:w="0" w:type="auto"/>
          </w:tcPr>
          <w:p w14:paraId="3C413A5B" w14:textId="77777777" w:rsidR="009D683D" w:rsidRPr="009D683D" w:rsidRDefault="009D683D" w:rsidP="009D683D">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May</w:t>
            </w:r>
          </w:p>
        </w:tc>
        <w:tc>
          <w:tcPr>
            <w:tcW w:w="0" w:type="auto"/>
          </w:tcPr>
          <w:p w14:paraId="2D687FEA" w14:textId="77777777" w:rsidR="009D683D" w:rsidRPr="009D683D" w:rsidRDefault="009D683D" w:rsidP="009D683D">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Jun</w:t>
            </w:r>
          </w:p>
        </w:tc>
        <w:tc>
          <w:tcPr>
            <w:tcW w:w="0" w:type="auto"/>
          </w:tcPr>
          <w:p w14:paraId="1CFFF918" w14:textId="77777777" w:rsidR="009D683D" w:rsidRPr="009D683D" w:rsidRDefault="009D683D" w:rsidP="009D683D">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Jul</w:t>
            </w:r>
          </w:p>
        </w:tc>
        <w:tc>
          <w:tcPr>
            <w:tcW w:w="0" w:type="auto"/>
          </w:tcPr>
          <w:p w14:paraId="2303D354" w14:textId="77777777" w:rsidR="009D683D" w:rsidRPr="009D683D" w:rsidRDefault="009D683D" w:rsidP="009D683D">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Aug</w:t>
            </w:r>
          </w:p>
        </w:tc>
        <w:tc>
          <w:tcPr>
            <w:tcW w:w="0" w:type="auto"/>
          </w:tcPr>
          <w:p w14:paraId="64CF0D8A" w14:textId="77777777" w:rsidR="009D683D" w:rsidRPr="009D683D" w:rsidRDefault="009D683D" w:rsidP="009D683D">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Sep</w:t>
            </w:r>
          </w:p>
        </w:tc>
        <w:tc>
          <w:tcPr>
            <w:tcW w:w="0" w:type="auto"/>
          </w:tcPr>
          <w:p w14:paraId="764740AB" w14:textId="77777777" w:rsidR="009D683D" w:rsidRPr="009D683D" w:rsidRDefault="009D683D" w:rsidP="009D683D">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Oct</w:t>
            </w:r>
          </w:p>
        </w:tc>
      </w:tr>
      <w:tr w:rsidR="009D683D" w:rsidRPr="009D683D" w14:paraId="2457C4B8" w14:textId="77777777" w:rsidTr="009D68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C6BBDF6" w14:textId="77777777" w:rsidR="009D683D" w:rsidRPr="009D683D" w:rsidRDefault="009D683D" w:rsidP="009D683D">
            <w:pPr>
              <w:spacing w:line="276" w:lineRule="auto"/>
              <w:rPr>
                <w:rFonts w:ascii="Calibri" w:eastAsia="Calibri" w:hAnsi="Calibri" w:cs="Times New Roman"/>
                <w:sz w:val="22"/>
              </w:rPr>
            </w:pPr>
            <w:r w:rsidRPr="009D683D">
              <w:rPr>
                <w:rFonts w:ascii="Calibri" w:eastAsia="Calibri" w:hAnsi="Calibri" w:cs="Times New Roman"/>
                <w:sz w:val="22"/>
              </w:rPr>
              <w:t>Transplant coordinator</w:t>
            </w:r>
          </w:p>
        </w:tc>
        <w:tc>
          <w:tcPr>
            <w:tcW w:w="0" w:type="auto"/>
          </w:tcPr>
          <w:p w14:paraId="7C638764"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X</w:t>
            </w:r>
          </w:p>
        </w:tc>
        <w:tc>
          <w:tcPr>
            <w:tcW w:w="0" w:type="auto"/>
          </w:tcPr>
          <w:p w14:paraId="114DFF71"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784D4C1E"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486E1255"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X</w:t>
            </w:r>
          </w:p>
        </w:tc>
        <w:tc>
          <w:tcPr>
            <w:tcW w:w="0" w:type="auto"/>
          </w:tcPr>
          <w:p w14:paraId="41C23566"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528760D2"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2E9A3F2B"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X</w:t>
            </w:r>
          </w:p>
        </w:tc>
        <w:tc>
          <w:tcPr>
            <w:tcW w:w="0" w:type="auto"/>
          </w:tcPr>
          <w:p w14:paraId="6E761728"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43633EC2"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516B819A"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X</w:t>
            </w:r>
          </w:p>
        </w:tc>
      </w:tr>
      <w:tr w:rsidR="009D683D" w:rsidRPr="009D683D" w14:paraId="4A137326" w14:textId="77777777" w:rsidTr="009D683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6227D2A" w14:textId="77777777" w:rsidR="009D683D" w:rsidRPr="009D683D" w:rsidRDefault="009D683D" w:rsidP="009D683D">
            <w:pPr>
              <w:spacing w:line="276" w:lineRule="auto"/>
              <w:rPr>
                <w:rFonts w:ascii="Calibri" w:eastAsia="Calibri" w:hAnsi="Calibri" w:cs="Times New Roman"/>
                <w:sz w:val="22"/>
              </w:rPr>
            </w:pPr>
            <w:r w:rsidRPr="009D683D">
              <w:rPr>
                <w:rFonts w:ascii="Calibri" w:eastAsia="Calibri" w:hAnsi="Calibri" w:cs="Times New Roman"/>
                <w:sz w:val="22"/>
              </w:rPr>
              <w:t>Nephrologist</w:t>
            </w:r>
          </w:p>
        </w:tc>
        <w:tc>
          <w:tcPr>
            <w:tcW w:w="0" w:type="auto"/>
          </w:tcPr>
          <w:p w14:paraId="0428A88D"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X</w:t>
            </w:r>
          </w:p>
        </w:tc>
        <w:tc>
          <w:tcPr>
            <w:tcW w:w="0" w:type="auto"/>
          </w:tcPr>
          <w:p w14:paraId="26D6D91B"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1B5396E9"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70D121AA"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2205595E"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4242201F"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7DD72F35"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X</w:t>
            </w:r>
          </w:p>
        </w:tc>
        <w:tc>
          <w:tcPr>
            <w:tcW w:w="0" w:type="auto"/>
          </w:tcPr>
          <w:p w14:paraId="433AFE50"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493B18DB"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7B356292"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X</w:t>
            </w:r>
          </w:p>
        </w:tc>
      </w:tr>
      <w:tr w:rsidR="009D683D" w:rsidRPr="009D683D" w14:paraId="26234825" w14:textId="77777777" w:rsidTr="009D68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735593C" w14:textId="77777777" w:rsidR="009D683D" w:rsidRPr="009D683D" w:rsidRDefault="009D683D" w:rsidP="009D683D">
            <w:pPr>
              <w:spacing w:line="276" w:lineRule="auto"/>
              <w:rPr>
                <w:rFonts w:ascii="Calibri" w:eastAsia="Calibri" w:hAnsi="Calibri" w:cs="Times New Roman"/>
                <w:sz w:val="22"/>
              </w:rPr>
            </w:pPr>
            <w:r w:rsidRPr="009D683D">
              <w:rPr>
                <w:rFonts w:ascii="Calibri" w:eastAsia="Calibri" w:hAnsi="Calibri" w:cs="Times New Roman"/>
                <w:sz w:val="22"/>
              </w:rPr>
              <w:t>Nurse practitioner</w:t>
            </w:r>
          </w:p>
        </w:tc>
        <w:tc>
          <w:tcPr>
            <w:tcW w:w="0" w:type="auto"/>
          </w:tcPr>
          <w:p w14:paraId="04AD4A3D"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X</w:t>
            </w:r>
          </w:p>
        </w:tc>
        <w:tc>
          <w:tcPr>
            <w:tcW w:w="0" w:type="auto"/>
          </w:tcPr>
          <w:p w14:paraId="0705A7CF"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7F0352AA"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3D8732E0"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X</w:t>
            </w:r>
          </w:p>
        </w:tc>
        <w:tc>
          <w:tcPr>
            <w:tcW w:w="0" w:type="auto"/>
          </w:tcPr>
          <w:p w14:paraId="06B7A39B"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4E0C17D2"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40FABB11"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6DE7449A"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5C3FC872"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15F9AB09"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X</w:t>
            </w:r>
          </w:p>
        </w:tc>
      </w:tr>
      <w:tr w:rsidR="009D683D" w:rsidRPr="009D683D" w14:paraId="1A48567B" w14:textId="77777777" w:rsidTr="009D683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2937F0C" w14:textId="77777777" w:rsidR="009D683D" w:rsidRPr="009D683D" w:rsidRDefault="009D683D" w:rsidP="009D683D">
            <w:pPr>
              <w:spacing w:line="276" w:lineRule="auto"/>
              <w:rPr>
                <w:rFonts w:ascii="Calibri" w:eastAsia="Calibri" w:hAnsi="Calibri" w:cs="Times New Roman"/>
                <w:sz w:val="22"/>
              </w:rPr>
            </w:pPr>
            <w:r w:rsidRPr="009D683D">
              <w:rPr>
                <w:rFonts w:ascii="Calibri" w:eastAsia="Calibri" w:hAnsi="Calibri" w:cs="Times New Roman"/>
                <w:sz w:val="22"/>
              </w:rPr>
              <w:t>Cardiothoracic surgeon</w:t>
            </w:r>
          </w:p>
        </w:tc>
        <w:tc>
          <w:tcPr>
            <w:tcW w:w="0" w:type="auto"/>
          </w:tcPr>
          <w:p w14:paraId="5F7DAD66"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X</w:t>
            </w:r>
          </w:p>
        </w:tc>
        <w:tc>
          <w:tcPr>
            <w:tcW w:w="0" w:type="auto"/>
          </w:tcPr>
          <w:p w14:paraId="73720B2D"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7923B77A"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6A42C684"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1EC6B841"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48976A95"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73E0AF37"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0DAED010"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0670ABB1"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2B77496B"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r>
      <w:tr w:rsidR="009D683D" w:rsidRPr="009D683D" w14:paraId="46A0B7C9" w14:textId="77777777" w:rsidTr="009D68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42A6088"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Vascular surgeon</w:t>
            </w:r>
          </w:p>
        </w:tc>
        <w:tc>
          <w:tcPr>
            <w:tcW w:w="0" w:type="auto"/>
          </w:tcPr>
          <w:p w14:paraId="48C635EB"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770F6384"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2469B56B"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06618418"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6615455D"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5912E6E9"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45316896"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X</w:t>
            </w:r>
          </w:p>
        </w:tc>
        <w:tc>
          <w:tcPr>
            <w:tcW w:w="0" w:type="auto"/>
          </w:tcPr>
          <w:p w14:paraId="13862A92"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1D1BE1FB"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51B923D6"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r>
      <w:tr w:rsidR="009D683D" w:rsidRPr="009D683D" w14:paraId="7280AD09" w14:textId="77777777" w:rsidTr="009D683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EB77B34"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Dentist</w:t>
            </w:r>
          </w:p>
        </w:tc>
        <w:tc>
          <w:tcPr>
            <w:tcW w:w="0" w:type="auto"/>
          </w:tcPr>
          <w:p w14:paraId="7FFE43EB"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588079E4"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53D112D8"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16CCBB58"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X</w:t>
            </w:r>
          </w:p>
        </w:tc>
        <w:tc>
          <w:tcPr>
            <w:tcW w:w="0" w:type="auto"/>
          </w:tcPr>
          <w:p w14:paraId="473BCE66"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5C69F811"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685E9C49"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109E7CE1"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2B298DD8"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74336398"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X</w:t>
            </w:r>
          </w:p>
        </w:tc>
      </w:tr>
      <w:tr w:rsidR="009D683D" w:rsidRPr="009D683D" w14:paraId="4D6E959C" w14:textId="77777777" w:rsidTr="009D68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D7B24FC"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Dermatologist</w:t>
            </w:r>
          </w:p>
        </w:tc>
        <w:tc>
          <w:tcPr>
            <w:tcW w:w="0" w:type="auto"/>
          </w:tcPr>
          <w:p w14:paraId="0846B4FC"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1B99EE6E"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7B5CC55A"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310C1445"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X</w:t>
            </w:r>
          </w:p>
        </w:tc>
        <w:tc>
          <w:tcPr>
            <w:tcW w:w="0" w:type="auto"/>
          </w:tcPr>
          <w:p w14:paraId="3772573C"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38896D2B"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0B2DD255"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X</w:t>
            </w:r>
          </w:p>
        </w:tc>
        <w:tc>
          <w:tcPr>
            <w:tcW w:w="0" w:type="auto"/>
          </w:tcPr>
          <w:p w14:paraId="77EAB3D5"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0201F1FC"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1FAD10EA"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r>
      <w:tr w:rsidR="009D683D" w:rsidRPr="009D683D" w14:paraId="0CF20D2C" w14:textId="77777777" w:rsidTr="009D683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66E5FC9"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Pharmacist</w:t>
            </w:r>
          </w:p>
        </w:tc>
        <w:tc>
          <w:tcPr>
            <w:tcW w:w="0" w:type="auto"/>
          </w:tcPr>
          <w:p w14:paraId="735D5AE3"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X</w:t>
            </w:r>
          </w:p>
        </w:tc>
        <w:tc>
          <w:tcPr>
            <w:tcW w:w="0" w:type="auto"/>
          </w:tcPr>
          <w:p w14:paraId="5F74B17F"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1ACA38DE"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5AF46D6B"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6E169ABA"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743AD13F"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0F7A4B83"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X</w:t>
            </w:r>
          </w:p>
        </w:tc>
        <w:tc>
          <w:tcPr>
            <w:tcW w:w="0" w:type="auto"/>
          </w:tcPr>
          <w:p w14:paraId="61AF8A2C"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2654B2EC"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1A60C1A8"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r>
      <w:tr w:rsidR="009D683D" w:rsidRPr="009D683D" w14:paraId="64E15803" w14:textId="77777777" w:rsidTr="009D68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CEFFADF"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Endocrinologist</w:t>
            </w:r>
          </w:p>
        </w:tc>
        <w:tc>
          <w:tcPr>
            <w:tcW w:w="0" w:type="auto"/>
          </w:tcPr>
          <w:p w14:paraId="5D780517"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60683984"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197367F4"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7B67BDCD"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X</w:t>
            </w:r>
          </w:p>
        </w:tc>
        <w:tc>
          <w:tcPr>
            <w:tcW w:w="0" w:type="auto"/>
          </w:tcPr>
          <w:p w14:paraId="55E94A39"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71D14425"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04303EAC"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49E11072"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5A40B596"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7F8322F7"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r>
      <w:tr w:rsidR="009D683D" w:rsidRPr="009D683D" w14:paraId="059D40A2" w14:textId="77777777" w:rsidTr="009D683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3FA55B7" w14:textId="77777777" w:rsidR="009D683D" w:rsidRPr="009D683D" w:rsidRDefault="009D683D" w:rsidP="009D683D">
            <w:pPr>
              <w:spacing w:line="276" w:lineRule="auto"/>
              <w:rPr>
                <w:rFonts w:ascii="Calibri" w:eastAsia="Calibri" w:hAnsi="Calibri" w:cs="Times New Roman"/>
                <w:sz w:val="22"/>
              </w:rPr>
            </w:pPr>
            <w:r w:rsidRPr="009D683D">
              <w:rPr>
                <w:rFonts w:ascii="Calibri" w:eastAsia="Calibri" w:hAnsi="Calibri" w:cs="Times New Roman"/>
                <w:sz w:val="22"/>
              </w:rPr>
              <w:t>Dietitian</w:t>
            </w:r>
          </w:p>
        </w:tc>
        <w:tc>
          <w:tcPr>
            <w:tcW w:w="0" w:type="auto"/>
          </w:tcPr>
          <w:p w14:paraId="25B7132A"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7B67093F"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3ADAB1AB"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72DEC9A8"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X</w:t>
            </w:r>
          </w:p>
        </w:tc>
        <w:tc>
          <w:tcPr>
            <w:tcW w:w="0" w:type="auto"/>
          </w:tcPr>
          <w:p w14:paraId="67EB1862"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4113463C"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1B7A5573"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3F2CD499"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35E4D7C9"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27370A92"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X</w:t>
            </w:r>
          </w:p>
        </w:tc>
      </w:tr>
      <w:tr w:rsidR="009D683D" w:rsidRPr="009D683D" w14:paraId="2ED2ED9F" w14:textId="77777777" w:rsidTr="009D68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CC5462A" w14:textId="77777777" w:rsidR="009D683D" w:rsidRPr="009D683D" w:rsidRDefault="009D683D" w:rsidP="009D683D">
            <w:pPr>
              <w:spacing w:line="276" w:lineRule="auto"/>
              <w:rPr>
                <w:rFonts w:ascii="Calibri" w:eastAsia="Calibri" w:hAnsi="Calibri" w:cs="Times New Roman"/>
                <w:sz w:val="22"/>
              </w:rPr>
            </w:pPr>
            <w:r w:rsidRPr="009D683D">
              <w:rPr>
                <w:rFonts w:ascii="Calibri" w:eastAsia="Calibri" w:hAnsi="Calibri" w:cs="Times New Roman"/>
                <w:sz w:val="22"/>
              </w:rPr>
              <w:t>Social worker</w:t>
            </w:r>
          </w:p>
        </w:tc>
        <w:tc>
          <w:tcPr>
            <w:tcW w:w="0" w:type="auto"/>
          </w:tcPr>
          <w:p w14:paraId="3721A5C1"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X</w:t>
            </w:r>
          </w:p>
        </w:tc>
        <w:tc>
          <w:tcPr>
            <w:tcW w:w="0" w:type="auto"/>
          </w:tcPr>
          <w:p w14:paraId="20E0B78E"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67EE7F47"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4395A594"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5EFDEFFD"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4EEC92DA"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64CA9C25"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4BD5274F"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4B51E2CE"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1F76E243" w14:textId="77777777" w:rsidR="009D683D" w:rsidRPr="009D683D" w:rsidRDefault="009D683D" w:rsidP="009D683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X</w:t>
            </w:r>
          </w:p>
        </w:tc>
      </w:tr>
      <w:tr w:rsidR="009D683D" w:rsidRPr="009D683D" w14:paraId="0B0CA646" w14:textId="77777777" w:rsidTr="009D683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CF2B8F6" w14:textId="77777777" w:rsidR="009D683D" w:rsidRPr="009D683D" w:rsidRDefault="009D683D" w:rsidP="009D683D">
            <w:pPr>
              <w:spacing w:line="276" w:lineRule="auto"/>
              <w:rPr>
                <w:rFonts w:ascii="Calibri" w:eastAsia="Calibri" w:hAnsi="Calibri" w:cs="Times New Roman"/>
                <w:sz w:val="22"/>
              </w:rPr>
            </w:pPr>
            <w:r w:rsidRPr="009D683D">
              <w:rPr>
                <w:rFonts w:ascii="Calibri" w:eastAsia="Calibri" w:hAnsi="Calibri" w:cs="Times New Roman"/>
                <w:sz w:val="22"/>
              </w:rPr>
              <w:t>Aboriginal Liaison Officer</w:t>
            </w:r>
          </w:p>
        </w:tc>
        <w:tc>
          <w:tcPr>
            <w:tcW w:w="0" w:type="auto"/>
          </w:tcPr>
          <w:p w14:paraId="36AEAB28"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X</w:t>
            </w:r>
          </w:p>
        </w:tc>
        <w:tc>
          <w:tcPr>
            <w:tcW w:w="0" w:type="auto"/>
          </w:tcPr>
          <w:p w14:paraId="65E8E5AF"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32C067B5"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1A574B45"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X</w:t>
            </w:r>
          </w:p>
        </w:tc>
        <w:tc>
          <w:tcPr>
            <w:tcW w:w="0" w:type="auto"/>
          </w:tcPr>
          <w:p w14:paraId="21EF589B"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7626F12C"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4EFF0E09"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X</w:t>
            </w:r>
          </w:p>
        </w:tc>
        <w:tc>
          <w:tcPr>
            <w:tcW w:w="0" w:type="auto"/>
          </w:tcPr>
          <w:p w14:paraId="29CA3C39"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4E751F16"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7E367AA9" w14:textId="77777777" w:rsidR="009D683D" w:rsidRPr="009D683D" w:rsidRDefault="009D683D" w:rsidP="009D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X</w:t>
            </w:r>
          </w:p>
        </w:tc>
      </w:tr>
    </w:tbl>
    <w:p w14:paraId="124F110C" w14:textId="77777777" w:rsidR="0055104B"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noProof/>
          <w:sz w:val="22"/>
          <w:lang w:eastAsia="en-AU"/>
        </w:rPr>
        <w:lastRenderedPageBreak/>
        <mc:AlternateContent>
          <mc:Choice Requires="wps">
            <w:drawing>
              <wp:inline distT="0" distB="0" distL="0" distR="0" wp14:anchorId="359B860C" wp14:editId="555509C9">
                <wp:extent cx="5705475" cy="7258050"/>
                <wp:effectExtent l="0" t="0" r="28575" b="1905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7258050"/>
                        </a:xfrm>
                        <a:prstGeom prst="rect">
                          <a:avLst/>
                        </a:prstGeom>
                        <a:solidFill>
                          <a:srgbClr val="70AD47">
                            <a:lumMod val="20000"/>
                            <a:lumOff val="80000"/>
                          </a:srgbClr>
                        </a:solidFill>
                        <a:ln w="9525">
                          <a:solidFill>
                            <a:srgbClr val="000000"/>
                          </a:solidFill>
                          <a:miter lim="800000"/>
                          <a:headEnd/>
                          <a:tailEnd/>
                        </a:ln>
                      </wps:spPr>
                      <wps:txbx>
                        <w:txbxContent>
                          <w:p w14:paraId="672743D5" w14:textId="77777777" w:rsidR="00A41391" w:rsidRPr="00E72765" w:rsidRDefault="00A41391" w:rsidP="009D683D">
                            <w:pPr>
                              <w:spacing w:line="276" w:lineRule="auto"/>
                              <w:jc w:val="both"/>
                              <w:rPr>
                                <w:b/>
                                <w:sz w:val="24"/>
                              </w:rPr>
                            </w:pPr>
                            <w:r w:rsidRPr="00E72765">
                              <w:rPr>
                                <w:b/>
                                <w:sz w:val="24"/>
                              </w:rPr>
                              <w:t xml:space="preserve">Box </w:t>
                            </w:r>
                            <w:r>
                              <w:rPr>
                                <w:b/>
                                <w:sz w:val="24"/>
                              </w:rPr>
                              <w:t>8</w:t>
                            </w:r>
                            <w:r w:rsidRPr="00E72765">
                              <w:rPr>
                                <w:b/>
                                <w:sz w:val="24"/>
                              </w:rPr>
                              <w:t xml:space="preserve">: Case study of a waitlisting journey </w:t>
                            </w:r>
                            <w:r>
                              <w:rPr>
                                <w:b/>
                                <w:sz w:val="24"/>
                              </w:rPr>
                              <w:t>delayed due to</w:t>
                            </w:r>
                            <w:r w:rsidRPr="00E72765">
                              <w:rPr>
                                <w:b/>
                                <w:sz w:val="24"/>
                              </w:rPr>
                              <w:t xml:space="preserve"> dermatological treatment</w:t>
                            </w:r>
                          </w:p>
                          <w:p w14:paraId="68623D42" w14:textId="77777777" w:rsidR="00A41391" w:rsidRDefault="00A41391" w:rsidP="009D683D">
                            <w:pPr>
                              <w:spacing w:line="276" w:lineRule="auto"/>
                              <w:jc w:val="both"/>
                            </w:pPr>
                            <w:r>
                              <w:t xml:space="preserve">A 41-year-old female with presumed diabetic nephropathy commenced dialysis (Day 0) following rapid declining kidney function in the preceding 2 years. She had previously documented chronic tinea corporis (a dermatophyte infection of the skin), which was again microbiologically confirmed on Day 61. As shown in Figure 6, complete resolution of tinea corporis was eventually achieved on Day 396 following 294 days of targeted treatment. Throughout this journey, the patient never experienced a serious soft-tissue infection or bacteraemia, and was engaged in her renal care, including participating in numerous appointments </w:t>
                            </w:r>
                            <w:r>
                              <w:fldChar w:fldCharType="begin"/>
                            </w:r>
                            <w:r>
                              <w:instrText xml:space="preserve"> ADDIN EN.CITE &lt;EndNote&gt;&lt;Cite&gt;&lt;Author&gt;Hughes&lt;/Author&gt;&lt;Year&gt;2017&lt;/Year&gt;&lt;RecNum&gt;387&lt;/RecNum&gt;&lt;DisplayText&gt;(Hughes, Aye-Min, et al., 2017)&lt;/DisplayText&gt;&lt;record&gt;&lt;rec-number&gt;387&lt;/rec-number&gt;&lt;foreign-keys&gt;&lt;key app="EN" db-id="ews5ve9enfwav7etdtjvztfdrftvwrf9vrsx" timestamp="1548392536"&gt;387&lt;/key&gt;&lt;/foreign-keys&gt;&lt;ref-type name="Journal Article"&gt;17&lt;/ref-type&gt;&lt;contributors&gt;&lt;authors&gt;&lt;author&gt;Hughes, J. T.&lt;/author&gt;&lt;author&gt;Aye-Min, O.&lt;/author&gt;&lt;author&gt;Majoni, S. W.&lt;/author&gt;&lt;author&gt;Currie, B. J.&lt;/author&gt;&lt;author&gt;Hall, H.&lt;/author&gt;&lt;author&gt;Kirkham, R.&lt;/author&gt;&lt;/authors&gt;&lt;/contributors&gt;&lt;titles&gt;&lt;title&gt;Delayed resolution of an extensive dermatophyte infection: client and clinician perceptions of treatment response in an adult dependent on haemodialysis. &lt;/title&gt;&lt;secondary-title&gt;Posters. Nephrology&lt;/secondary-title&gt;&lt;/titles&gt;&lt;periodical&gt;&lt;full-title&gt;Posters. Nephrology&lt;/full-title&gt;&lt;/periodical&gt;&lt;pages&gt;51-92&lt;/pages&gt;&lt;volume&gt;22&lt;/volume&gt;&lt;dates&gt;&lt;year&gt;2017&lt;/year&gt;&lt;/dates&gt;&lt;urls&gt;&lt;/urls&gt;&lt;electronic-resource-num&gt;10.1111/nep.13105 &lt;/electronic-resource-num&gt;&lt;/record&gt;&lt;/Cite&gt;&lt;/EndNote&gt;</w:instrText>
                            </w:r>
                            <w:r>
                              <w:fldChar w:fldCharType="separate"/>
                            </w:r>
                            <w:r>
                              <w:rPr>
                                <w:noProof/>
                              </w:rPr>
                              <w:t>(Hughes, Aye-Min, et al., 2017)</w:t>
                            </w:r>
                            <w:r>
                              <w:fldChar w:fldCharType="end"/>
                            </w:r>
                            <w:r>
                              <w:t>. In order to complete the assessments, the patient opted to relocate to the urban centre for chronic maintenance dialysis, as she recognised that she may not have completed the assessments and achieved waitlisting if she remained in her home community.</w:t>
                            </w:r>
                          </w:p>
                          <w:p w14:paraId="1BD508FC" w14:textId="77777777" w:rsidR="00A41391" w:rsidRPr="00CD7F51" w:rsidRDefault="00A41391" w:rsidP="009D683D">
                            <w:pPr>
                              <w:spacing w:line="276" w:lineRule="auto"/>
                              <w:jc w:val="both"/>
                            </w:pPr>
                            <w:r>
                              <w:rPr>
                                <w:i/>
                              </w:rPr>
                              <w:t xml:space="preserve">Figure 6: </w:t>
                            </w:r>
                            <w:r w:rsidRPr="00CD7F51">
                              <w:t>Timeline to activation to the transplant waitlist</w:t>
                            </w:r>
                            <w:r>
                              <w:t xml:space="preserve"> </w:t>
                            </w:r>
                            <w:r>
                              <w:fldChar w:fldCharType="begin"/>
                            </w:r>
                            <w:r>
                              <w:instrText xml:space="preserve"> ADDIN EN.CITE &lt;EndNote&gt;&lt;Cite&gt;&lt;Author&gt;Hughes&lt;/Author&gt;&lt;Year&gt;2017&lt;/Year&gt;&lt;RecNum&gt;387&lt;/RecNum&gt;&lt;DisplayText&gt;(Hughes, Aye-Min, et al., 2017)&lt;/DisplayText&gt;&lt;record&gt;&lt;rec-number&gt;387&lt;/rec-number&gt;&lt;foreign-keys&gt;&lt;key app="EN" db-id="ews5ve9enfwav7etdtjvztfdrftvwrf9vrsx" timestamp="1548392536"&gt;387&lt;/key&gt;&lt;/foreign-keys&gt;&lt;ref-type name="Journal Article"&gt;17&lt;/ref-type&gt;&lt;contributors&gt;&lt;authors&gt;&lt;author&gt;Hughes, J. T.&lt;/author&gt;&lt;author&gt;Aye-Min, O.&lt;/author&gt;&lt;author&gt;Majoni, S. W.&lt;/author&gt;&lt;author&gt;Currie, B. J.&lt;/author&gt;&lt;author&gt;Hall, H.&lt;/author&gt;&lt;author&gt;Kirkham, R.&lt;/author&gt;&lt;/authors&gt;&lt;/contributors&gt;&lt;titles&gt;&lt;title&gt;Delayed resolution of an extensive dermatophyte infection: client and clinician perceptions of treatment response in an adult dependent on haemodialysis. &lt;/title&gt;&lt;secondary-title&gt;Posters. Nephrology&lt;/secondary-title&gt;&lt;/titles&gt;&lt;periodical&gt;&lt;full-title&gt;Posters. Nephrology&lt;/full-title&gt;&lt;/periodical&gt;&lt;pages&gt;51-92&lt;/pages&gt;&lt;volume&gt;22&lt;/volume&gt;&lt;dates&gt;&lt;year&gt;2017&lt;/year&gt;&lt;/dates&gt;&lt;urls&gt;&lt;/urls&gt;&lt;electronic-resource-num&gt;10.1111/nep.13105 &lt;/electronic-resource-num&gt;&lt;/record&gt;&lt;/Cite&gt;&lt;/EndNote&gt;</w:instrText>
                            </w:r>
                            <w:r>
                              <w:fldChar w:fldCharType="separate"/>
                            </w:r>
                            <w:r>
                              <w:rPr>
                                <w:noProof/>
                              </w:rPr>
                              <w:t>(Hughes, Aye-Min, et al., 2017)</w:t>
                            </w:r>
                            <w:r>
                              <w:fldChar w:fldCharType="end"/>
                            </w:r>
                            <w:r>
                              <w:t>.</w:t>
                            </w:r>
                          </w:p>
                          <w:p w14:paraId="56C676A0" w14:textId="77777777" w:rsidR="00A41391" w:rsidRDefault="00A41391" w:rsidP="009D683D">
                            <w:pPr>
                              <w:spacing w:line="276" w:lineRule="auto"/>
                              <w:jc w:val="both"/>
                            </w:pPr>
                            <w:r>
                              <w:rPr>
                                <w:noProof/>
                                <w:lang w:eastAsia="en-AU"/>
                              </w:rPr>
                              <w:drawing>
                                <wp:inline distT="0" distB="0" distL="0" distR="0" wp14:anchorId="04D299AE" wp14:editId="11523888">
                                  <wp:extent cx="5104040" cy="2981325"/>
                                  <wp:effectExtent l="19050" t="19050" r="20955" b="9525"/>
                                  <wp:docPr id="257" name="Picture 257" descr="Graph showing timeline to activation on waiting list. Dialysis is day 0, starting work up day 34, visiting transplant physician around day 250, visiting surgeon around day 460, transplant day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32">
                                            <a:extLst>
                                              <a:ext uri="{28A0092B-C50C-407E-A947-70E740481C1C}">
                                                <a14:useLocalDpi xmlns:a14="http://schemas.microsoft.com/office/drawing/2010/main" val="0"/>
                                              </a:ext>
                                            </a:extLst>
                                          </a:blip>
                                          <a:srcRect t="18601" r="604"/>
                                          <a:stretch/>
                                        </pic:blipFill>
                                        <pic:spPr bwMode="auto">
                                          <a:xfrm>
                                            <a:off x="0" y="0"/>
                                            <a:ext cx="5218435" cy="3048144"/>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C1B21E" w14:textId="77777777" w:rsidR="00A41391" w:rsidRDefault="00A41391" w:rsidP="009D683D">
                            <w:pPr>
                              <w:spacing w:after="0" w:line="276" w:lineRule="auto"/>
                              <w:jc w:val="both"/>
                            </w:pPr>
                            <w:r>
                              <w:t xml:space="preserve">The delayed cure of chronic and extensive tinea corporis was responsible for 59% of the time taken to achieve active kidney transplant waitlisting (294 days of 496 days). Timeliness to achieve complete resolution of the infection and subsequent waitlisting failed to meet the expectations of both the patient and clinicians. A combination of systemic and individual factors contributed to the delayed resolution, including: disjointed communication, lack of access to medication, normalisation of skin conditions in the Indigenous population, and the clients’ competing priorities </w:t>
                            </w:r>
                            <w:r>
                              <w:fldChar w:fldCharType="begin"/>
                            </w:r>
                            <w:r>
                              <w:instrText xml:space="preserve"> ADDIN EN.CITE &lt;EndNote&gt;&lt;Cite&gt;&lt;Author&gt;Hughes&lt;/Author&gt;&lt;Year&gt;2017&lt;/Year&gt;&lt;RecNum&gt;387&lt;/RecNum&gt;&lt;DisplayText&gt;(Hughes, Aye-Min, et al., 2017)&lt;/DisplayText&gt;&lt;record&gt;&lt;rec-number&gt;387&lt;/rec-number&gt;&lt;foreign-keys&gt;&lt;key app="EN" db-id="ews5ve9enfwav7etdtjvztfdrftvwrf9vrsx" timestamp="1548392536"&gt;387&lt;/key&gt;&lt;/foreign-keys&gt;&lt;ref-type name="Journal Article"&gt;17&lt;/ref-type&gt;&lt;contributors&gt;&lt;authors&gt;&lt;author&gt;Hughes, J. T.&lt;/author&gt;&lt;author&gt;Aye-Min, O.&lt;/author&gt;&lt;author&gt;Majoni, S. W.&lt;/author&gt;&lt;author&gt;Currie, B. J.&lt;/author&gt;&lt;author&gt;Hall, H.&lt;/author&gt;&lt;author&gt;Kirkham, R.&lt;/author&gt;&lt;/authors&gt;&lt;/contributors&gt;&lt;titles&gt;&lt;title&gt;Delayed resolution of an extensive dermatophyte infection: client and clinician perceptions of treatment response in an adult dependent on haemodialysis. &lt;/title&gt;&lt;secondary-title&gt;Posters. Nephrology&lt;/secondary-title&gt;&lt;/titles&gt;&lt;periodical&gt;&lt;full-title&gt;Posters. Nephrology&lt;/full-title&gt;&lt;/periodical&gt;&lt;pages&gt;51-92&lt;/pages&gt;&lt;volume&gt;22&lt;/volume&gt;&lt;dates&gt;&lt;year&gt;2017&lt;/year&gt;&lt;/dates&gt;&lt;urls&gt;&lt;/urls&gt;&lt;electronic-resource-num&gt;10.1111/nep.13105 &lt;/electronic-resource-num&gt;&lt;/record&gt;&lt;/Cite&gt;&lt;/EndNote&gt;</w:instrText>
                            </w:r>
                            <w:r>
                              <w:fldChar w:fldCharType="separate"/>
                            </w:r>
                            <w:r>
                              <w:rPr>
                                <w:noProof/>
                              </w:rPr>
                              <w:t>(Hughes, Aye-Min, et al., 2017)</w:t>
                            </w:r>
                            <w:r>
                              <w:fldChar w:fldCharType="end"/>
                            </w:r>
                            <w:r>
                              <w:t>.</w:t>
                            </w:r>
                          </w:p>
                          <w:p w14:paraId="1FDAE225" w14:textId="77777777" w:rsidR="00A41391" w:rsidRDefault="00A41391" w:rsidP="009D683D">
                            <w:pPr>
                              <w:spacing w:line="276" w:lineRule="auto"/>
                              <w:jc w:val="both"/>
                            </w:pPr>
                          </w:p>
                          <w:p w14:paraId="2B227697" w14:textId="77777777" w:rsidR="00A41391" w:rsidRDefault="00A41391" w:rsidP="009D683D">
                            <w:pPr>
                              <w:spacing w:line="276" w:lineRule="auto"/>
                              <w:jc w:val="both"/>
                            </w:pPr>
                          </w:p>
                          <w:p w14:paraId="642C4DD4" w14:textId="77777777" w:rsidR="00A41391" w:rsidRDefault="00A41391" w:rsidP="009D683D">
                            <w:pPr>
                              <w:spacing w:line="276" w:lineRule="auto"/>
                              <w:jc w:val="both"/>
                            </w:pPr>
                          </w:p>
                          <w:p w14:paraId="12B2A917" w14:textId="77777777" w:rsidR="00A41391" w:rsidRDefault="00A41391" w:rsidP="009D683D">
                            <w:pPr>
                              <w:spacing w:line="276" w:lineRule="auto"/>
                              <w:jc w:val="both"/>
                            </w:pPr>
                          </w:p>
                        </w:txbxContent>
                      </wps:txbx>
                      <wps:bodyPr rot="0" vert="horz" wrap="square" lIns="91440" tIns="45720" rIns="91440" bIns="45720" anchor="t" anchorCtr="0">
                        <a:noAutofit/>
                      </wps:bodyPr>
                    </wps:wsp>
                  </a:graphicData>
                </a:graphic>
              </wp:inline>
            </w:drawing>
          </mc:Choice>
          <mc:Fallback>
            <w:pict>
              <v:shape w14:anchorId="359B860C" id="_x0000_s1036" type="#_x0000_t202" style="width:449.25pt;height:5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" fillcolor="#e2f0d9">
                <v:textbox>
                  <w:txbxContent>
                    <w:p w14:paraId="672743D5" w14:textId="77777777" w:rsidR="00A41391" w:rsidRPr="00E72765" w:rsidRDefault="00A41391" w:rsidP="009D683D">
                      <w:pPr>
                        <w:spacing w:line="276" w:lineRule="auto"/>
                        <w:jc w:val="both"/>
                        <w:rPr>
                          <w:b/>
                          <w:sz w:val="24"/>
                        </w:rPr>
                      </w:pPr>
                      <w:r w:rsidRPr="00E72765">
                        <w:rPr>
                          <w:b/>
                          <w:sz w:val="24"/>
                        </w:rPr>
                        <w:t xml:space="preserve">Box </w:t>
                      </w:r>
                      <w:r>
                        <w:rPr>
                          <w:b/>
                          <w:sz w:val="24"/>
                        </w:rPr>
                        <w:t>8</w:t>
                      </w:r>
                      <w:r w:rsidRPr="00E72765">
                        <w:rPr>
                          <w:b/>
                          <w:sz w:val="24"/>
                        </w:rPr>
                        <w:t xml:space="preserve">: Case study of a waitlisting journey </w:t>
                      </w:r>
                      <w:r>
                        <w:rPr>
                          <w:b/>
                          <w:sz w:val="24"/>
                        </w:rPr>
                        <w:t>delayed due to</w:t>
                      </w:r>
                      <w:r w:rsidRPr="00E72765">
                        <w:rPr>
                          <w:b/>
                          <w:sz w:val="24"/>
                        </w:rPr>
                        <w:t xml:space="preserve"> dermatological treatment</w:t>
                      </w:r>
                    </w:p>
                    <w:p w14:paraId="68623D42" w14:textId="77777777" w:rsidR="00A41391" w:rsidRDefault="00A41391" w:rsidP="009D683D">
                      <w:pPr>
                        <w:spacing w:line="276" w:lineRule="auto"/>
                        <w:jc w:val="both"/>
                      </w:pPr>
                      <w:r>
                        <w:t xml:space="preserve">A 41-year-old female with presumed diabetic nephropathy commenced dialysis (Day 0) following rapid declining kidney function in the preceding 2 years. She had previously documented chronic tinea corporis (a dermatophyte infection of the skin), which was again microbiologically confirmed on Day 61. As shown in Figure 6, complete resolution of tinea corporis was eventually achieved on Day 396 following 294 days of targeted treatment. Throughout this journey, the patient never experienced a serious soft-tissue infection or bacteraemia, and was engaged in her renal care, including participating in numerous appointments </w:t>
                      </w:r>
                      <w:r>
                        <w:fldChar w:fldCharType="begin"/>
                      </w:r>
                      <w:r>
                        <w:instrText xml:space="preserve"> ADDIN EN.CITE &lt;EndNote&gt;&lt;Cite&gt;&lt;Author&gt;Hughes&lt;/Author&gt;&lt;Year&gt;2017&lt;/Year&gt;&lt;RecNum&gt;387&lt;/RecNum&gt;&lt;DisplayText&gt;(Hughes, Aye-Min, et al., 2017)&lt;/DisplayText&gt;&lt;record&gt;&lt;rec-number&gt;387&lt;/rec-number&gt;&lt;foreign-keys&gt;&lt;key app="EN" db-id="ews5ve9enfwav7etdtjvztfdrftvwrf9vrsx" timestamp="1548392536"&gt;387&lt;/key&gt;&lt;/foreign-keys&gt;&lt;ref-type name="Journal Article"&gt;17&lt;/ref-type&gt;&lt;contributors&gt;&lt;authors&gt;&lt;author&gt;Hughes, J. T.&lt;/author&gt;&lt;author&gt;Aye-Min, O.&lt;/author&gt;&lt;author&gt;Majoni, S. W.&lt;/author&gt;&lt;author&gt;Currie, B. J.&lt;/author&gt;&lt;author&gt;Hall, H.&lt;/author&gt;&lt;author&gt;Kirkham, R.&lt;/author&gt;&lt;/authors&gt;&lt;/contributors&gt;&lt;titles&gt;&lt;title&gt;Delayed resolution of an extensive dermatophyte infection: client and clinician perceptions of treatment response in an adult dependent on haemodialysis. &lt;/title&gt;&lt;secondary-title&gt;Posters. Nephrology&lt;/secondary-title&gt;&lt;/titles&gt;&lt;periodical&gt;&lt;full-title&gt;Posters. Nephrology&lt;/full-title&gt;&lt;/periodical&gt;&lt;pages&gt;51-92&lt;/pages&gt;&lt;volume&gt;22&lt;/volume&gt;&lt;dates&gt;&lt;year&gt;2017&lt;/year&gt;&lt;/dates&gt;&lt;urls&gt;&lt;/urls&gt;&lt;electronic-resource-num&gt;10.1111/nep.13105 &lt;/electronic-resource-num&gt;&lt;/record&gt;&lt;/Cite&gt;&lt;/EndNote&gt;</w:instrText>
                      </w:r>
                      <w:r>
                        <w:fldChar w:fldCharType="separate"/>
                      </w:r>
                      <w:r>
                        <w:rPr>
                          <w:noProof/>
                        </w:rPr>
                        <w:t>(Hughes, Aye-Min, et al., 2017)</w:t>
                      </w:r>
                      <w:r>
                        <w:fldChar w:fldCharType="end"/>
                      </w:r>
                      <w:r>
                        <w:t>. In order to complete the assessments, the patient opted to relocate to the urban centre for chronic maintenance dialysis, as she recognised that she may not have completed the assessments and achieved waitlisting if she remained in her home community.</w:t>
                      </w:r>
                    </w:p>
                    <w:p w14:paraId="1BD508FC" w14:textId="77777777" w:rsidR="00A41391" w:rsidRPr="00CD7F51" w:rsidRDefault="00A41391" w:rsidP="009D683D">
                      <w:pPr>
                        <w:spacing w:line="276" w:lineRule="auto"/>
                        <w:jc w:val="both"/>
                      </w:pPr>
                      <w:r>
                        <w:rPr>
                          <w:i/>
                        </w:rPr>
                        <w:t xml:space="preserve">Figure 6: </w:t>
                      </w:r>
                      <w:r w:rsidRPr="00CD7F51">
                        <w:t>Timeline to activation to the transplant waitlist</w:t>
                      </w:r>
                      <w:r>
                        <w:t xml:space="preserve"> </w:t>
                      </w:r>
                      <w:r>
                        <w:fldChar w:fldCharType="begin"/>
                      </w:r>
                      <w:r>
                        <w:instrText xml:space="preserve"> ADDIN EN.CITE &lt;EndNote&gt;&lt;Cite&gt;&lt;Author&gt;Hughes&lt;/Author&gt;&lt;Year&gt;2017&lt;/Year&gt;&lt;RecNum&gt;387&lt;/RecNum&gt;&lt;DisplayText&gt;(Hughes, Aye-Min, et al., 2017)&lt;/DisplayText&gt;&lt;record&gt;&lt;rec-number&gt;387&lt;/rec-number&gt;&lt;foreign-keys&gt;&lt;key app="EN" db-id="ews5ve9enfwav7etdtjvztfdrftvwrf9vrsx" timestamp="1548392536"&gt;387&lt;/key&gt;&lt;/foreign-keys&gt;&lt;ref-type name="Journal Article"&gt;17&lt;/ref-type&gt;&lt;contributors&gt;&lt;authors&gt;&lt;author&gt;Hughes, J. T.&lt;/author&gt;&lt;author&gt;Aye-Min, O.&lt;/author&gt;&lt;author&gt;Majoni, S. W.&lt;/author&gt;&lt;author&gt;Currie, B. J.&lt;/author&gt;&lt;author&gt;Hall, H.&lt;/author&gt;&lt;author&gt;Kirkham, R.&lt;/author&gt;&lt;/authors&gt;&lt;/contributors&gt;&lt;titles&gt;&lt;title&gt;Delayed resolution of an extensive dermatophyte infection: client and clinician perceptions of treatment response in an adult dependent on haemodialysis. &lt;/title&gt;&lt;secondary-title&gt;Posters. Nephrology&lt;/secondary-title&gt;&lt;/titles&gt;&lt;periodical&gt;&lt;full-title&gt;Posters. Nephrology&lt;/full-title&gt;&lt;/periodical&gt;&lt;pages&gt;51-92&lt;/pages&gt;&lt;volume&gt;22&lt;/volume&gt;&lt;dates&gt;&lt;year&gt;2017&lt;/year&gt;&lt;/dates&gt;&lt;urls&gt;&lt;/urls&gt;&lt;electronic-resource-num&gt;10.1111/nep.13105 &lt;/electronic-resource-num&gt;&lt;/record&gt;&lt;/Cite&gt;&lt;/EndNote&gt;</w:instrText>
                      </w:r>
                      <w:r>
                        <w:fldChar w:fldCharType="separate"/>
                      </w:r>
                      <w:r>
                        <w:rPr>
                          <w:noProof/>
                        </w:rPr>
                        <w:t>(Hughes, Aye-Min, et al., 2017)</w:t>
                      </w:r>
                      <w:r>
                        <w:fldChar w:fldCharType="end"/>
                      </w:r>
                      <w:r>
                        <w:t>.</w:t>
                      </w:r>
                    </w:p>
                    <w:p w14:paraId="56C676A0" w14:textId="77777777" w:rsidR="00A41391" w:rsidRDefault="00A41391" w:rsidP="009D683D">
                      <w:pPr>
                        <w:spacing w:line="276" w:lineRule="auto"/>
                        <w:jc w:val="both"/>
                      </w:pPr>
                      <w:r>
                        <w:rPr>
                          <w:noProof/>
                          <w:lang w:eastAsia="en-AU"/>
                        </w:rPr>
                        <w:drawing>
                          <wp:inline distT="0" distB="0" distL="0" distR="0" wp14:anchorId="04D299AE" wp14:editId="11523888">
                            <wp:extent cx="5104040" cy="2981325"/>
                            <wp:effectExtent l="19050" t="19050" r="20955" b="9525"/>
                            <wp:docPr id="257" name="Picture 257" descr="Graph showing timeline to activation on waiting list. Dialysis is day 0, starting work up day 34, visiting transplant physician around day 250, visiting surgeon around day 460, transplant day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33">
                                      <a:extLst>
                                        <a:ext uri="{28A0092B-C50C-407E-A947-70E740481C1C}">
                                          <a14:useLocalDpi xmlns:a14="http://schemas.microsoft.com/office/drawing/2010/main" val="0"/>
                                        </a:ext>
                                      </a:extLst>
                                    </a:blip>
                                    <a:srcRect t="18601" r="604"/>
                                    <a:stretch/>
                                  </pic:blipFill>
                                  <pic:spPr bwMode="auto">
                                    <a:xfrm>
                                      <a:off x="0" y="0"/>
                                      <a:ext cx="5218435" cy="3048144"/>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C1B21E" w14:textId="77777777" w:rsidR="00A41391" w:rsidRDefault="00A41391" w:rsidP="009D683D">
                      <w:pPr>
                        <w:spacing w:after="0" w:line="276" w:lineRule="auto"/>
                        <w:jc w:val="both"/>
                      </w:pPr>
                      <w:r>
                        <w:t xml:space="preserve">The delayed cure of chronic and extensive tinea corporis was responsible for 59% of the time taken to achieve active kidney transplant waitlisting (294 days of 496 days). Timeliness to achieve complete resolution of the infection and subsequent waitlisting failed to meet the expectations of both the patient and clinicians. A combination of systemic and individual factors contributed to the delayed resolution, including: disjointed communication, lack of access to medication, normalisation of skin conditions in the Indigenous population, and the clients’ competing priorities </w:t>
                      </w:r>
                      <w:r>
                        <w:fldChar w:fldCharType="begin"/>
                      </w:r>
                      <w:r>
                        <w:instrText xml:space="preserve"> ADDIN EN.CITE &lt;EndNote&gt;&lt;Cite&gt;&lt;Author&gt;Hughes&lt;/Author&gt;&lt;Year&gt;2017&lt;/Year&gt;&lt;RecNum&gt;387&lt;/RecNum&gt;&lt;DisplayText&gt;(Hughes, Aye-Min, et al., 2017)&lt;/DisplayText&gt;&lt;record&gt;&lt;rec-number&gt;387&lt;/rec-number&gt;&lt;foreign-keys&gt;&lt;key app="EN" db-id="ews5ve9enfwav7etdtjvztfdrftvwrf9vrsx" timestamp="1548392536"&gt;387&lt;/key&gt;&lt;/foreign-keys&gt;&lt;ref-type name="Journal Article"&gt;17&lt;/ref-type&gt;&lt;contributors&gt;&lt;authors&gt;&lt;author&gt;Hughes, J. T.&lt;/author&gt;&lt;author&gt;Aye-Min, O.&lt;/author&gt;&lt;author&gt;Majoni, S. W.&lt;/author&gt;&lt;author&gt;Currie, B. J.&lt;/author&gt;&lt;author&gt;Hall, H.&lt;/author&gt;&lt;author&gt;Kirkham, R.&lt;/author&gt;&lt;/authors&gt;&lt;/contributors&gt;&lt;titles&gt;&lt;title&gt;Delayed resolution of an extensive dermatophyte infection: client and clinician perceptions of treatment response in an adult dependent on haemodialysis. &lt;/title&gt;&lt;secondary-title&gt;Posters. Nephrology&lt;/secondary-title&gt;&lt;/titles&gt;&lt;periodical&gt;&lt;full-title&gt;Posters. Nephrology&lt;/full-title&gt;&lt;/periodical&gt;&lt;pages&gt;51-92&lt;/pages&gt;&lt;volume&gt;22&lt;/volume&gt;&lt;dates&gt;&lt;year&gt;2017&lt;/year&gt;&lt;/dates&gt;&lt;urls&gt;&lt;/urls&gt;&lt;electronic-resource-num&gt;10.1111/nep.13105 &lt;/electronic-resource-num&gt;&lt;/record&gt;&lt;/Cite&gt;&lt;/EndNote&gt;</w:instrText>
                      </w:r>
                      <w:r>
                        <w:fldChar w:fldCharType="separate"/>
                      </w:r>
                      <w:r>
                        <w:rPr>
                          <w:noProof/>
                        </w:rPr>
                        <w:t>(Hughes, Aye-Min, et al., 2017)</w:t>
                      </w:r>
                      <w:r>
                        <w:fldChar w:fldCharType="end"/>
                      </w:r>
                      <w:r>
                        <w:t>.</w:t>
                      </w:r>
                    </w:p>
                    <w:p w14:paraId="1FDAE225" w14:textId="77777777" w:rsidR="00A41391" w:rsidRDefault="00A41391" w:rsidP="009D683D">
                      <w:pPr>
                        <w:spacing w:line="276" w:lineRule="auto"/>
                        <w:jc w:val="both"/>
                      </w:pPr>
                    </w:p>
                    <w:p w14:paraId="2B227697" w14:textId="77777777" w:rsidR="00A41391" w:rsidRDefault="00A41391" w:rsidP="009D683D">
                      <w:pPr>
                        <w:spacing w:line="276" w:lineRule="auto"/>
                        <w:jc w:val="both"/>
                      </w:pPr>
                    </w:p>
                    <w:p w14:paraId="642C4DD4" w14:textId="77777777" w:rsidR="00A41391" w:rsidRDefault="00A41391" w:rsidP="009D683D">
                      <w:pPr>
                        <w:spacing w:line="276" w:lineRule="auto"/>
                        <w:jc w:val="both"/>
                      </w:pPr>
                    </w:p>
                    <w:p w14:paraId="12B2A917" w14:textId="77777777" w:rsidR="00A41391" w:rsidRDefault="00A41391" w:rsidP="009D683D">
                      <w:pPr>
                        <w:spacing w:line="276" w:lineRule="auto"/>
                        <w:jc w:val="both"/>
                      </w:pPr>
                    </w:p>
                  </w:txbxContent>
                </v:textbox>
                <w10:anchorlock/>
              </v:shape>
            </w:pict>
          </mc:Fallback>
        </mc:AlternateContent>
      </w:r>
    </w:p>
    <w:p w14:paraId="0733E52A" w14:textId="77777777" w:rsidR="0055104B" w:rsidRDefault="0055104B" w:rsidP="009D683D">
      <w:pPr>
        <w:keepNext/>
        <w:keepLines/>
        <w:numPr>
          <w:ilvl w:val="3"/>
          <w:numId w:val="0"/>
        </w:numPr>
        <w:spacing w:before="40" w:after="0"/>
        <w:ind w:left="864" w:hanging="864"/>
        <w:outlineLvl w:val="3"/>
        <w:rPr>
          <w:rFonts w:ascii="Calibri Light" w:eastAsia="Times New Roman" w:hAnsi="Calibri Light" w:cs="Times New Roman"/>
          <w:i/>
          <w:iCs/>
          <w:sz w:val="22"/>
        </w:rPr>
      </w:pPr>
    </w:p>
    <w:p w14:paraId="7F538F16" w14:textId="7E4DBC0B"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 xml:space="preserve">Access to transplant acceptance team delaying entry to waitlist </w:t>
      </w:r>
    </w:p>
    <w:p w14:paraId="43A54005"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The majority of dialysis units caring for Indigenous patients in Australia are distant from the tertiary transplant service. While teleconferences may keep communication channels open, patient review and acceptance onto the waitlist is dependent on visits from the tertiary centre and transplant acceptance team and assessment by transplant physician and surgeon. The availability of these visits varies nationally; renal unit staff from Adelaide travel to Alice Springs, Darwin and Katherine to provide </w:t>
      </w:r>
      <w:r w:rsidRPr="009D683D">
        <w:rPr>
          <w:rFonts w:ascii="Calibri" w:eastAsia="Calibri" w:hAnsi="Calibri" w:cs="Times New Roman"/>
          <w:sz w:val="22"/>
        </w:rPr>
        <w:lastRenderedPageBreak/>
        <w:t xml:space="preserve">services, while patients in Queensland, Western Australia and New South Wales must travel to major metropolitan centres (i.e. Brisbane, Perth, Sydney or Newcastle) to access transplant assessment. </w:t>
      </w:r>
    </w:p>
    <w:p w14:paraId="3595D190"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As part of this project, structured interviews were conducted with all transplant units throughout Australia. These interviews revealed that infrequent visits and logistics of coordinating patient attendance with transplant team visits can delay admission to the waitlist. As a result, geographical distance is an issue not only for those residing in remote and very remote areas (i.e. Kalgoorlie, Broome, Mt Isa, Alice Springs), but also applies to tertiary facilities with large catchment areas such as Cairns, Townsville, Darwin.  </w:t>
      </w:r>
    </w:p>
    <w:p w14:paraId="4F9561AB" w14:textId="77777777" w:rsidR="009D683D" w:rsidRPr="009D683D" w:rsidRDefault="009D683D" w:rsidP="009D683D">
      <w:pPr>
        <w:keepNext/>
        <w:keepLines/>
        <w:numPr>
          <w:ilvl w:val="2"/>
          <w:numId w:val="0"/>
        </w:numPr>
        <w:spacing w:before="40" w:after="0"/>
        <w:ind w:left="720" w:hanging="720"/>
        <w:outlineLvl w:val="2"/>
        <w:rPr>
          <w:rFonts w:ascii="Calibri Light" w:eastAsia="Times New Roman" w:hAnsi="Calibri Light" w:cs="Times New Roman"/>
          <w:sz w:val="24"/>
          <w:szCs w:val="24"/>
        </w:rPr>
      </w:pPr>
      <w:bookmarkStart w:id="47" w:name="_Toc2585811"/>
      <w:r w:rsidRPr="009D683D">
        <w:rPr>
          <w:rFonts w:ascii="Calibri Light" w:eastAsia="Times New Roman" w:hAnsi="Calibri Light" w:cs="Times New Roman"/>
          <w:sz w:val="24"/>
          <w:szCs w:val="24"/>
        </w:rPr>
        <w:t>Staying healthy on the list</w:t>
      </w:r>
      <w:bookmarkEnd w:id="47"/>
    </w:p>
    <w:p w14:paraId="30D0CD97" w14:textId="77777777" w:rsidR="009D683D" w:rsidRPr="009D683D" w:rsidRDefault="009D683D" w:rsidP="009D683D">
      <w:pPr>
        <w:spacing w:line="276" w:lineRule="auto"/>
        <w:jc w:val="both"/>
        <w:rPr>
          <w:rFonts w:ascii="Calibri" w:eastAsia="Calibri" w:hAnsi="Calibri" w:cs="Calibri"/>
          <w:sz w:val="22"/>
          <w:szCs w:val="24"/>
        </w:rPr>
      </w:pPr>
      <w:r w:rsidRPr="009D683D">
        <w:rPr>
          <w:rFonts w:ascii="Calibri" w:eastAsia="Calibri" w:hAnsi="Calibri" w:cs="Calibri"/>
          <w:sz w:val="22"/>
          <w:szCs w:val="24"/>
        </w:rPr>
        <w:t xml:space="preserve">Once placed on the transplant waitlist, it is vital that the patient stay as healthy as possible to ensure they remain on the waitlist and are medically fit for the transplant operation to reduce the risk of complications in the recovery phase </w:t>
      </w:r>
      <w:r w:rsidRPr="009D683D">
        <w:rPr>
          <w:rFonts w:ascii="Calibri" w:eastAsia="Calibri" w:hAnsi="Calibri" w:cs="Calibri"/>
          <w:sz w:val="22"/>
          <w:szCs w:val="24"/>
        </w:rPr>
        <w:fldChar w:fldCharType="begin"/>
      </w:r>
      <w:r w:rsidRPr="009D683D">
        <w:rPr>
          <w:rFonts w:ascii="Calibri" w:eastAsia="Calibri" w:hAnsi="Calibri" w:cs="Calibri"/>
          <w:sz w:val="22"/>
          <w:szCs w:val="24"/>
        </w:rPr>
        <w:instrText xml:space="preserve"> ADDIN EN.CITE &lt;EndNote&gt;&lt;Cite&gt;&lt;Author&gt;KHA&lt;/Author&gt;&lt;Year&gt;2019&lt;/Year&gt;&lt;RecNum&gt;361&lt;/RecNum&gt;&lt;DisplayText&gt;(KHA, 2019)&lt;/DisplayText&gt;&lt;record&gt;&lt;rec-number&gt;361&lt;/rec-number&gt;&lt;foreign-keys&gt;&lt;key app="EN" db-id="ews5ve9enfwav7etdtjvztfdrftvwrf9vrsx" timestamp="1546837593"&gt;361&lt;/key&gt;&lt;/foreign-keys&gt;&lt;ref-type name="Web Page"&gt;12&lt;/ref-type&gt;&lt;contributors&gt;&lt;authors&gt;&lt;author&gt;KHA&lt;/author&gt;&lt;/authors&gt;&lt;/contributors&gt;&lt;titles&gt;&lt;title&gt;Kidney Transplant &lt;/title&gt;&lt;/titles&gt;&lt;volume&gt;2019&lt;/volume&gt;&lt;number&gt;7 January&lt;/number&gt;&lt;dates&gt;&lt;year&gt;2019&lt;/year&gt;&lt;/dates&gt;&lt;publisher&gt;Kidney Health Australia&lt;/publisher&gt;&lt;urls&gt;&lt;related-urls&gt;&lt;url&gt;https://kidney.org.au/your-kidneys/support/kidney-transplant&lt;/url&gt;&lt;/related-urls&gt;&lt;/urls&gt;&lt;/record&gt;&lt;/Cite&gt;&lt;/EndNote&gt;</w:instrText>
      </w:r>
      <w:r w:rsidRPr="009D683D">
        <w:rPr>
          <w:rFonts w:ascii="Calibri" w:eastAsia="Calibri" w:hAnsi="Calibri" w:cs="Calibri"/>
          <w:sz w:val="22"/>
          <w:szCs w:val="24"/>
        </w:rPr>
        <w:fldChar w:fldCharType="separate"/>
      </w:r>
      <w:r w:rsidRPr="009D683D">
        <w:rPr>
          <w:rFonts w:ascii="Calibri" w:eastAsia="Calibri" w:hAnsi="Calibri" w:cs="Calibri"/>
          <w:noProof/>
          <w:sz w:val="22"/>
          <w:szCs w:val="24"/>
        </w:rPr>
        <w:t>(KHA, 2019)</w:t>
      </w:r>
      <w:r w:rsidRPr="009D683D">
        <w:rPr>
          <w:rFonts w:ascii="Calibri" w:eastAsia="Calibri" w:hAnsi="Calibri" w:cs="Calibri"/>
          <w:sz w:val="22"/>
          <w:szCs w:val="24"/>
        </w:rPr>
        <w:fldChar w:fldCharType="end"/>
      </w:r>
      <w:r w:rsidRPr="009D683D">
        <w:rPr>
          <w:rFonts w:ascii="Calibri" w:eastAsia="Calibri" w:hAnsi="Calibri" w:cs="Calibri"/>
          <w:sz w:val="22"/>
          <w:szCs w:val="24"/>
        </w:rPr>
        <w:t xml:space="preserve">. The national clinical guidelines for organ transplantation indicate that in order to remain active on the waitlist, patients should undergo annual reassessment by the transplant unit to ensure they continue to fulfil the inclusion criteria </w:t>
      </w:r>
      <w:r w:rsidRPr="009D683D">
        <w:rPr>
          <w:rFonts w:ascii="Calibri" w:eastAsia="Calibri" w:hAnsi="Calibri" w:cs="Calibri"/>
          <w:sz w:val="22"/>
          <w:szCs w:val="24"/>
        </w:rPr>
        <w:fldChar w:fldCharType="begin"/>
      </w:r>
      <w:r w:rsidRPr="009D683D">
        <w:rPr>
          <w:rFonts w:ascii="Calibri" w:eastAsia="Calibri" w:hAnsi="Calibri" w:cs="Calibri"/>
          <w:sz w:val="22"/>
          <w:szCs w:val="24"/>
        </w:rPr>
        <w:instrText xml:space="preserve"> ADDIN EN.CITE &lt;EndNote&gt;&lt;Cite&gt;&lt;Author&gt;TSANZ&lt;/Author&gt;&lt;Year&gt;2018&lt;/Year&gt;&lt;RecNum&gt;359&lt;/RecNum&gt;&lt;DisplayText&gt;(TSANZ, 2018)&lt;/DisplayText&gt;&lt;record&gt;&lt;rec-number&gt;359&lt;/rec-number&gt;&lt;foreign-keys&gt;&lt;key app="EN" db-id="ews5ve9enfwav7etdtjvztfdrftvwrf9vrsx" timestamp="1546831435"&gt;359&lt;/key&gt;&lt;/foreign-keys&gt;&lt;ref-type name="Government Document"&gt;46&lt;/ref-type&gt;&lt;contributors&gt;&lt;authors&gt;&lt;author&gt;TSANZ&lt;/author&gt;&lt;/authors&gt;&lt;secondary-authors&gt;&lt;author&gt;TSANZ&lt;/author&gt;&lt;/secondary-authors&gt;&lt;/contributors&gt;&lt;titles&gt;&lt;title&gt;Clinical Guidelines for Organ Transplantation from Deceased Donors&lt;/title&gt;&lt;/titles&gt;&lt;dates&gt;&lt;year&gt;2018&lt;/year&gt;&lt;/dates&gt;&lt;pub-location&gt;Sydney, Australia&lt;/pub-location&gt;&lt;publisher&gt;Transplant Society of Australia and New Zealand&lt;/publisher&gt;&lt;urls&gt;&lt;related-urls&gt;&lt;url&gt;https://www.tsanz.com.au/Clinical%20Guidelines%20-Dec%202018.pdf&lt;/url&gt;&lt;/related-urls&gt;&lt;/urls&gt;&lt;/record&gt;&lt;/Cite&gt;&lt;/EndNote&gt;</w:instrText>
      </w:r>
      <w:r w:rsidRPr="009D683D">
        <w:rPr>
          <w:rFonts w:ascii="Calibri" w:eastAsia="Calibri" w:hAnsi="Calibri" w:cs="Calibri"/>
          <w:sz w:val="22"/>
          <w:szCs w:val="24"/>
        </w:rPr>
        <w:fldChar w:fldCharType="separate"/>
      </w:r>
      <w:r w:rsidRPr="009D683D">
        <w:rPr>
          <w:rFonts w:ascii="Calibri" w:eastAsia="Calibri" w:hAnsi="Calibri" w:cs="Calibri"/>
          <w:noProof/>
          <w:sz w:val="22"/>
          <w:szCs w:val="24"/>
        </w:rPr>
        <w:t>(TSANZ, 2018)</w:t>
      </w:r>
      <w:r w:rsidRPr="009D683D">
        <w:rPr>
          <w:rFonts w:ascii="Calibri" w:eastAsia="Calibri" w:hAnsi="Calibri" w:cs="Calibri"/>
          <w:sz w:val="22"/>
          <w:szCs w:val="24"/>
        </w:rPr>
        <w:fldChar w:fldCharType="end"/>
      </w:r>
      <w:r w:rsidRPr="009D683D">
        <w:rPr>
          <w:rFonts w:ascii="Calibri" w:eastAsia="Calibri" w:hAnsi="Calibri" w:cs="Calibri"/>
          <w:sz w:val="22"/>
          <w:szCs w:val="24"/>
        </w:rPr>
        <w:t xml:space="preserve">. Common factors that may result in the removal of a patient from the active waitlist include cardiovascular disease, uncontrolled diabetes, worsening comorbid diseases, systemic or skin infections, inability to maintain recommended diet and fluid intake, weight gain/obesity and evidence of poor adherence to prescribed medications and treatments </w:t>
      </w:r>
      <w:r w:rsidRPr="009D683D">
        <w:rPr>
          <w:rFonts w:ascii="Calibri" w:eastAsia="Calibri" w:hAnsi="Calibri" w:cs="Calibri"/>
          <w:sz w:val="22"/>
          <w:szCs w:val="24"/>
        </w:rPr>
        <w:fldChar w:fldCharType="begin"/>
      </w:r>
      <w:r w:rsidRPr="009D683D">
        <w:rPr>
          <w:rFonts w:ascii="Calibri" w:eastAsia="Calibri" w:hAnsi="Calibri" w:cs="Calibri"/>
          <w:sz w:val="22"/>
          <w:szCs w:val="24"/>
        </w:rPr>
        <w:instrText xml:space="preserve"> ADDIN EN.CITE &lt;EndNote&gt;&lt;Cite&gt;&lt;Author&gt;TSANZ&lt;/Author&gt;&lt;Year&gt;2018&lt;/Year&gt;&lt;RecNum&gt;359&lt;/RecNum&gt;&lt;DisplayText&gt;(TSANZ, 2018)&lt;/DisplayText&gt;&lt;record&gt;&lt;rec-number&gt;359&lt;/rec-number&gt;&lt;foreign-keys&gt;&lt;key app="EN" db-id="ews5ve9enfwav7etdtjvztfdrftvwrf9vrsx" timestamp="1546831435"&gt;359&lt;/key&gt;&lt;/foreign-keys&gt;&lt;ref-type name="Government Document"&gt;46&lt;/ref-type&gt;&lt;contributors&gt;&lt;authors&gt;&lt;author&gt;TSANZ&lt;/author&gt;&lt;/authors&gt;&lt;secondary-authors&gt;&lt;author&gt;TSANZ&lt;/author&gt;&lt;/secondary-authors&gt;&lt;/contributors&gt;&lt;titles&gt;&lt;title&gt;Clinical Guidelines for Organ Transplantation from Deceased Donors&lt;/title&gt;&lt;/titles&gt;&lt;dates&gt;&lt;year&gt;2018&lt;/year&gt;&lt;/dates&gt;&lt;pub-location&gt;Sydney, Australia&lt;/pub-location&gt;&lt;publisher&gt;Transplant Society of Australia and New Zealand&lt;/publisher&gt;&lt;urls&gt;&lt;related-urls&gt;&lt;url&gt;https://www.tsanz.com.au/Clinical%20Guidelines%20-Dec%202018.pdf&lt;/url&gt;&lt;/related-urls&gt;&lt;/urls&gt;&lt;/record&gt;&lt;/Cite&gt;&lt;/EndNote&gt;</w:instrText>
      </w:r>
      <w:r w:rsidRPr="009D683D">
        <w:rPr>
          <w:rFonts w:ascii="Calibri" w:eastAsia="Calibri" w:hAnsi="Calibri" w:cs="Calibri"/>
          <w:sz w:val="22"/>
          <w:szCs w:val="24"/>
        </w:rPr>
        <w:fldChar w:fldCharType="separate"/>
      </w:r>
      <w:r w:rsidRPr="009D683D">
        <w:rPr>
          <w:rFonts w:ascii="Calibri" w:eastAsia="Calibri" w:hAnsi="Calibri" w:cs="Calibri"/>
          <w:noProof/>
          <w:sz w:val="22"/>
          <w:szCs w:val="24"/>
        </w:rPr>
        <w:t>(TSANZ, 2018)</w:t>
      </w:r>
      <w:r w:rsidRPr="009D683D">
        <w:rPr>
          <w:rFonts w:ascii="Calibri" w:eastAsia="Calibri" w:hAnsi="Calibri" w:cs="Calibri"/>
          <w:sz w:val="22"/>
          <w:szCs w:val="24"/>
        </w:rPr>
        <w:fldChar w:fldCharType="end"/>
      </w:r>
      <w:r w:rsidRPr="009D683D">
        <w:rPr>
          <w:rFonts w:ascii="Calibri" w:eastAsia="Calibri" w:hAnsi="Calibri" w:cs="Calibri"/>
          <w:sz w:val="22"/>
          <w:szCs w:val="24"/>
        </w:rPr>
        <w:t xml:space="preserve">. Evidence suggests that the likelihood of transplantation during the first year of waitlisting is similar for Indigenous and non-Indigenous patients, but significantly lower for Indigenous patients in subsequent years, which may be linked to issues associated with the management of comorbidities and removal from the waiting list </w:t>
      </w:r>
      <w:r w:rsidRPr="009D683D">
        <w:rPr>
          <w:rFonts w:ascii="Calibri" w:eastAsia="Calibri" w:hAnsi="Calibri" w:cs="Calibri"/>
          <w:sz w:val="22"/>
          <w:szCs w:val="24"/>
        </w:rPr>
        <w:fldChar w:fldCharType="begin"/>
      </w:r>
      <w:r w:rsidRPr="009D683D">
        <w:rPr>
          <w:rFonts w:ascii="Calibri" w:eastAsia="Calibri" w:hAnsi="Calibri" w:cs="Calibri"/>
          <w:sz w:val="22"/>
          <w:szCs w:val="24"/>
        </w:rPr>
        <w:instrText xml:space="preserve"> ADDIN EN.CITE &lt;EndNote&gt;&lt;Cite&gt;&lt;Author&gt;Khanal&lt;/Author&gt;&lt;Year&gt;2018&lt;/Year&gt;&lt;RecNum&gt;158&lt;/RecNum&gt;&lt;DisplayText&gt;(Khanal et al., 2018)&lt;/DisplayText&gt;&lt;record&gt;&lt;rec-number&gt;158&lt;/rec-number&gt;&lt;foreign-keys&gt;&lt;key app="EN" db-id="ews5ve9enfwav7etdtjvztfdrftvwrf9vrsx" timestamp="1543289451"&gt;158&lt;/key&gt;&lt;/foreign-keys&gt;&lt;ref-type name="Journal Article"&gt;17&lt;/ref-type&gt;&lt;contributors&gt;&lt;authors&gt;&lt;author&gt;Khanal, N.&lt;/author&gt;&lt;author&gt;Lawton, P. D.&lt;/author&gt;&lt;author&gt;Cass, A.&lt;/author&gt;&lt;author&gt;McDonald, S. P.&lt;/author&gt;&lt;/authors&gt;&lt;/contributors&gt;&lt;auth-address&gt;University of Adelaide, Adelaide, SA namrata@anzdata.org.au.&amp;#xD;Menzies School of Health Research, Charles Darwin University, Darwin, NT.&amp;#xD;University of Adelaide, Adelaide, SA.&lt;/auth-address&gt;&lt;titles&gt;&lt;title&gt;Disparity of access to kidney transplantation by Indigenous and non-Indigenous Australians&lt;/title&gt;&lt;secondary-title&gt;Med J Aust&lt;/secondary-title&gt;&lt;/titles&gt;&lt;periodical&gt;&lt;full-title&gt;Med J Aust&lt;/full-title&gt;&lt;/periodical&gt;&lt;pages&gt;261-266&lt;/pages&gt;&lt;volume&gt;209&lt;/volume&gt;&lt;number&gt;6&lt;/number&gt;&lt;edition&gt;2018/09/14&lt;/edition&gt;&lt;keywords&gt;&lt;keyword&gt;Indigenous health&lt;/keyword&gt;&lt;keyword&gt;Kidney diseases&lt;/keyword&gt;&lt;keyword&gt;Kidney transplantation&lt;/keyword&gt;&lt;keyword&gt;Renal dialysis&lt;/keyword&gt;&lt;/keywords&gt;&lt;dates&gt;&lt;year&gt;2018&lt;/year&gt;&lt;pub-dates&gt;&lt;date&gt;Sep 17&lt;/date&gt;&lt;/pub-dates&gt;&lt;/dates&gt;&lt;isbn&gt;1326-5377 (Electronic)&amp;#xD;0025-729X (Linking)&lt;/isbn&gt;&lt;accession-num&gt;30208818&lt;/accession-num&gt;&lt;urls&gt;&lt;related-urls&gt;&lt;url&gt;https://www.ncbi.nlm.nih.gov/pubmed/30208818&lt;/url&gt;&lt;/related-urls&gt;&lt;/urls&gt;&lt;electronic-resource-num&gt;10.5694/mja18.00304 &lt;/electronic-resource-num&gt;&lt;/record&gt;&lt;/Cite&gt;&lt;/EndNote&gt;</w:instrText>
      </w:r>
      <w:r w:rsidRPr="009D683D">
        <w:rPr>
          <w:rFonts w:ascii="Calibri" w:eastAsia="Calibri" w:hAnsi="Calibri" w:cs="Calibri"/>
          <w:sz w:val="22"/>
          <w:szCs w:val="24"/>
        </w:rPr>
        <w:fldChar w:fldCharType="separate"/>
      </w:r>
      <w:r w:rsidRPr="009D683D">
        <w:rPr>
          <w:rFonts w:ascii="Calibri" w:eastAsia="Calibri" w:hAnsi="Calibri" w:cs="Calibri"/>
          <w:noProof/>
          <w:sz w:val="22"/>
          <w:szCs w:val="24"/>
        </w:rPr>
        <w:t>(Khanal et al., 2018)</w:t>
      </w:r>
      <w:r w:rsidRPr="009D683D">
        <w:rPr>
          <w:rFonts w:ascii="Calibri" w:eastAsia="Calibri" w:hAnsi="Calibri" w:cs="Calibri"/>
          <w:sz w:val="22"/>
          <w:szCs w:val="24"/>
        </w:rPr>
        <w:fldChar w:fldCharType="end"/>
      </w:r>
      <w:r w:rsidRPr="009D683D">
        <w:rPr>
          <w:rFonts w:ascii="Calibri" w:eastAsia="Calibri" w:hAnsi="Calibri" w:cs="Calibri"/>
          <w:sz w:val="22"/>
          <w:szCs w:val="24"/>
        </w:rPr>
        <w:t xml:space="preserve">. </w:t>
      </w:r>
    </w:p>
    <w:p w14:paraId="556BE5FB" w14:textId="77777777" w:rsidR="009D683D" w:rsidRPr="009D683D" w:rsidRDefault="009D683D" w:rsidP="009D683D">
      <w:pPr>
        <w:spacing w:line="276" w:lineRule="auto"/>
        <w:jc w:val="both"/>
        <w:rPr>
          <w:rFonts w:ascii="Calibri" w:eastAsia="Calibri" w:hAnsi="Calibri" w:cs="Calibri"/>
          <w:sz w:val="22"/>
          <w:szCs w:val="24"/>
        </w:rPr>
      </w:pPr>
      <w:r w:rsidRPr="009D683D">
        <w:rPr>
          <w:rFonts w:ascii="Calibri" w:eastAsia="Calibri" w:hAnsi="Calibri" w:cs="Calibri"/>
          <w:sz w:val="22"/>
          <w:szCs w:val="24"/>
        </w:rPr>
        <w:t xml:space="preserve">It is well documented that the burden of comorbidities is significantly higher among Indigenous dialysis patients and kidney transplant candidates, particularly diabetes. </w:t>
      </w:r>
      <w:r w:rsidRPr="009D683D">
        <w:rPr>
          <w:rFonts w:ascii="Calibri" w:eastAsia="Calibri" w:hAnsi="Calibri" w:cs="Times New Roman"/>
          <w:sz w:val="22"/>
        </w:rPr>
        <w:t xml:space="preserve">Diabetes heightens the risk of post-transplant complications, including cardiovascular events and mortality, and past research has shown that the 5-year post-transplant survival rate for diabetic patients is significantly lower than for non-diabetics’ (70% vs 93%)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&lt;EndNote&gt;&lt;Cite&gt;&lt;Author&gt;Cosio&lt;/Author&gt;&lt;Year&gt;2008&lt;/Year&gt;&lt;RecNum&gt;288&lt;/RecNum&gt;&lt;DisplayText&gt;(Cosio, Hickson, Griffin, Stegall, &amp;amp; Kudva, 2008)&lt;/DisplayText&gt;&lt;record&gt;&lt;rec-number&gt;288&lt;/rec-number&gt;&lt;foreign-keys&gt;&lt;key app="EN" db-id="ews5ve9enfwav7etdtjvztfdrftvwrf9vrsx" timestamp="1545099137"&gt;288&lt;/key&gt;&lt;/foreign-keys&gt;&lt;ref-type name="Journal Article"&gt;17&lt;/ref-type&gt;&lt;contributors&gt;&lt;authors&gt;&lt;author&gt;Cosio, F. G.&lt;/author&gt;&lt;author&gt;Hickson, L. J.&lt;/author&gt;&lt;author&gt;Griffin, M. D.&lt;/author&gt;&lt;author&gt;Stegall, M. D.&lt;/author&gt;&lt;author&gt;Kudva, Y.&lt;/author&gt;&lt;/authors&gt;&lt;/contributors&gt;&lt;auth-address&gt;Department of Internal Medicine, Division of Nephrology and Hypertension and Transplant Center, Mayo Clinic College of Medicine, Rochester, MN, USA. Cosio.Fernando@mayo.edu&lt;/auth-address&gt;&lt;titles&gt;&lt;title&gt;Patient survival and cardiovascular risk after kidney transplantation: the challenge of diabetes&lt;/title&gt;&lt;secondary-title&gt;Am J Transplant&lt;/secondary-title&gt;&lt;/titles&gt;&lt;periodical&gt;&lt;full-title&gt;Am J Transplant&lt;/full-title&gt;&lt;/periodical&gt;&lt;pages&gt;593-9&lt;/pages&gt;&lt;volume&gt;8&lt;/volume&gt;&lt;number&gt;3&lt;/number&gt;&lt;edition&gt;2008/02/26&lt;/edition&gt;&lt;keywords&gt;&lt;keyword&gt;Cardiovascular Diseases/*epidemiology/etiology&lt;/keyword&gt;&lt;keyword&gt;Cohort Studies&lt;/keyword&gt;&lt;keyword&gt;Diabetes Mellitus/*diagnosis&lt;/keyword&gt;&lt;keyword&gt;Female&lt;/keyword&gt;&lt;keyword&gt;Humans&lt;/keyword&gt;&lt;keyword&gt;Incidence&lt;/keyword&gt;&lt;keyword&gt;Kidney Transplantation/*mortality&lt;/keyword&gt;&lt;keyword&gt;Male&lt;/keyword&gt;&lt;keyword&gt;Risk Factors&lt;/keyword&gt;&lt;keyword&gt;Survival Analysis&lt;/keyword&gt;&lt;/keywords&gt;&lt;dates&gt;&lt;year&gt;2008&lt;/year&gt;&lt;pub-dates&gt;&lt;date&gt;Mar&lt;/date&gt;&lt;/pub-dates&gt;&lt;/dates&gt;&lt;isbn&gt;1600-6143 (Electronic)&amp;#xD;1600-6135 (Linking)&lt;/isbn&gt;&lt;accession-num&gt;18294155&lt;/accession-num&gt;&lt;urls&gt;&lt;related-urls&gt;&lt;url&gt;https://www.ncbi.nlm.nih.gov/pubmed/18294155&lt;/url&gt;&lt;/related-urls&gt;&lt;/urls&gt;&lt;electronic-resource-num&gt;10.1111/j.1600-6143.2007.02101.x&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(Cosio, Hickson, Griffin, Stegall, &amp; Kudva, 2008)</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t>
      </w:r>
      <w:r w:rsidRPr="009D683D">
        <w:rPr>
          <w:rFonts w:ascii="Calibri" w:eastAsia="Calibri" w:hAnsi="Calibri" w:cs="Calibri"/>
          <w:sz w:val="22"/>
          <w:szCs w:val="24"/>
        </w:rPr>
        <w:t xml:space="preserve">Indigenous patients’ comorbidity burden is further exacerbated by socio-economic factors such as access to accommodation, quality and quantity of food and appropriate clothing (particularly footwear) </w:t>
      </w:r>
      <w:r w:rsidRPr="009D683D">
        <w:rPr>
          <w:rFonts w:ascii="Calibri" w:eastAsia="Calibri" w:hAnsi="Calibri" w:cs="Calibri"/>
          <w:sz w:val="22"/>
          <w:szCs w:val="24"/>
        </w:rPr>
        <w:fldChar w:fldCharType="begin">
          <w:fldData xml:space="preserve">PEVuZE5vdGU+PENpdGU+PEF1dGhvcj5Ub25nPC9BdXRob3I+PFllYXI+MjAxMTwvWWVhcj48UmVj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</w:fldData>
        </w:fldChar>
      </w:r>
      <w:r w:rsidRPr="009D683D">
        <w:rPr>
          <w:rFonts w:ascii="Calibri" w:eastAsia="Calibri" w:hAnsi="Calibri" w:cs="Calibri"/>
          <w:sz w:val="22"/>
          <w:szCs w:val="24"/>
        </w:rPr>
        <w:instrText xml:space="preserve"> ADDIN EN.CITE </w:instrText>
      </w:r>
      <w:r w:rsidRPr="009D683D">
        <w:rPr>
          <w:rFonts w:ascii="Calibri" w:eastAsia="Calibri" w:hAnsi="Calibri" w:cs="Calibri"/>
          <w:sz w:val="22"/>
          <w:szCs w:val="24"/>
        </w:rPr>
        <w:fldChar w:fldCharType="begin">
          <w:fldData xml:space="preserve">PEVuZE5vdGU+PENpdGU+PEF1dGhvcj5Ub25nPC9BdXRob3I+PFllYXI+MjAxMTwvWWVhcj48UmVj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</w:fldData>
        </w:fldChar>
      </w:r>
      <w:r w:rsidRPr="009D683D">
        <w:rPr>
          <w:rFonts w:ascii="Calibri" w:eastAsia="Calibri" w:hAnsi="Calibri" w:cs="Calibri"/>
          <w:sz w:val="22"/>
          <w:szCs w:val="24"/>
        </w:rPr>
        <w:instrText xml:space="preserve"> ADDIN EN.CITE.DATA </w:instrText>
      </w:r>
      <w:r w:rsidRPr="009D683D">
        <w:rPr>
          <w:rFonts w:ascii="Calibri" w:eastAsia="Calibri" w:hAnsi="Calibri" w:cs="Calibri"/>
          <w:sz w:val="22"/>
          <w:szCs w:val="24"/>
        </w:rPr>
      </w:r>
      <w:r w:rsidRPr="009D683D">
        <w:rPr>
          <w:rFonts w:ascii="Calibri" w:eastAsia="Calibri" w:hAnsi="Calibri" w:cs="Calibri"/>
          <w:sz w:val="22"/>
          <w:szCs w:val="24"/>
        </w:rPr>
        <w:fldChar w:fldCharType="end"/>
      </w:r>
      <w:r w:rsidRPr="009D683D">
        <w:rPr>
          <w:rFonts w:ascii="Calibri" w:eastAsia="Calibri" w:hAnsi="Calibri" w:cs="Calibri"/>
          <w:sz w:val="22"/>
          <w:szCs w:val="24"/>
        </w:rPr>
      </w:r>
      <w:r w:rsidRPr="009D683D">
        <w:rPr>
          <w:rFonts w:ascii="Calibri" w:eastAsia="Calibri" w:hAnsi="Calibri" w:cs="Calibri"/>
          <w:sz w:val="22"/>
          <w:szCs w:val="24"/>
        </w:rPr>
        <w:fldChar w:fldCharType="separate"/>
      </w:r>
      <w:r w:rsidRPr="009D683D">
        <w:rPr>
          <w:rFonts w:ascii="Calibri" w:eastAsia="Calibri" w:hAnsi="Calibri" w:cs="Calibri"/>
          <w:noProof/>
          <w:sz w:val="22"/>
          <w:szCs w:val="24"/>
        </w:rPr>
        <w:t>(Dole, 2013; Majoni &amp; Abeyaratne, 2013; Tong et al., 2011)</w:t>
      </w:r>
      <w:r w:rsidRPr="009D683D">
        <w:rPr>
          <w:rFonts w:ascii="Calibri" w:eastAsia="Calibri" w:hAnsi="Calibri" w:cs="Calibri"/>
          <w:sz w:val="22"/>
          <w:szCs w:val="24"/>
        </w:rPr>
        <w:fldChar w:fldCharType="end"/>
      </w:r>
      <w:r w:rsidRPr="009D683D">
        <w:rPr>
          <w:rFonts w:ascii="Calibri" w:eastAsia="Calibri" w:hAnsi="Calibri" w:cs="Calibri"/>
          <w:szCs w:val="24"/>
        </w:rPr>
        <w:t xml:space="preserve">. </w:t>
      </w:r>
      <w:r w:rsidRPr="009D683D">
        <w:rPr>
          <w:rFonts w:ascii="Calibri" w:eastAsia="Calibri" w:hAnsi="Calibri" w:cs="Calibri"/>
          <w:sz w:val="22"/>
          <w:szCs w:val="24"/>
        </w:rPr>
        <w:t>The longer patients remain on dialysis and the transplant waitlist, the greater the probability that these conditions will take their toll, reducing the chance of receiving a kidney transplant.</w:t>
      </w:r>
    </w:p>
    <w:p w14:paraId="2762BD01" w14:textId="77777777" w:rsidR="009D683D" w:rsidRPr="009D683D" w:rsidRDefault="009D683D" w:rsidP="009D683D">
      <w:pPr>
        <w:spacing w:line="276" w:lineRule="auto"/>
        <w:jc w:val="both"/>
        <w:rPr>
          <w:rFonts w:ascii="Calibri" w:eastAsia="Calibri" w:hAnsi="Calibri" w:cs="Calibri"/>
          <w:sz w:val="22"/>
          <w:szCs w:val="24"/>
        </w:rPr>
      </w:pPr>
      <w:r w:rsidRPr="009D683D">
        <w:rPr>
          <w:rFonts w:ascii="Calibri" w:eastAsia="Calibri" w:hAnsi="Calibri" w:cs="Calibri"/>
          <w:sz w:val="22"/>
          <w:szCs w:val="24"/>
        </w:rPr>
        <w:t xml:space="preserve">Fulfilling requirements to stay on the waitlist can be particularly challenging for rural and remote Indigenous patients. Following the initial transplant assessment, waitlisted patients are required to undertake annual reassessments </w:t>
      </w:r>
      <w:r w:rsidRPr="009D683D">
        <w:rPr>
          <w:rFonts w:ascii="Calibri" w:eastAsia="Calibri" w:hAnsi="Calibri" w:cs="Calibri"/>
          <w:sz w:val="22"/>
          <w:szCs w:val="24"/>
        </w:rPr>
        <w:fldChar w:fldCharType="begin"/>
      </w:r>
      <w:r w:rsidRPr="009D683D">
        <w:rPr>
          <w:rFonts w:ascii="Calibri" w:eastAsia="Calibri" w:hAnsi="Calibri" w:cs="Calibri"/>
          <w:sz w:val="22"/>
          <w:szCs w:val="24"/>
        </w:rPr>
        <w:instrText xml:space="preserve"> ADDIN EN.CITE &lt;EndNote&gt;&lt;Cite&gt;&lt;Author&gt;TSANZ&lt;/Author&gt;&lt;Year&gt;2018&lt;/Year&gt;&lt;RecNum&gt;359&lt;/RecNum&gt;&lt;DisplayText&gt;(TSANZ, 2018)&lt;/DisplayText&gt;&lt;record&gt;&lt;rec-number&gt;359&lt;/rec-number&gt;&lt;foreign-keys&gt;&lt;key app="EN" db-id="ews5ve9enfwav7etdtjvztfdrftvwrf9vrsx" timestamp="1546831435"&gt;359&lt;/key&gt;&lt;/foreign-keys&gt;&lt;ref-type name="Government Document"&gt;46&lt;/ref-type&gt;&lt;contributors&gt;&lt;authors&gt;&lt;author&gt;TSANZ&lt;/author&gt;&lt;/authors&gt;&lt;secondary-authors&gt;&lt;author&gt;TSANZ&lt;/author&gt;&lt;/secondary-authors&gt;&lt;/contributors&gt;&lt;titles&gt;&lt;title&gt;Clinical Guidelines for Organ Transplantation from Deceased Donors&lt;/title&gt;&lt;/titles&gt;&lt;dates&gt;&lt;year&gt;2018&lt;/year&gt;&lt;/dates&gt;&lt;pub-location&gt;Sydney, Australia&lt;/pub-location&gt;&lt;publisher&gt;Transplant Society of Australia and New Zealand&lt;/publisher&gt;&lt;urls&gt;&lt;related-urls&gt;&lt;url&gt;https://www.tsanz.com.au/Clinical%20Guidelines%20-Dec%202018.pdf&lt;/url&gt;&lt;/related-urls&gt;&lt;/urls&gt;&lt;/record&gt;&lt;/Cite&gt;&lt;/EndNote&gt;</w:instrText>
      </w:r>
      <w:r w:rsidRPr="009D683D">
        <w:rPr>
          <w:rFonts w:ascii="Calibri" w:eastAsia="Calibri" w:hAnsi="Calibri" w:cs="Calibri"/>
          <w:sz w:val="22"/>
          <w:szCs w:val="24"/>
        </w:rPr>
        <w:fldChar w:fldCharType="separate"/>
      </w:r>
      <w:r w:rsidRPr="009D683D">
        <w:rPr>
          <w:rFonts w:ascii="Calibri" w:eastAsia="Calibri" w:hAnsi="Calibri" w:cs="Calibri"/>
          <w:noProof/>
          <w:sz w:val="22"/>
          <w:szCs w:val="24"/>
        </w:rPr>
        <w:t>(TSANZ, 2018)</w:t>
      </w:r>
      <w:r w:rsidRPr="009D683D">
        <w:rPr>
          <w:rFonts w:ascii="Calibri" w:eastAsia="Calibri" w:hAnsi="Calibri" w:cs="Calibri"/>
          <w:sz w:val="22"/>
          <w:szCs w:val="24"/>
        </w:rPr>
        <w:fldChar w:fldCharType="end"/>
      </w:r>
      <w:r w:rsidRPr="009D683D">
        <w:rPr>
          <w:rFonts w:ascii="Calibri" w:eastAsia="Calibri" w:hAnsi="Calibri" w:cs="Calibri"/>
          <w:sz w:val="22"/>
          <w:szCs w:val="24"/>
        </w:rPr>
        <w:t xml:space="preserve">. For rural and remote patients, this commonly necessitates extensive logistical planning given the number of assessments that need to be completed and the lack of essential services in close proximity. Difficulties associated with maintaining currency of tests means patients may find themselves in a constant cycle of examinations, rather than a single set of tests that roll around once a year. </w:t>
      </w:r>
    </w:p>
    <w:p w14:paraId="11F99BA5" w14:textId="77777777" w:rsidR="009D683D" w:rsidRPr="009D683D" w:rsidRDefault="009D683D" w:rsidP="009D683D">
      <w:pPr>
        <w:keepNext/>
        <w:keepLines/>
        <w:numPr>
          <w:ilvl w:val="2"/>
          <w:numId w:val="0"/>
        </w:numPr>
        <w:spacing w:before="40" w:after="0"/>
        <w:ind w:left="720" w:hanging="720"/>
        <w:outlineLvl w:val="2"/>
        <w:rPr>
          <w:rFonts w:ascii="Calibri Light" w:eastAsia="Times New Roman" w:hAnsi="Calibri Light" w:cs="Times New Roman"/>
          <w:sz w:val="24"/>
          <w:szCs w:val="24"/>
        </w:rPr>
      </w:pPr>
      <w:bookmarkStart w:id="48" w:name="_Toc2585812"/>
      <w:r w:rsidRPr="009D683D">
        <w:rPr>
          <w:rFonts w:ascii="Calibri Light" w:eastAsia="Times New Roman" w:hAnsi="Calibri Light" w:cs="Times New Roman"/>
          <w:sz w:val="24"/>
          <w:szCs w:val="24"/>
        </w:rPr>
        <w:t>Surgical assessment</w:t>
      </w:r>
      <w:bookmarkEnd w:id="48"/>
    </w:p>
    <w:p w14:paraId="2FD4B8F9"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Despite improved operative techniques and immunosuppressive regimens, surgical complications following a kidney transplant remain an important challenge that can increase morbidity, </w:t>
      </w:r>
      <w:r w:rsidRPr="009D683D">
        <w:rPr>
          <w:rFonts w:ascii="Calibri" w:eastAsia="Calibri" w:hAnsi="Calibri" w:cs="Times New Roman"/>
          <w:sz w:val="22"/>
        </w:rPr>
        <w:lastRenderedPageBreak/>
        <w:t xml:space="preserve">hospitalisation and costs. Surgical complications occurring in the general population after a kidney transplant are well described, including surgical site infections (occurring in 4% - 7.5% of patients), wound healing disorders (occurring in around 20% of patients), urologic complications (occurring in 2.4% - 14% of patients) and arterial and venous thrombosis (occurring in less than 5% of patients), </w:t>
      </w:r>
      <w:r w:rsidRPr="009D683D">
        <w:rPr>
          <w:rFonts w:ascii="Calibri" w:eastAsia="Calibri" w:hAnsi="Calibri" w:cs="Times New Roman"/>
          <w:sz w:val="22"/>
        </w:rPr>
        <w:fldChar w:fldCharType="begin">
          <w:fldData xml:space="preserve">PEVuZE5vdGU+PENpdGU+PEF1dGhvcj5Qb3VybWFuZDwvQXV0aG9yPjxZZWFyPjIwMTI8L1llYXI+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PEVuZE5vdGU+PENpdGU+PEF1dGhvcj5Qb3VybWFuZDwvQXV0aG9yPjxZZWFyPjIwMTI8L1llYXI+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(Di Carlo &amp; Darras, 2015; Katz et al., 2003; Pourmand et al., 2012)</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Very little is known about the prevalence and antecedents of these complications in the Indigenous patient population. However, anecdotal evidence suggests that Indigenous recipients are at greater risk of wound healing disorders and urologic complications due to higher rates of overweight and obesity and cultural rituals that involve the circumcision and subincision of the penis and urethra. Further research is needed to determine whether tailored pre-transplant surgical assessment and post-transplant monitoring and management protocols are required to reduce the occurrence of surgical complications and adverse outcomes in Indigenous transplant recipients. </w:t>
      </w:r>
    </w:p>
    <w:p w14:paraId="0EC8EC7F"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One of the few studies to explore the burden and pattern of infection following renal transplantation in Indigenous (</w:t>
      </w:r>
      <w:r w:rsidRPr="009D683D">
        <w:rPr>
          <w:rFonts w:ascii="Calibri" w:eastAsia="Calibri" w:hAnsi="Calibri" w:cs="Times New Roman"/>
          <w:i/>
          <w:sz w:val="22"/>
        </w:rPr>
        <w:t>n</w:t>
      </w:r>
      <w:r w:rsidRPr="009D683D">
        <w:rPr>
          <w:rFonts w:ascii="Calibri" w:eastAsia="Calibri" w:hAnsi="Calibri" w:cs="Times New Roman"/>
          <w:sz w:val="22"/>
        </w:rPr>
        <w:t xml:space="preserve"> = 57) compared to non-Indigenous (</w:t>
      </w:r>
      <w:r w:rsidRPr="009D683D">
        <w:rPr>
          <w:rFonts w:ascii="Calibri" w:eastAsia="Calibri" w:hAnsi="Calibri" w:cs="Times New Roman"/>
          <w:i/>
          <w:sz w:val="22"/>
        </w:rPr>
        <w:t>n</w:t>
      </w:r>
      <w:r w:rsidRPr="009D683D">
        <w:rPr>
          <w:rFonts w:ascii="Calibri" w:eastAsia="Calibri" w:hAnsi="Calibri" w:cs="Times New Roman"/>
          <w:sz w:val="22"/>
        </w:rPr>
        <w:t xml:space="preserve"> = 84) patients found that there was a non-significant trend of more admission days because of infection in the first year in the Indigenous compared to non-Indigenous group, and pneumonia and cryptosporidium were more frequent causes of infectious admission in the Indigenous group, as outlined in Table 6 </w:t>
      </w:r>
      <w:r w:rsidRPr="009D683D">
        <w:rPr>
          <w:rFonts w:ascii="Calibri" w:eastAsia="Calibri" w:hAnsi="Calibri" w:cs="Times New Roman"/>
          <w:sz w:val="22"/>
        </w:rPr>
        <w:fldChar w:fldCharType="begin">
          <w:fldData xml:space="preserve">PEVuZE5vdGU+PENpdGU+PEF1dGhvcj5Cb2FuPC9BdXRob3I+PFllYXI+MjAxNzwvWWVhcj48UmVj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PEVuZE5vdGU+PENpdGU+PEF1dGhvcj5Cb2FuPC9BdXRob3I+PFllYXI+MjAxNzwvWWVhcj48UmVj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(Boan et al., 2017)</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t>
      </w:r>
    </w:p>
    <w:p w14:paraId="4D2574EA" w14:textId="77777777" w:rsidR="009D683D" w:rsidRPr="009D683D" w:rsidRDefault="009D683D" w:rsidP="009D683D">
      <w:pPr>
        <w:spacing w:after="120" w:line="276" w:lineRule="auto"/>
        <w:jc w:val="both"/>
        <w:rPr>
          <w:rFonts w:ascii="Calibri" w:eastAsia="Calibri" w:hAnsi="Calibri" w:cs="Times New Roman"/>
          <w:sz w:val="22"/>
        </w:rPr>
      </w:pPr>
      <w:r w:rsidRPr="009D683D">
        <w:rPr>
          <w:rFonts w:ascii="Calibri" w:eastAsia="Calibri" w:hAnsi="Calibri" w:cs="Times New Roman"/>
          <w:i/>
          <w:sz w:val="22"/>
        </w:rPr>
        <w:t xml:space="preserve">Table 6: </w:t>
      </w:r>
      <w:r w:rsidRPr="009D683D">
        <w:rPr>
          <w:rFonts w:ascii="Calibri" w:eastAsia="Calibri" w:hAnsi="Calibri" w:cs="Times New Roman"/>
          <w:sz w:val="22"/>
        </w:rPr>
        <w:t xml:space="preserve">Admission days in the </w:t>
      </w:r>
      <w:proofErr w:type="gramStart"/>
      <w:r w:rsidRPr="009D683D">
        <w:rPr>
          <w:rFonts w:ascii="Calibri" w:eastAsia="Calibri" w:hAnsi="Calibri" w:cs="Times New Roman"/>
          <w:sz w:val="22"/>
        </w:rPr>
        <w:t>first year</w:t>
      </w:r>
      <w:proofErr w:type="gramEnd"/>
      <w:r w:rsidRPr="009D683D">
        <w:rPr>
          <w:rFonts w:ascii="Calibri" w:eastAsia="Calibri" w:hAnsi="Calibri" w:cs="Times New Roman"/>
          <w:sz w:val="22"/>
        </w:rPr>
        <w:t xml:space="preserve"> post-transplant according to site of infection in Indigenous versus non-Indigenous kidney transplant recipients (</w:t>
      </w:r>
      <w:proofErr w:type="spellStart"/>
      <w:r w:rsidRPr="009D683D">
        <w:rPr>
          <w:rFonts w:ascii="Calibri" w:eastAsia="Calibri" w:hAnsi="Calibri" w:cs="Times New Roman"/>
          <w:sz w:val="22"/>
        </w:rPr>
        <w:t>Boan</w:t>
      </w:r>
      <w:proofErr w:type="spellEnd"/>
      <w:r w:rsidRPr="009D683D">
        <w:rPr>
          <w:rFonts w:ascii="Calibri" w:eastAsia="Calibri" w:hAnsi="Calibri" w:cs="Times New Roman"/>
          <w:sz w:val="22"/>
        </w:rPr>
        <w:t xml:space="preserve"> et al., 2017).</w:t>
      </w:r>
    </w:p>
    <w:tbl>
      <w:tblPr>
        <w:tblStyle w:val="ListTable311"/>
        <w:tblW w:w="0" w:type="auto"/>
        <w:tblLook w:val="04A0" w:firstRow="1" w:lastRow="0" w:firstColumn="1" w:lastColumn="0" w:noHBand="0" w:noVBand="1"/>
      </w:tblPr>
      <w:tblGrid>
        <w:gridCol w:w="2347"/>
        <w:gridCol w:w="2786"/>
        <w:gridCol w:w="3020"/>
        <w:gridCol w:w="863"/>
      </w:tblGrid>
      <w:tr w:rsidR="009D683D" w:rsidRPr="009D683D" w14:paraId="23381F0E" w14:textId="77777777" w:rsidTr="009D68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3103185D" w14:textId="77777777" w:rsidR="009D683D" w:rsidRPr="009D683D" w:rsidRDefault="009D683D" w:rsidP="009D683D">
            <w:pPr>
              <w:rPr>
                <w:rFonts w:ascii="Calibri" w:eastAsia="Calibri" w:hAnsi="Calibri" w:cs="Times New Roman"/>
                <w:sz w:val="22"/>
              </w:rPr>
            </w:pPr>
          </w:p>
        </w:tc>
        <w:tc>
          <w:tcPr>
            <w:tcW w:w="0" w:type="auto"/>
          </w:tcPr>
          <w:p w14:paraId="5ECA7C14" w14:textId="77777777" w:rsidR="009D683D" w:rsidRPr="009D683D" w:rsidRDefault="009D683D" w:rsidP="009D683D">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Indigenous patient admission days (</w:t>
            </w:r>
            <w:r w:rsidRPr="009D683D">
              <w:rPr>
                <w:rFonts w:ascii="Calibri" w:eastAsia="Calibri" w:hAnsi="Calibri" w:cs="Times New Roman"/>
                <w:i/>
                <w:sz w:val="22"/>
              </w:rPr>
              <w:t xml:space="preserve">n = </w:t>
            </w:r>
            <w:r w:rsidRPr="009D683D">
              <w:rPr>
                <w:rFonts w:ascii="Calibri" w:eastAsia="Calibri" w:hAnsi="Calibri" w:cs="Times New Roman"/>
                <w:sz w:val="22"/>
              </w:rPr>
              <w:t>568)</w:t>
            </w:r>
          </w:p>
          <w:p w14:paraId="1906F25F" w14:textId="77777777" w:rsidR="009D683D" w:rsidRPr="009D683D" w:rsidRDefault="009D683D" w:rsidP="009D683D">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i/>
                <w:sz w:val="22"/>
              </w:rPr>
            </w:pPr>
            <w:r w:rsidRPr="009D683D">
              <w:rPr>
                <w:rFonts w:ascii="Calibri" w:eastAsia="Calibri" w:hAnsi="Calibri" w:cs="Times New Roman"/>
                <w:i/>
                <w:sz w:val="22"/>
              </w:rPr>
              <w:t>n (%)</w:t>
            </w:r>
          </w:p>
        </w:tc>
        <w:tc>
          <w:tcPr>
            <w:tcW w:w="0" w:type="auto"/>
          </w:tcPr>
          <w:p w14:paraId="3A8CD797" w14:textId="77777777" w:rsidR="009D683D" w:rsidRPr="009D683D" w:rsidRDefault="009D683D" w:rsidP="009D683D">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Non-Indigenous patient admission days (</w:t>
            </w:r>
            <w:r w:rsidRPr="009D683D">
              <w:rPr>
                <w:rFonts w:ascii="Calibri" w:eastAsia="Calibri" w:hAnsi="Calibri" w:cs="Times New Roman"/>
                <w:i/>
                <w:sz w:val="22"/>
              </w:rPr>
              <w:t xml:space="preserve">n = </w:t>
            </w:r>
            <w:r w:rsidRPr="009D683D">
              <w:rPr>
                <w:rFonts w:ascii="Calibri" w:eastAsia="Calibri" w:hAnsi="Calibri" w:cs="Times New Roman"/>
                <w:sz w:val="22"/>
              </w:rPr>
              <w:t>458)</w:t>
            </w:r>
          </w:p>
          <w:p w14:paraId="483794B8" w14:textId="77777777" w:rsidR="009D683D" w:rsidRPr="009D683D" w:rsidRDefault="009D683D" w:rsidP="009D683D">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i/>
                <w:sz w:val="22"/>
              </w:rPr>
              <w:t>n (%)</w:t>
            </w:r>
          </w:p>
        </w:tc>
        <w:tc>
          <w:tcPr>
            <w:tcW w:w="0" w:type="auto"/>
          </w:tcPr>
          <w:p w14:paraId="17514105" w14:textId="77777777" w:rsidR="009D683D" w:rsidRPr="009D683D" w:rsidRDefault="009D683D" w:rsidP="009D683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i/>
                <w:sz w:val="22"/>
              </w:rPr>
              <w:t>P</w:t>
            </w:r>
            <w:r w:rsidRPr="009D683D">
              <w:rPr>
                <w:rFonts w:ascii="Calibri" w:eastAsia="Calibri" w:hAnsi="Calibri" w:cs="Times New Roman"/>
                <w:sz w:val="22"/>
              </w:rPr>
              <w:t>-value</w:t>
            </w:r>
          </w:p>
        </w:tc>
      </w:tr>
      <w:tr w:rsidR="009D683D" w:rsidRPr="009D683D" w14:paraId="78E59B01" w14:textId="77777777" w:rsidTr="009D6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0C2571"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Urine</w:t>
            </w:r>
          </w:p>
        </w:tc>
        <w:tc>
          <w:tcPr>
            <w:tcW w:w="0" w:type="auto"/>
          </w:tcPr>
          <w:p w14:paraId="5C053338" w14:textId="77777777" w:rsidR="009D683D" w:rsidRPr="009D683D" w:rsidRDefault="009D683D" w:rsidP="009D683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116 (20)</w:t>
            </w:r>
          </w:p>
        </w:tc>
        <w:tc>
          <w:tcPr>
            <w:tcW w:w="0" w:type="auto"/>
          </w:tcPr>
          <w:p w14:paraId="4E8ADD02" w14:textId="77777777" w:rsidR="009D683D" w:rsidRPr="009D683D" w:rsidRDefault="009D683D" w:rsidP="009D683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174 (38)</w:t>
            </w:r>
          </w:p>
        </w:tc>
        <w:tc>
          <w:tcPr>
            <w:tcW w:w="0" w:type="auto"/>
          </w:tcPr>
          <w:p w14:paraId="404D849F" w14:textId="77777777" w:rsidR="009D683D" w:rsidRPr="009D683D" w:rsidRDefault="009D683D" w:rsidP="009D683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&lt;0.001</w:t>
            </w:r>
          </w:p>
        </w:tc>
      </w:tr>
      <w:tr w:rsidR="009D683D" w:rsidRPr="009D683D" w14:paraId="00C308F6" w14:textId="77777777" w:rsidTr="009D683D">
        <w:tc>
          <w:tcPr>
            <w:cnfStyle w:val="001000000000" w:firstRow="0" w:lastRow="0" w:firstColumn="1" w:lastColumn="0" w:oddVBand="0" w:evenVBand="0" w:oddHBand="0" w:evenHBand="0" w:firstRowFirstColumn="0" w:firstRowLastColumn="0" w:lastRowFirstColumn="0" w:lastRowLastColumn="0"/>
            <w:tcW w:w="0" w:type="auto"/>
          </w:tcPr>
          <w:p w14:paraId="1B786E00"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 xml:space="preserve">Bacteraemia </w:t>
            </w:r>
          </w:p>
        </w:tc>
        <w:tc>
          <w:tcPr>
            <w:tcW w:w="0" w:type="auto"/>
          </w:tcPr>
          <w:p w14:paraId="7620BA8E" w14:textId="77777777" w:rsidR="009D683D" w:rsidRPr="009D683D" w:rsidRDefault="009D683D" w:rsidP="009D683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92 (16)</w:t>
            </w:r>
          </w:p>
        </w:tc>
        <w:tc>
          <w:tcPr>
            <w:tcW w:w="0" w:type="auto"/>
          </w:tcPr>
          <w:p w14:paraId="60A1E181" w14:textId="77777777" w:rsidR="009D683D" w:rsidRPr="009D683D" w:rsidRDefault="009D683D" w:rsidP="009D683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82 (18)</w:t>
            </w:r>
          </w:p>
        </w:tc>
        <w:tc>
          <w:tcPr>
            <w:tcW w:w="0" w:type="auto"/>
          </w:tcPr>
          <w:p w14:paraId="3D54FEE2" w14:textId="77777777" w:rsidR="009D683D" w:rsidRPr="009D683D" w:rsidRDefault="009D683D" w:rsidP="009D683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0.503</w:t>
            </w:r>
          </w:p>
        </w:tc>
      </w:tr>
      <w:tr w:rsidR="009D683D" w:rsidRPr="009D683D" w14:paraId="09F9BDA4" w14:textId="77777777" w:rsidTr="009D6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3B6536"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Wound</w:t>
            </w:r>
          </w:p>
        </w:tc>
        <w:tc>
          <w:tcPr>
            <w:tcW w:w="0" w:type="auto"/>
          </w:tcPr>
          <w:p w14:paraId="62A6AA06" w14:textId="77777777" w:rsidR="009D683D" w:rsidRPr="009D683D" w:rsidRDefault="009D683D" w:rsidP="009D683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88 (15)</w:t>
            </w:r>
          </w:p>
        </w:tc>
        <w:tc>
          <w:tcPr>
            <w:tcW w:w="0" w:type="auto"/>
          </w:tcPr>
          <w:p w14:paraId="2ED59294" w14:textId="77777777" w:rsidR="009D683D" w:rsidRPr="009D683D" w:rsidRDefault="009D683D" w:rsidP="009D683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26 (6)</w:t>
            </w:r>
          </w:p>
        </w:tc>
        <w:tc>
          <w:tcPr>
            <w:tcW w:w="0" w:type="auto"/>
          </w:tcPr>
          <w:p w14:paraId="52650EE8" w14:textId="77777777" w:rsidR="009D683D" w:rsidRPr="009D683D" w:rsidRDefault="009D683D" w:rsidP="009D683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&lt;0.001</w:t>
            </w:r>
          </w:p>
        </w:tc>
      </w:tr>
      <w:tr w:rsidR="009D683D" w:rsidRPr="009D683D" w14:paraId="309BAAD3" w14:textId="77777777" w:rsidTr="009D683D">
        <w:tc>
          <w:tcPr>
            <w:cnfStyle w:val="001000000000" w:firstRow="0" w:lastRow="0" w:firstColumn="1" w:lastColumn="0" w:oddVBand="0" w:evenVBand="0" w:oddHBand="0" w:evenHBand="0" w:firstRowFirstColumn="0" w:firstRowLastColumn="0" w:lastRowFirstColumn="0" w:lastRowLastColumn="0"/>
            <w:tcW w:w="0" w:type="auto"/>
          </w:tcPr>
          <w:p w14:paraId="4CECEA82"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Invasive Fungal Infection</w:t>
            </w:r>
          </w:p>
        </w:tc>
        <w:tc>
          <w:tcPr>
            <w:tcW w:w="0" w:type="auto"/>
          </w:tcPr>
          <w:p w14:paraId="37ED6454" w14:textId="77777777" w:rsidR="009D683D" w:rsidRPr="009D683D" w:rsidRDefault="009D683D" w:rsidP="009D683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58 (10)</w:t>
            </w:r>
          </w:p>
        </w:tc>
        <w:tc>
          <w:tcPr>
            <w:tcW w:w="0" w:type="auto"/>
          </w:tcPr>
          <w:p w14:paraId="292EC1F5" w14:textId="77777777" w:rsidR="009D683D" w:rsidRPr="009D683D" w:rsidRDefault="009D683D" w:rsidP="009D683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46 (10)</w:t>
            </w:r>
          </w:p>
        </w:tc>
        <w:tc>
          <w:tcPr>
            <w:tcW w:w="0" w:type="auto"/>
          </w:tcPr>
          <w:p w14:paraId="01D3ACDF" w14:textId="77777777" w:rsidR="009D683D" w:rsidRPr="009D683D" w:rsidRDefault="009D683D" w:rsidP="009D683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1.000</w:t>
            </w:r>
          </w:p>
        </w:tc>
      </w:tr>
      <w:tr w:rsidR="009D683D" w:rsidRPr="009D683D" w14:paraId="7C6FCE73" w14:textId="77777777" w:rsidTr="009D6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F522E4"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Pneumonia</w:t>
            </w:r>
          </w:p>
        </w:tc>
        <w:tc>
          <w:tcPr>
            <w:tcW w:w="0" w:type="auto"/>
          </w:tcPr>
          <w:p w14:paraId="7D48652F" w14:textId="77777777" w:rsidR="009D683D" w:rsidRPr="009D683D" w:rsidRDefault="009D683D" w:rsidP="009D683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56 (10)</w:t>
            </w:r>
          </w:p>
        </w:tc>
        <w:tc>
          <w:tcPr>
            <w:tcW w:w="0" w:type="auto"/>
          </w:tcPr>
          <w:p w14:paraId="5D5EAC8A" w14:textId="77777777" w:rsidR="009D683D" w:rsidRPr="009D683D" w:rsidRDefault="009D683D" w:rsidP="009D683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10 (2)</w:t>
            </w:r>
          </w:p>
        </w:tc>
        <w:tc>
          <w:tcPr>
            <w:tcW w:w="0" w:type="auto"/>
          </w:tcPr>
          <w:p w14:paraId="140E1CB4" w14:textId="77777777" w:rsidR="009D683D" w:rsidRPr="009D683D" w:rsidRDefault="009D683D" w:rsidP="009D683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&lt;0.001</w:t>
            </w:r>
          </w:p>
        </w:tc>
      </w:tr>
      <w:tr w:rsidR="009D683D" w:rsidRPr="009D683D" w14:paraId="2CD4BEBD" w14:textId="77777777" w:rsidTr="009D683D">
        <w:tc>
          <w:tcPr>
            <w:cnfStyle w:val="001000000000" w:firstRow="0" w:lastRow="0" w:firstColumn="1" w:lastColumn="0" w:oddVBand="0" w:evenVBand="0" w:oddHBand="0" w:evenHBand="0" w:firstRowFirstColumn="0" w:firstRowLastColumn="0" w:lastRowFirstColumn="0" w:lastRowLastColumn="0"/>
            <w:tcW w:w="0" w:type="auto"/>
          </w:tcPr>
          <w:p w14:paraId="6850004B"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Skin and Soft Tissue Infection</w:t>
            </w:r>
          </w:p>
        </w:tc>
        <w:tc>
          <w:tcPr>
            <w:tcW w:w="0" w:type="auto"/>
          </w:tcPr>
          <w:p w14:paraId="60283A73" w14:textId="77777777" w:rsidR="009D683D" w:rsidRPr="009D683D" w:rsidRDefault="009D683D" w:rsidP="009D683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11 (2)</w:t>
            </w:r>
          </w:p>
        </w:tc>
        <w:tc>
          <w:tcPr>
            <w:tcW w:w="0" w:type="auto"/>
          </w:tcPr>
          <w:p w14:paraId="02573BA0" w14:textId="77777777" w:rsidR="009D683D" w:rsidRPr="009D683D" w:rsidRDefault="009D683D" w:rsidP="009D683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18 (4)</w:t>
            </w:r>
          </w:p>
        </w:tc>
        <w:tc>
          <w:tcPr>
            <w:tcW w:w="0" w:type="auto"/>
          </w:tcPr>
          <w:p w14:paraId="6797278A" w14:textId="77777777" w:rsidR="009D683D" w:rsidRPr="009D683D" w:rsidRDefault="009D683D" w:rsidP="009D683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0.060</w:t>
            </w:r>
          </w:p>
        </w:tc>
      </w:tr>
      <w:tr w:rsidR="009D683D" w:rsidRPr="009D683D" w14:paraId="37D23A02" w14:textId="77777777" w:rsidTr="009D6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A62ED3"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 xml:space="preserve">Cryptosporidium </w:t>
            </w:r>
          </w:p>
        </w:tc>
        <w:tc>
          <w:tcPr>
            <w:tcW w:w="0" w:type="auto"/>
          </w:tcPr>
          <w:p w14:paraId="1A5F5083" w14:textId="77777777" w:rsidR="009D683D" w:rsidRPr="009D683D" w:rsidRDefault="009D683D" w:rsidP="009D683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90 (16)</w:t>
            </w:r>
          </w:p>
        </w:tc>
        <w:tc>
          <w:tcPr>
            <w:tcW w:w="0" w:type="auto"/>
          </w:tcPr>
          <w:p w14:paraId="55A06ECE" w14:textId="77777777" w:rsidR="009D683D" w:rsidRPr="009D683D" w:rsidRDefault="009D683D" w:rsidP="009D683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0 (0)</w:t>
            </w:r>
          </w:p>
        </w:tc>
        <w:tc>
          <w:tcPr>
            <w:tcW w:w="0" w:type="auto"/>
          </w:tcPr>
          <w:p w14:paraId="06C7BE0A" w14:textId="77777777" w:rsidR="009D683D" w:rsidRPr="009D683D" w:rsidRDefault="009D683D" w:rsidP="009D683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&lt;0.001</w:t>
            </w:r>
          </w:p>
        </w:tc>
      </w:tr>
      <w:tr w:rsidR="009D683D" w:rsidRPr="009D683D" w14:paraId="3EBE86CE" w14:textId="77777777" w:rsidTr="009D683D">
        <w:tc>
          <w:tcPr>
            <w:cnfStyle w:val="001000000000" w:firstRow="0" w:lastRow="0" w:firstColumn="1" w:lastColumn="0" w:oddVBand="0" w:evenVBand="0" w:oddHBand="0" w:evenHBand="0" w:firstRowFirstColumn="0" w:firstRowLastColumn="0" w:lastRowFirstColumn="0" w:lastRowLastColumn="0"/>
            <w:tcW w:w="0" w:type="auto"/>
          </w:tcPr>
          <w:p w14:paraId="1708374B"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Other</w:t>
            </w:r>
          </w:p>
        </w:tc>
        <w:tc>
          <w:tcPr>
            <w:tcW w:w="0" w:type="auto"/>
          </w:tcPr>
          <w:p w14:paraId="313E068C" w14:textId="77777777" w:rsidR="009D683D" w:rsidRPr="009D683D" w:rsidRDefault="009D683D" w:rsidP="009D683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57 (10)</w:t>
            </w:r>
          </w:p>
        </w:tc>
        <w:tc>
          <w:tcPr>
            <w:tcW w:w="0" w:type="auto"/>
          </w:tcPr>
          <w:p w14:paraId="338DFB95" w14:textId="77777777" w:rsidR="009D683D" w:rsidRPr="009D683D" w:rsidRDefault="009D683D" w:rsidP="009D683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102 (22)</w:t>
            </w:r>
          </w:p>
        </w:tc>
        <w:tc>
          <w:tcPr>
            <w:tcW w:w="0" w:type="auto"/>
          </w:tcPr>
          <w:p w14:paraId="68F94AFC" w14:textId="77777777" w:rsidR="009D683D" w:rsidRPr="009D683D" w:rsidRDefault="009D683D" w:rsidP="009D683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&lt;0.001</w:t>
            </w:r>
          </w:p>
        </w:tc>
      </w:tr>
    </w:tbl>
    <w:p w14:paraId="16A144D1" w14:textId="77777777" w:rsidR="0055104B" w:rsidRDefault="0055104B" w:rsidP="009D683D">
      <w:pPr>
        <w:spacing w:before="120" w:line="276" w:lineRule="auto"/>
        <w:jc w:val="both"/>
        <w:rPr>
          <w:rFonts w:ascii="Calibri" w:eastAsia="Calibri" w:hAnsi="Calibri" w:cs="Times New Roman"/>
          <w:sz w:val="22"/>
        </w:rPr>
      </w:pPr>
    </w:p>
    <w:p w14:paraId="2E465DD6" w14:textId="6CEB36C6" w:rsidR="009D683D" w:rsidRPr="009D683D" w:rsidRDefault="009D683D" w:rsidP="009D683D">
      <w:pPr>
        <w:spacing w:before="120" w:line="276" w:lineRule="auto"/>
        <w:jc w:val="both"/>
        <w:rPr>
          <w:rFonts w:ascii="Calibri" w:eastAsia="Calibri" w:hAnsi="Calibri" w:cs="Times New Roman"/>
          <w:sz w:val="22"/>
        </w:rPr>
      </w:pPr>
      <w:r w:rsidRPr="009D683D">
        <w:rPr>
          <w:rFonts w:ascii="Calibri" w:eastAsia="Calibri" w:hAnsi="Calibri" w:cs="Times New Roman"/>
          <w:sz w:val="22"/>
        </w:rPr>
        <w:t>An ANZDATA analysis of first deceased donor recipients in Australia from 2001 – 2017 found that the rate of technical graft loss within 30 days post-transplant is low for both non-Indigenous and Indigenous kidney transplant recipients (1.4% and 1.6% respectively). An expansive definition of technical graft loss was used, comprising renal artery stenosis and thrombosis, renal vein thrombosis, haemorrhage (primary and secondary), embolus (</w:t>
      </w:r>
      <w:proofErr w:type="spellStart"/>
      <w:r w:rsidRPr="009D683D">
        <w:rPr>
          <w:rFonts w:ascii="Calibri" w:eastAsia="Calibri" w:hAnsi="Calibri" w:cs="Times New Roman"/>
          <w:sz w:val="22"/>
        </w:rPr>
        <w:t>thrombo</w:t>
      </w:r>
      <w:proofErr w:type="spellEnd"/>
      <w:r w:rsidRPr="009D683D">
        <w:rPr>
          <w:rFonts w:ascii="Calibri" w:eastAsia="Calibri" w:hAnsi="Calibri" w:cs="Times New Roman"/>
          <w:sz w:val="22"/>
        </w:rPr>
        <w:t xml:space="preserve"> and cholesterol), non-viable kidney (due to pre-transplant cortical necrosis), cortical necrosis (not due to rejection), and ureteric and bladder problems. No clear relationship between technical graft loss and BMI was identified, which may reflect current waitlisting practices that prevent people with ‘unsafe’ BMI ranges from being listed for a kidney transplant. However, Indigenous recipients were significantly more likely to be in the upper BMI ranges compared to non-Indigenous recipients; 20.5% of Indigenous patients had a BMI greater </w:t>
      </w:r>
      <w:r w:rsidRPr="009D683D">
        <w:rPr>
          <w:rFonts w:ascii="Calibri" w:eastAsia="Calibri" w:hAnsi="Calibri" w:cs="Times New Roman"/>
          <w:sz w:val="22"/>
        </w:rPr>
        <w:lastRenderedPageBreak/>
        <w:t xml:space="preserve">than 30 compared to 16.9% of non-Indigenous patients, and 13.8% of Indigenous patients had a BMI greater than 35 compared to 8.4% of non-Indigenous patients. </w:t>
      </w:r>
    </w:p>
    <w:p w14:paraId="5C8A9BC7"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Multiple risk factors for surgical complications have been identified in kidney transplant recipients, including: obesity, diabetes, cardiovascular disease, acute cellular rejection, delayed graft function, and prolonged cold ischemia time </w:t>
      </w:r>
      <w:r w:rsidRPr="009D683D">
        <w:rPr>
          <w:rFonts w:ascii="Calibri" w:eastAsia="Calibri" w:hAnsi="Calibri" w:cs="Times New Roman"/>
          <w:sz w:val="22"/>
        </w:rPr>
        <w:fldChar w:fldCharType="begin">
          <w:fldData xml:space="preserve">PEVuZE5vdGU+PENpdGU+PEF1dGhvcj5IYXJyaXM8L0F1dGhvcj48WWVhcj4yMDE1PC9ZZWFyPjxS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PEVuZE5vdGU+PENpdGU+PEF1dGhvcj5IYXJyaXM8L0F1dGhvcj48WWVhcj4yMDE1PC9ZZWFyPjxS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(Harris et al., 2015)</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Obesity serves as both a direct and indirect risk factor for adverse short- and long-term effects, as outlined in Table 7. Given these associated technical difficulties, surgical site complications and outcome-related concerns, many transplant programs impose a maximum BMI eligibility threshold for kidney transplant candidates, though this is not formally recommended in the national eligibility guidelines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&lt;EndNote&gt;&lt;Cite&gt;&lt;Author&gt;TSANZ&lt;/Author&gt;&lt;Year&gt;2018&lt;/Year&gt;&lt;RecNum&gt;359&lt;/RecNum&gt;&lt;DisplayText&gt;(TSANZ, 2018)&lt;/DisplayText&gt;&lt;record&gt;&lt;rec-number&gt;359&lt;/rec-number&gt;&lt;foreign-keys&gt;&lt;key app="EN" db-id="ews5ve9enfwav7etdtjvztfdrftvwrf9vrsx" timestamp="1546831435"&gt;359&lt;/key&gt;&lt;/foreign-keys&gt;&lt;ref-type name="Government Document"&gt;46&lt;/ref-type&gt;&lt;contributors&gt;&lt;authors&gt;&lt;author&gt;TSANZ&lt;/author&gt;&lt;/authors&gt;&lt;secondary-authors&gt;&lt;author&gt;TSANZ&lt;/author&gt;&lt;/secondary-authors&gt;&lt;/contributors&gt;&lt;titles&gt;&lt;title&gt;Clinical Guidelines for Organ Transplantation from Deceased Donors&lt;/title&gt;&lt;/titles&gt;&lt;dates&gt;&lt;year&gt;2018&lt;/year&gt;&lt;/dates&gt;&lt;pub-location&gt;Sydney, Australia&lt;/pub-location&gt;&lt;publisher&gt;Transplant Society of Australia and New Zealand&lt;/publisher&gt;&lt;urls&gt;&lt;related-urls&gt;&lt;url&gt;https://www.tsanz.com.au/Clinical%20Guidelines%20-Dec%202018.pdf&lt;/url&gt;&lt;/related-urls&gt;&lt;/urls&gt;&lt;/record&gt;&lt;/Cite&gt;&lt;/EndNote&gt;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(TSANZ, 2018)</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t>
      </w:r>
    </w:p>
    <w:p w14:paraId="4C87149B" w14:textId="77777777" w:rsidR="009D683D" w:rsidRPr="009D683D" w:rsidRDefault="009D683D" w:rsidP="009D683D">
      <w:pPr>
        <w:spacing w:after="120" w:line="276" w:lineRule="auto"/>
        <w:rPr>
          <w:rFonts w:ascii="Calibri" w:eastAsia="Calibri" w:hAnsi="Calibri" w:cs="Times New Roman"/>
          <w:sz w:val="22"/>
        </w:rPr>
      </w:pPr>
      <w:bookmarkStart w:id="49" w:name="_Hlk534355263"/>
      <w:r w:rsidRPr="009D683D">
        <w:rPr>
          <w:rFonts w:ascii="Calibri" w:eastAsia="Calibri" w:hAnsi="Calibri" w:cs="Times New Roman"/>
          <w:i/>
          <w:sz w:val="22"/>
        </w:rPr>
        <w:t xml:space="preserve">Table 7: </w:t>
      </w:r>
      <w:r w:rsidRPr="009D683D">
        <w:rPr>
          <w:rFonts w:ascii="Calibri" w:eastAsia="Calibri" w:hAnsi="Calibri" w:cs="Times New Roman"/>
          <w:sz w:val="22"/>
        </w:rPr>
        <w:t xml:space="preserve">Direct and indirect effects of obesity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&lt;EndNote&gt;&lt;Cite&gt;&lt;Author&gt;Gill&lt;/Author&gt;&lt;Year&gt;2008&lt;/Year&gt;&lt;RecNum&gt;286&lt;/RecNum&gt;&lt;DisplayText&gt;(Gill, 2008)&lt;/DisplayText&gt;&lt;record&gt;&lt;rec-number&gt;286&lt;/rec-number&gt;&lt;foreign-keys&gt;&lt;key app="EN" db-id="ews5ve9enfwav7etdtjvztfdrftvwrf9vrsx" timestamp="1545098851"&gt;286&lt;/key&gt;&lt;/foreign-keys&gt;&lt;ref-type name="Journal Article"&gt;17&lt;/ref-type&gt;&lt;contributors&gt;&lt;authors&gt;&lt;author&gt;Gill, J. S.&lt;/author&gt;&lt;/authors&gt;&lt;/contributors&gt;&lt;auth-address&gt;Division of Nephrology, University of British Columbia, St. Paul&amp;apos;s Hospital, Providence Building, Ward 6a, 1081 Burrard Street, Vancouver, BC, Canada, V6Z 1Y6. jgill@providencehealth.bc.ca&lt;/auth-address&gt;&lt;titles&gt;&lt;title&gt;Cardiovascular disease in transplant recipients: current and future treatment strategies&lt;/title&gt;&lt;secondary-title&gt;Clin J Am Soc Nephrol&lt;/secondary-title&gt;&lt;/titles&gt;&lt;periodical&gt;&lt;full-title&gt;Clin J Am Soc Nephrol&lt;/full-title&gt;&lt;/periodical&gt;&lt;pages&gt;S29-37&lt;/pages&gt;&lt;volume&gt;3 &lt;/volume&gt;&lt;number&gt;Suppl 2&lt;/number&gt;&lt;edition&gt;2008/03/20&lt;/edition&gt;&lt;keywords&gt;&lt;keyword&gt;Cardiovascular Diseases/*epidemiology/*therapy&lt;/keyword&gt;&lt;keyword&gt;Humans&lt;/keyword&gt;&lt;keyword&gt;*Kidney Transplantation&lt;/keyword&gt;&lt;keyword&gt;Postoperative Complications/*epidemiology/*therapy&lt;/keyword&gt;&lt;keyword&gt;Risk Factors&lt;/keyword&gt;&lt;keyword&gt;Risk Reduction Behavior&lt;/keyword&gt;&lt;/keywords&gt;&lt;dates&gt;&lt;year&gt;2008&lt;/year&gt;&lt;pub-dates&gt;&lt;date&gt;Mar&lt;/date&gt;&lt;/pub-dates&gt;&lt;/dates&gt;&lt;publisher&gt;American Society of Nephrology&lt;/publisher&gt;&lt;isbn&gt;1555-905X (Electronic)&amp;#xD;1555-9041 (Linking)&lt;/isbn&gt;&lt;accession-num&gt;18309001&lt;/accession-num&gt;&lt;urls&gt;&lt;related-urls&gt;&lt;url&gt;https://www.ncbi.nlm.nih.gov/pubmed/18309001&lt;/url&gt;&lt;/related-urls&gt;&lt;/urls&gt;&lt;custom2&gt;PMC3152272&lt;/custom2&gt;&lt;electronic-resource-num&gt;10.2215/CJN.02690707&lt;/electronic-resource-num&gt;&lt;remote-database-name&gt;PubMed&lt;/remote-database-name&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(Gill, 2008)</w:t>
      </w:r>
      <w:r w:rsidRPr="009D683D">
        <w:rPr>
          <w:rFonts w:ascii="Calibri" w:eastAsia="Calibri" w:hAnsi="Calibri" w:cs="Times New Roman"/>
          <w:sz w:val="22"/>
        </w:rPr>
        <w:fldChar w:fldCharType="end"/>
      </w:r>
      <w:r w:rsidRPr="009D683D">
        <w:rPr>
          <w:rFonts w:ascii="Calibri" w:eastAsia="Calibri" w:hAnsi="Calibri" w:cs="Times New Roman"/>
          <w:sz w:val="22"/>
        </w:rPr>
        <w:t>.</w:t>
      </w:r>
    </w:p>
    <w:tbl>
      <w:tblPr>
        <w:tblStyle w:val="ListTable311"/>
        <w:tblW w:w="0" w:type="auto"/>
        <w:tblLook w:val="04A0" w:firstRow="1" w:lastRow="0" w:firstColumn="1" w:lastColumn="0" w:noHBand="0" w:noVBand="1"/>
      </w:tblPr>
      <w:tblGrid>
        <w:gridCol w:w="4106"/>
        <w:gridCol w:w="2573"/>
        <w:gridCol w:w="2337"/>
      </w:tblGrid>
      <w:tr w:rsidR="009D683D" w:rsidRPr="009D683D" w14:paraId="5C72ECC9" w14:textId="77777777" w:rsidTr="009D68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06" w:type="dxa"/>
          </w:tcPr>
          <w:p w14:paraId="752E6D0D" w14:textId="77777777" w:rsidR="009D683D" w:rsidRPr="009D683D" w:rsidRDefault="009D683D" w:rsidP="009D683D">
            <w:pPr>
              <w:rPr>
                <w:rFonts w:ascii="Calibri" w:eastAsia="Calibri" w:hAnsi="Calibri" w:cs="Times New Roman"/>
                <w:sz w:val="22"/>
              </w:rPr>
            </w:pPr>
            <w:bookmarkStart w:id="50" w:name="_Hlk534355293"/>
            <w:r w:rsidRPr="009D683D">
              <w:rPr>
                <w:rFonts w:ascii="Calibri" w:eastAsia="Calibri" w:hAnsi="Calibri" w:cs="Times New Roman"/>
                <w:sz w:val="22"/>
              </w:rPr>
              <w:t>Short-term direct effects</w:t>
            </w:r>
          </w:p>
        </w:tc>
        <w:tc>
          <w:tcPr>
            <w:tcW w:w="2573" w:type="dxa"/>
          </w:tcPr>
          <w:p w14:paraId="111A7766" w14:textId="77777777" w:rsidR="009D683D" w:rsidRPr="009D683D" w:rsidRDefault="009D683D" w:rsidP="009D683D">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Long-term direct effects</w:t>
            </w:r>
          </w:p>
        </w:tc>
        <w:tc>
          <w:tcPr>
            <w:tcW w:w="0" w:type="auto"/>
          </w:tcPr>
          <w:p w14:paraId="3F633848" w14:textId="77777777" w:rsidR="009D683D" w:rsidRPr="009D683D" w:rsidRDefault="009D683D" w:rsidP="009D683D">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Long-term indirect effects</w:t>
            </w:r>
          </w:p>
        </w:tc>
      </w:tr>
      <w:tr w:rsidR="009D683D" w:rsidRPr="009D683D" w14:paraId="036CDAFB" w14:textId="77777777" w:rsidTr="009D6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FF2B190"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Wound complications: delayed healing, infection &amp; sepsis</w:t>
            </w:r>
          </w:p>
        </w:tc>
        <w:tc>
          <w:tcPr>
            <w:tcW w:w="2573" w:type="dxa"/>
          </w:tcPr>
          <w:p w14:paraId="5C92B348" w14:textId="77777777" w:rsidR="009D683D" w:rsidRPr="009D683D" w:rsidRDefault="009D683D" w:rsidP="009D683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Increased risk of rejection</w:t>
            </w:r>
          </w:p>
        </w:tc>
        <w:tc>
          <w:tcPr>
            <w:tcW w:w="0" w:type="auto"/>
          </w:tcPr>
          <w:p w14:paraId="02F4C66C" w14:textId="77777777" w:rsidR="009D683D" w:rsidRPr="009D683D" w:rsidRDefault="009D683D" w:rsidP="009D683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Diabetes</w:t>
            </w:r>
          </w:p>
        </w:tc>
      </w:tr>
      <w:tr w:rsidR="009D683D" w:rsidRPr="009D683D" w14:paraId="729F750B" w14:textId="77777777" w:rsidTr="009D683D">
        <w:tc>
          <w:tcPr>
            <w:cnfStyle w:val="001000000000" w:firstRow="0" w:lastRow="0" w:firstColumn="1" w:lastColumn="0" w:oddVBand="0" w:evenVBand="0" w:oddHBand="0" w:evenHBand="0" w:firstRowFirstColumn="0" w:firstRowLastColumn="0" w:lastRowFirstColumn="0" w:lastRowLastColumn="0"/>
            <w:tcW w:w="4106" w:type="dxa"/>
          </w:tcPr>
          <w:p w14:paraId="02197614"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Lymphocele</w:t>
            </w:r>
          </w:p>
        </w:tc>
        <w:tc>
          <w:tcPr>
            <w:tcW w:w="2573" w:type="dxa"/>
          </w:tcPr>
          <w:p w14:paraId="25D38BCA" w14:textId="77777777" w:rsidR="009D683D" w:rsidRPr="009D683D" w:rsidRDefault="009D683D" w:rsidP="009D683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Increased risk of graft loss</w:t>
            </w:r>
          </w:p>
        </w:tc>
        <w:tc>
          <w:tcPr>
            <w:tcW w:w="0" w:type="auto"/>
          </w:tcPr>
          <w:p w14:paraId="3FA68740" w14:textId="77777777" w:rsidR="009D683D" w:rsidRPr="009D683D" w:rsidRDefault="009D683D" w:rsidP="009D683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Vascular disease</w:t>
            </w:r>
          </w:p>
        </w:tc>
      </w:tr>
      <w:tr w:rsidR="009D683D" w:rsidRPr="009D683D" w14:paraId="26C6C9CB" w14:textId="77777777" w:rsidTr="009D6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A5A1C2F"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Hematoma</w:t>
            </w:r>
          </w:p>
        </w:tc>
        <w:tc>
          <w:tcPr>
            <w:tcW w:w="2573" w:type="dxa"/>
          </w:tcPr>
          <w:p w14:paraId="1DF81436" w14:textId="77777777" w:rsidR="009D683D" w:rsidRPr="009D683D" w:rsidRDefault="009D683D" w:rsidP="009D683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512C2CFD" w14:textId="77777777" w:rsidR="009D683D" w:rsidRPr="009D683D" w:rsidRDefault="009D683D" w:rsidP="009D683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Cardiovascular disease</w:t>
            </w:r>
          </w:p>
        </w:tc>
      </w:tr>
      <w:tr w:rsidR="009D683D" w:rsidRPr="009D683D" w14:paraId="0FEDD5E6" w14:textId="77777777" w:rsidTr="009D683D">
        <w:tc>
          <w:tcPr>
            <w:cnfStyle w:val="001000000000" w:firstRow="0" w:lastRow="0" w:firstColumn="1" w:lastColumn="0" w:oddVBand="0" w:evenVBand="0" w:oddHBand="0" w:evenHBand="0" w:firstRowFirstColumn="0" w:firstRowLastColumn="0" w:lastRowFirstColumn="0" w:lastRowLastColumn="0"/>
            <w:tcW w:w="4106" w:type="dxa"/>
          </w:tcPr>
          <w:p w14:paraId="33382918"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Prolonged cold ischemia time &amp; delayed graft function</w:t>
            </w:r>
          </w:p>
        </w:tc>
        <w:tc>
          <w:tcPr>
            <w:tcW w:w="2573" w:type="dxa"/>
          </w:tcPr>
          <w:p w14:paraId="0C8D47FA" w14:textId="77777777" w:rsidR="009D683D" w:rsidRPr="009D683D" w:rsidRDefault="009D683D" w:rsidP="009D683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c>
          <w:tcPr>
            <w:tcW w:w="0" w:type="auto"/>
          </w:tcPr>
          <w:p w14:paraId="230EF586" w14:textId="77777777" w:rsidR="009D683D" w:rsidRPr="009D683D" w:rsidRDefault="009D683D" w:rsidP="009D683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
        </w:tc>
      </w:tr>
      <w:tr w:rsidR="009D683D" w:rsidRPr="009D683D" w14:paraId="2D33A53C" w14:textId="77777777" w:rsidTr="009D6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2337F38"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sz w:val="22"/>
              </w:rPr>
              <w:t>Increased risk of hospital readmission</w:t>
            </w:r>
          </w:p>
        </w:tc>
        <w:tc>
          <w:tcPr>
            <w:tcW w:w="2573" w:type="dxa"/>
          </w:tcPr>
          <w:p w14:paraId="7CA456B0" w14:textId="77777777" w:rsidR="009D683D" w:rsidRPr="009D683D" w:rsidRDefault="009D683D" w:rsidP="009D683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c>
          <w:tcPr>
            <w:tcW w:w="0" w:type="auto"/>
          </w:tcPr>
          <w:p w14:paraId="479EABDA" w14:textId="77777777" w:rsidR="009D683D" w:rsidRPr="009D683D" w:rsidRDefault="009D683D" w:rsidP="009D683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p>
        </w:tc>
      </w:tr>
    </w:tbl>
    <w:bookmarkEnd w:id="49"/>
    <w:bookmarkEnd w:id="50"/>
    <w:p w14:paraId="3156BCE0" w14:textId="77777777" w:rsidR="009D683D" w:rsidRPr="009D683D" w:rsidRDefault="009D683D" w:rsidP="009D683D">
      <w:pPr>
        <w:spacing w:before="160" w:line="276" w:lineRule="auto"/>
        <w:jc w:val="both"/>
        <w:rPr>
          <w:rFonts w:ascii="Calibri" w:eastAsia="Calibri" w:hAnsi="Calibri" w:cs="Times New Roman"/>
          <w:sz w:val="22"/>
        </w:rPr>
      </w:pPr>
      <w:r w:rsidRPr="009D683D">
        <w:rPr>
          <w:rFonts w:ascii="Calibri" w:eastAsia="Calibri" w:hAnsi="Calibri" w:cs="Times New Roman"/>
          <w:sz w:val="22"/>
        </w:rPr>
        <w:t xml:space="preserve">The relationship between body composition and body weight has been found to differ significantly between Indigenous and non-Indigenous Australians, suggesting that the currently recommended classification of weight status, based on BMI, may be inappropriate for use in the Indigenous patient population </w:t>
      </w:r>
      <w:r w:rsidRPr="009D683D">
        <w:rPr>
          <w:rFonts w:ascii="Calibri" w:eastAsia="Calibri" w:hAnsi="Calibri" w:cs="Times New Roman"/>
          <w:sz w:val="22"/>
        </w:rPr>
        <w:fldChar w:fldCharType="begin">
          <w:fldData xml:space="preserve">PEVuZE5vdGU+PENpdGU+PEF1dGhvcj5QaWVyczwvQXV0aG9yPjxZZWFyPjIwMDM8L1llYXI+PFJl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==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PEVuZE5vdGU+PENpdGU+PEF1dGhvcj5QaWVyczwvQXV0aG9yPjxZZWFyPjIwMDM8L1llYXI+PFJl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==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(Maple-Brown et al., 2015; Piers, Rowley, Soares, &amp; O'Dea, 2003)</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While other measures (i.e. waist circumference, waist hip-ratio and bioelectrical impedance analysis) are not currently collected on a national basis, surgeons typically do not rely on these measures to assess whether patients’ obesity poses an unacceptable technical challenge for surgery, opting instead for a thorough clinical examination to determine suitability.  </w:t>
      </w:r>
    </w:p>
    <w:p w14:paraId="67989B30" w14:textId="77777777"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Prevalence of surgical risk factors in Indigenous kidney transplant recipients</w:t>
      </w:r>
    </w:p>
    <w:p w14:paraId="64867B05" w14:textId="77777777" w:rsidR="009D683D" w:rsidRPr="009D683D" w:rsidRDefault="009D683D" w:rsidP="009D683D">
      <w:pPr>
        <w:spacing w:after="120" w:line="276" w:lineRule="auto"/>
        <w:jc w:val="both"/>
        <w:rPr>
          <w:rFonts w:ascii="Calibri" w:eastAsia="Calibri" w:hAnsi="Calibri" w:cs="Times New Roman"/>
          <w:sz w:val="22"/>
        </w:rPr>
      </w:pPr>
      <w:r w:rsidRPr="009D683D">
        <w:rPr>
          <w:rFonts w:ascii="Calibri" w:eastAsia="Calibri" w:hAnsi="Calibri" w:cs="Times New Roman"/>
          <w:sz w:val="22"/>
        </w:rPr>
        <w:t xml:space="preserve">An observational cohort study of all adult patients registered with ANZDATA who commenced RRT in Australia between 28 June 2006 and 31 December 2016 found that 61.3% of Indigenous patients had comorbid conditions compared to 35.6% of non-Indigenous patients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&lt;EndNote&gt;&lt;Cite&gt;&lt;Author&gt;Khanal&lt;/Author&gt;&lt;Year&gt;2018&lt;/Year&gt;&lt;RecNum&gt;158&lt;/RecNum&gt;&lt;DisplayText&gt;(Khanal et al., 2018)&lt;/DisplayText&gt;&lt;record&gt;&lt;rec-number&gt;158&lt;/rec-number&gt;&lt;foreign-keys&gt;&lt;key app="EN" db-id="ews5ve9enfwav7etdtjvztfdrftvwrf9vrsx" timestamp="1543289451"&gt;158&lt;/key&gt;&lt;/foreign-keys&gt;&lt;ref-type name="Journal Article"&gt;17&lt;/ref-type&gt;&lt;contributors&gt;&lt;authors&gt;&lt;author&gt;Khanal, N.&lt;/author&gt;&lt;author&gt;Lawton, P. D.&lt;/author&gt;&lt;author&gt;Cass, A.&lt;/author&gt;&lt;author&gt;McDonald, S. P.&lt;/author&gt;&lt;/authors&gt;&lt;/contributors&gt;&lt;auth-address&gt;University of Adelaide, Adelaide, SA namrata@anzdata.org.au.&amp;#xD;Menzies School of Health Research, Charles Darwin University, Darwin, NT.&amp;#xD;University of Adelaide, Adelaide, SA.&lt;/auth-address&gt;&lt;titles&gt;&lt;title&gt;Disparity of access to kidney transplantation by Indigenous and non-Indigenous Australians&lt;/title&gt;&lt;secondary-title&gt;Med J Aust&lt;/secondary-title&gt;&lt;/titles&gt;&lt;periodical&gt;&lt;full-title&gt;Med J Aust&lt;/full-title&gt;&lt;/periodical&gt;&lt;pages&gt;261-266&lt;/pages&gt;&lt;volume&gt;209&lt;/volume&gt;&lt;number&gt;6&lt;/number&gt;&lt;edition&gt;2018/09/14&lt;/edition&gt;&lt;keywords&gt;&lt;keyword&gt;Indigenous health&lt;/keyword&gt;&lt;keyword&gt;Kidney diseases&lt;/keyword&gt;&lt;keyword&gt;Kidney transplantation&lt;/keyword&gt;&lt;keyword&gt;Renal dialysis&lt;/keyword&gt;&lt;/keywords&gt;&lt;dates&gt;&lt;year&gt;2018&lt;/year&gt;&lt;pub-dates&gt;&lt;date&gt;Sep 17&lt;/date&gt;&lt;/pub-dates&gt;&lt;/dates&gt;&lt;isbn&gt;1326-5377 (Electronic)&amp;#xD;0025-729X (Linking)&lt;/isbn&gt;&lt;accession-num&gt;30208818&lt;/accession-num&gt;&lt;urls&gt;&lt;related-urls&gt;&lt;url&gt;https://www.ncbi.nlm.nih.gov/pubmed/30208818&lt;/url&gt;&lt;/related-urls&gt;&lt;/urls&gt;&lt;electronic-resource-num&gt;10.5694/mja18.00304 &lt;/electronic-resource-num&gt;&lt;/record&gt;&lt;/Cite&gt;&lt;/EndNote&gt;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(Khanal et al., 2018)</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Surgical risk factor discrepancies are also evident among the kidney transplant recipient cohort, with Indigenous recipients more likely to have a higher BMI, be classified as smokers and experience comorbidities such as diabetes and coronary artery disease. They also experience longer total ischaemic time and greater delayed graft function, as outlined in Table 8. </w:t>
      </w:r>
    </w:p>
    <w:p w14:paraId="162A4EF4" w14:textId="77777777" w:rsidR="009D683D" w:rsidRPr="009D683D" w:rsidRDefault="009D683D" w:rsidP="009D683D">
      <w:pPr>
        <w:keepNext/>
        <w:spacing w:after="120" w:line="276" w:lineRule="auto"/>
        <w:jc w:val="both"/>
        <w:rPr>
          <w:rFonts w:ascii="Calibri" w:eastAsia="Calibri" w:hAnsi="Calibri" w:cs="Times New Roman"/>
          <w:sz w:val="22"/>
        </w:rPr>
      </w:pPr>
      <w:r w:rsidRPr="009D683D">
        <w:rPr>
          <w:rFonts w:ascii="Calibri" w:eastAsia="Calibri" w:hAnsi="Calibri" w:cs="Times New Roman"/>
          <w:i/>
          <w:sz w:val="22"/>
        </w:rPr>
        <w:lastRenderedPageBreak/>
        <w:t xml:space="preserve">Table 8: </w:t>
      </w:r>
      <w:r w:rsidRPr="009D683D">
        <w:rPr>
          <w:rFonts w:ascii="Calibri" w:eastAsia="Calibri" w:hAnsi="Calibri" w:cs="Times New Roman"/>
          <w:sz w:val="22"/>
        </w:rPr>
        <w:t xml:space="preserve">Cohort description of primary deceased donor kidney transplants performed in Australia between 2001 and 2016, based on a de-identified extract from the ANZDATA Registry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&lt;EndNote&gt;&lt;Cite&gt;&lt;Author&gt;Mcdonald&lt;/Author&gt;&lt;Year&gt;2018&lt;/Year&gt;&lt;RecNum&gt;365&lt;/RecNum&gt;&lt;DisplayText&gt;(Mcdonald, Jose, Lawton, &amp;amp; Cass, 2018)&lt;/DisplayText&gt;&lt;record&gt;&lt;rec-number&gt;365&lt;/rec-number&gt;&lt;foreign-keys&gt;&lt;key app="EN" db-id="ews5ve9enfwav7etdtjvztfdrftvwrf9vrsx" timestamp="1546922056"&gt;365&lt;/key&gt;&lt;/foreign-keys&gt;&lt;ref-type name="Manuscript"&gt;36&lt;/ref-type&gt;&lt;contributors&gt;&lt;authors&gt;&lt;author&gt;Mcdonald, S. P.&lt;/author&gt;&lt;author&gt;Jose, M. D.&lt;/author&gt;&lt;author&gt;Lawton, P.&lt;/author&gt;&lt;author&gt;Cass, A.&lt;/author&gt;&lt;/authors&gt;&lt;secondary-authors&gt;&lt;author&gt;ANZDATA Registry&lt;/author&gt;&lt;/secondary-authors&gt;&lt;/contributors&gt;&lt;titles&gt;&lt;title&gt;Kidney Transplant Outcomes among Indigenous compared to Non-Indigenous Australians&lt;/title&gt;&lt;/titles&gt;&lt;dates&gt;&lt;year&gt;2018&lt;/year&gt;&lt;/dates&gt;&lt;pub-location&gt;Adelaide, Australia&lt;/pub-location&gt;&lt;urls&gt;&lt;/urls&gt;&lt;/record&gt;&lt;/Cite&gt;&lt;/EndNote&gt;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(Mcdonald, Jose, Lawton, &amp; Cass, 2018)</w:t>
      </w:r>
      <w:r w:rsidRPr="009D683D">
        <w:rPr>
          <w:rFonts w:ascii="Calibri" w:eastAsia="Calibri" w:hAnsi="Calibri" w:cs="Times New Roman"/>
          <w:sz w:val="22"/>
        </w:rPr>
        <w:fldChar w:fldCharType="end"/>
      </w:r>
      <w:r w:rsidRPr="009D683D">
        <w:rPr>
          <w:rFonts w:ascii="Calibri" w:eastAsia="Calibri" w:hAnsi="Calibri" w:cs="Times New Roman"/>
          <w:sz w:val="22"/>
        </w:rPr>
        <w:t>.</w:t>
      </w:r>
    </w:p>
    <w:tbl>
      <w:tblPr>
        <w:tblStyle w:val="ListTable311"/>
        <w:tblW w:w="0" w:type="auto"/>
        <w:jc w:val="center"/>
        <w:tblLook w:val="04A0" w:firstRow="1" w:lastRow="0" w:firstColumn="1" w:lastColumn="0" w:noHBand="0" w:noVBand="1"/>
      </w:tblPr>
      <w:tblGrid>
        <w:gridCol w:w="4279"/>
        <w:gridCol w:w="1671"/>
        <w:gridCol w:w="1223"/>
        <w:gridCol w:w="1296"/>
      </w:tblGrid>
      <w:tr w:rsidR="009D683D" w:rsidRPr="009D683D" w14:paraId="1B999019" w14:textId="77777777" w:rsidTr="009D683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tcPr>
          <w:p w14:paraId="70239BD6" w14:textId="77777777" w:rsidR="009D683D" w:rsidRPr="009D683D" w:rsidRDefault="009D683D" w:rsidP="009D683D">
            <w:pPr>
              <w:keepNext/>
              <w:jc w:val="center"/>
              <w:rPr>
                <w:rFonts w:ascii="Calibri" w:eastAsia="Calibri" w:hAnsi="Calibri" w:cs="Times New Roman"/>
                <w:sz w:val="22"/>
              </w:rPr>
            </w:pPr>
            <w:r w:rsidRPr="009D683D">
              <w:rPr>
                <w:rFonts w:ascii="Calibri" w:eastAsia="Calibri" w:hAnsi="Calibri" w:cs="Times New Roman"/>
                <w:sz w:val="22"/>
              </w:rPr>
              <w:t>Surgical risk factors</w:t>
            </w:r>
          </w:p>
        </w:tc>
        <w:tc>
          <w:tcPr>
            <w:tcW w:w="0" w:type="auto"/>
          </w:tcPr>
          <w:p w14:paraId="211E5F99" w14:textId="77777777" w:rsidR="009D683D" w:rsidRPr="009D683D" w:rsidRDefault="009D683D" w:rsidP="009D683D">
            <w:pPr>
              <w:keepNext/>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Non-Indigenous</w:t>
            </w:r>
          </w:p>
          <w:p w14:paraId="254637FE" w14:textId="77777777" w:rsidR="009D683D" w:rsidRPr="009D683D" w:rsidRDefault="009D683D" w:rsidP="009D683D">
            <w:pPr>
              <w:keepNext/>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w:t>
            </w:r>
            <w:r w:rsidRPr="009D683D">
              <w:rPr>
                <w:rFonts w:ascii="Calibri" w:eastAsia="Calibri" w:hAnsi="Calibri" w:cs="Times New Roman"/>
                <w:i/>
                <w:sz w:val="22"/>
              </w:rPr>
              <w:t xml:space="preserve">n = </w:t>
            </w:r>
            <w:r w:rsidRPr="009D683D">
              <w:rPr>
                <w:rFonts w:ascii="Calibri" w:eastAsia="Calibri" w:hAnsi="Calibri" w:cs="Times New Roman"/>
                <w:sz w:val="22"/>
              </w:rPr>
              <w:t>6003)</w:t>
            </w:r>
          </w:p>
        </w:tc>
        <w:tc>
          <w:tcPr>
            <w:tcW w:w="0" w:type="auto"/>
          </w:tcPr>
          <w:p w14:paraId="11DEC2B9" w14:textId="77777777" w:rsidR="009D683D" w:rsidRPr="009D683D" w:rsidRDefault="009D683D" w:rsidP="009D683D">
            <w:pPr>
              <w:keepNext/>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Indigenous</w:t>
            </w:r>
          </w:p>
          <w:p w14:paraId="29E0F692" w14:textId="77777777" w:rsidR="009D683D" w:rsidRPr="009D683D" w:rsidRDefault="009D683D" w:rsidP="009D683D">
            <w:pPr>
              <w:keepNext/>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 xml:space="preserve"> (</w:t>
            </w:r>
            <w:r w:rsidRPr="009D683D">
              <w:rPr>
                <w:rFonts w:ascii="Calibri" w:eastAsia="Calibri" w:hAnsi="Calibri" w:cs="Times New Roman"/>
                <w:i/>
                <w:sz w:val="22"/>
              </w:rPr>
              <w:t xml:space="preserve">n </w:t>
            </w:r>
            <w:r w:rsidRPr="009D683D">
              <w:rPr>
                <w:rFonts w:ascii="Calibri" w:eastAsia="Calibri" w:hAnsi="Calibri" w:cs="Times New Roman"/>
                <w:sz w:val="22"/>
              </w:rPr>
              <w:t>= 336)</w:t>
            </w:r>
          </w:p>
        </w:tc>
        <w:tc>
          <w:tcPr>
            <w:tcW w:w="0" w:type="auto"/>
          </w:tcPr>
          <w:p w14:paraId="365FFDD4" w14:textId="77777777" w:rsidR="009D683D" w:rsidRPr="009D683D" w:rsidRDefault="009D683D" w:rsidP="009D683D">
            <w:pPr>
              <w:keepNext/>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Significance</w:t>
            </w:r>
          </w:p>
        </w:tc>
      </w:tr>
      <w:tr w:rsidR="009D683D" w:rsidRPr="009D683D" w14:paraId="2654B880" w14:textId="77777777" w:rsidTr="009D68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D39E001" w14:textId="77777777" w:rsidR="009D683D" w:rsidRPr="009D683D" w:rsidRDefault="009D683D" w:rsidP="009D683D">
            <w:pPr>
              <w:keepNext/>
              <w:rPr>
                <w:rFonts w:ascii="Calibri" w:eastAsia="Calibri" w:hAnsi="Calibri" w:cs="Times New Roman"/>
                <w:sz w:val="28"/>
              </w:rPr>
            </w:pPr>
            <w:r w:rsidRPr="009D683D">
              <w:rPr>
                <w:rFonts w:ascii="Calibri" w:eastAsia="Calibri" w:hAnsi="Calibri" w:cs="Times New Roman"/>
                <w:sz w:val="22"/>
              </w:rPr>
              <w:t>BMI (median IQR kg/m</w:t>
            </w:r>
            <w:r w:rsidRPr="009D683D">
              <w:rPr>
                <w:rFonts w:ascii="Calibri" w:eastAsia="Calibri" w:hAnsi="Calibri" w:cs="Times New Roman"/>
                <w:sz w:val="22"/>
                <w:vertAlign w:val="superscript"/>
              </w:rPr>
              <w:t>2</w:t>
            </w:r>
            <w:r w:rsidRPr="009D683D">
              <w:rPr>
                <w:rFonts w:ascii="Calibri" w:eastAsia="Calibri" w:hAnsi="Calibri" w:cs="Times New Roman"/>
                <w:sz w:val="22"/>
              </w:rPr>
              <w:t>)</w:t>
            </w:r>
          </w:p>
        </w:tc>
        <w:tc>
          <w:tcPr>
            <w:tcW w:w="0" w:type="auto"/>
          </w:tcPr>
          <w:p w14:paraId="605366CB" w14:textId="77777777" w:rsidR="009D683D" w:rsidRPr="009D683D" w:rsidRDefault="009D683D" w:rsidP="009D683D">
            <w:pPr>
              <w:keepNext/>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26.1</w:t>
            </w:r>
          </w:p>
        </w:tc>
        <w:tc>
          <w:tcPr>
            <w:tcW w:w="0" w:type="auto"/>
          </w:tcPr>
          <w:p w14:paraId="7A9B7141" w14:textId="77777777" w:rsidR="009D683D" w:rsidRPr="009D683D" w:rsidRDefault="009D683D" w:rsidP="009D683D">
            <w:pPr>
              <w:keepNext/>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27.7</w:t>
            </w:r>
          </w:p>
        </w:tc>
        <w:tc>
          <w:tcPr>
            <w:tcW w:w="0" w:type="auto"/>
          </w:tcPr>
          <w:p w14:paraId="3854BFF4" w14:textId="77777777" w:rsidR="009D683D" w:rsidRPr="009D683D" w:rsidRDefault="009D683D" w:rsidP="009D683D">
            <w:pPr>
              <w:keepNext/>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&lt;0.001</w:t>
            </w:r>
          </w:p>
        </w:tc>
      </w:tr>
      <w:tr w:rsidR="009D683D" w:rsidRPr="009D683D" w14:paraId="55855612" w14:textId="77777777" w:rsidTr="009D683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B36DD92" w14:textId="77777777" w:rsidR="009D683D" w:rsidRPr="009D683D" w:rsidRDefault="009D683D" w:rsidP="009D683D">
            <w:pPr>
              <w:keepNext/>
              <w:rPr>
                <w:rFonts w:ascii="Calibri" w:eastAsia="Calibri" w:hAnsi="Calibri" w:cs="Times New Roman"/>
                <w:sz w:val="22"/>
              </w:rPr>
            </w:pPr>
            <w:r w:rsidRPr="009D683D">
              <w:rPr>
                <w:rFonts w:ascii="Calibri" w:eastAsia="Calibri" w:hAnsi="Calibri" w:cs="Times New Roman"/>
                <w:sz w:val="22"/>
              </w:rPr>
              <w:t>Current smokers (at commencement of RRT)</w:t>
            </w:r>
          </w:p>
        </w:tc>
        <w:tc>
          <w:tcPr>
            <w:tcW w:w="0" w:type="auto"/>
          </w:tcPr>
          <w:p w14:paraId="22DEE011" w14:textId="77777777" w:rsidR="009D683D" w:rsidRPr="009D683D" w:rsidRDefault="009D683D" w:rsidP="009D683D">
            <w:pPr>
              <w:keepNext/>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11%</w:t>
            </w:r>
          </w:p>
        </w:tc>
        <w:tc>
          <w:tcPr>
            <w:tcW w:w="0" w:type="auto"/>
          </w:tcPr>
          <w:p w14:paraId="5B469E3A" w14:textId="77777777" w:rsidR="009D683D" w:rsidRPr="009D683D" w:rsidRDefault="009D683D" w:rsidP="009D683D">
            <w:pPr>
              <w:keepNext/>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26%</w:t>
            </w:r>
          </w:p>
        </w:tc>
        <w:tc>
          <w:tcPr>
            <w:tcW w:w="0" w:type="auto"/>
          </w:tcPr>
          <w:p w14:paraId="3F30FDCC" w14:textId="77777777" w:rsidR="009D683D" w:rsidRPr="009D683D" w:rsidRDefault="009D683D" w:rsidP="009D683D">
            <w:pPr>
              <w:keepNext/>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&lt;0.001</w:t>
            </w:r>
          </w:p>
        </w:tc>
      </w:tr>
      <w:tr w:rsidR="009D683D" w:rsidRPr="009D683D" w14:paraId="22560508" w14:textId="77777777" w:rsidTr="009D68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743DE02" w14:textId="77777777" w:rsidR="009D683D" w:rsidRPr="009D683D" w:rsidRDefault="009D683D" w:rsidP="009D683D">
            <w:pPr>
              <w:keepNext/>
              <w:rPr>
                <w:rFonts w:ascii="Calibri" w:eastAsia="Calibri" w:hAnsi="Calibri" w:cs="Times New Roman"/>
                <w:sz w:val="22"/>
              </w:rPr>
            </w:pPr>
            <w:r w:rsidRPr="009D683D">
              <w:rPr>
                <w:rFonts w:ascii="Calibri" w:eastAsia="Calibri" w:hAnsi="Calibri" w:cs="Times New Roman"/>
                <w:sz w:val="22"/>
              </w:rPr>
              <w:t>Diabetes</w:t>
            </w:r>
          </w:p>
        </w:tc>
        <w:tc>
          <w:tcPr>
            <w:tcW w:w="0" w:type="auto"/>
          </w:tcPr>
          <w:p w14:paraId="01A8DB08" w14:textId="77777777" w:rsidR="009D683D" w:rsidRPr="009D683D" w:rsidRDefault="009D683D" w:rsidP="009D683D">
            <w:pPr>
              <w:keepNext/>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17%</w:t>
            </w:r>
          </w:p>
        </w:tc>
        <w:tc>
          <w:tcPr>
            <w:tcW w:w="0" w:type="auto"/>
          </w:tcPr>
          <w:p w14:paraId="45E76F63" w14:textId="77777777" w:rsidR="009D683D" w:rsidRPr="009D683D" w:rsidRDefault="009D683D" w:rsidP="009D683D">
            <w:pPr>
              <w:keepNext/>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46%</w:t>
            </w:r>
          </w:p>
        </w:tc>
        <w:tc>
          <w:tcPr>
            <w:tcW w:w="0" w:type="auto"/>
          </w:tcPr>
          <w:p w14:paraId="5AA90C9F" w14:textId="77777777" w:rsidR="009D683D" w:rsidRPr="009D683D" w:rsidRDefault="009D683D" w:rsidP="009D683D">
            <w:pPr>
              <w:keepNext/>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&lt;0.001</w:t>
            </w:r>
          </w:p>
        </w:tc>
      </w:tr>
      <w:tr w:rsidR="009D683D" w:rsidRPr="009D683D" w14:paraId="365DFF48" w14:textId="77777777" w:rsidTr="009D683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90BD281" w14:textId="77777777" w:rsidR="009D683D" w:rsidRPr="009D683D" w:rsidRDefault="009D683D" w:rsidP="009D683D">
            <w:pPr>
              <w:keepNext/>
              <w:rPr>
                <w:rFonts w:ascii="Calibri" w:eastAsia="Calibri" w:hAnsi="Calibri" w:cs="Times New Roman"/>
                <w:sz w:val="22"/>
              </w:rPr>
            </w:pPr>
            <w:r w:rsidRPr="009D683D">
              <w:rPr>
                <w:rFonts w:ascii="Calibri" w:eastAsia="Calibri" w:hAnsi="Calibri" w:cs="Times New Roman"/>
                <w:sz w:val="22"/>
              </w:rPr>
              <w:t>Coronary artery disease</w:t>
            </w:r>
          </w:p>
        </w:tc>
        <w:tc>
          <w:tcPr>
            <w:tcW w:w="0" w:type="auto"/>
          </w:tcPr>
          <w:p w14:paraId="35978D75" w14:textId="77777777" w:rsidR="009D683D" w:rsidRPr="009D683D" w:rsidRDefault="009D683D" w:rsidP="009D683D">
            <w:pPr>
              <w:keepNext/>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12%</w:t>
            </w:r>
          </w:p>
        </w:tc>
        <w:tc>
          <w:tcPr>
            <w:tcW w:w="0" w:type="auto"/>
          </w:tcPr>
          <w:p w14:paraId="121A9F3E" w14:textId="77777777" w:rsidR="009D683D" w:rsidRPr="009D683D" w:rsidRDefault="009D683D" w:rsidP="009D683D">
            <w:pPr>
              <w:keepNext/>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18%</w:t>
            </w:r>
          </w:p>
        </w:tc>
        <w:tc>
          <w:tcPr>
            <w:tcW w:w="0" w:type="auto"/>
          </w:tcPr>
          <w:p w14:paraId="225BC9EB" w14:textId="77777777" w:rsidR="009D683D" w:rsidRPr="009D683D" w:rsidRDefault="009D683D" w:rsidP="009D683D">
            <w:pPr>
              <w:keepNext/>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&lt;0.001</w:t>
            </w:r>
          </w:p>
        </w:tc>
      </w:tr>
      <w:tr w:rsidR="009D683D" w:rsidRPr="009D683D" w14:paraId="0F3E33A1" w14:textId="77777777" w:rsidTr="009D68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F174EDD" w14:textId="77777777" w:rsidR="009D683D" w:rsidRPr="009D683D" w:rsidRDefault="009D683D" w:rsidP="009D683D">
            <w:pPr>
              <w:keepNext/>
              <w:rPr>
                <w:rFonts w:ascii="Calibri" w:eastAsia="Calibri" w:hAnsi="Calibri" w:cs="Times New Roman"/>
                <w:sz w:val="22"/>
              </w:rPr>
            </w:pPr>
            <w:r w:rsidRPr="009D683D">
              <w:rPr>
                <w:rFonts w:ascii="Calibri" w:eastAsia="Calibri" w:hAnsi="Calibri" w:cs="Times New Roman"/>
                <w:sz w:val="22"/>
              </w:rPr>
              <w:t>Peripheral vascular disease</w:t>
            </w:r>
          </w:p>
        </w:tc>
        <w:tc>
          <w:tcPr>
            <w:tcW w:w="0" w:type="auto"/>
          </w:tcPr>
          <w:p w14:paraId="4C3948BB" w14:textId="77777777" w:rsidR="009D683D" w:rsidRPr="009D683D" w:rsidRDefault="009D683D" w:rsidP="009D683D">
            <w:pPr>
              <w:keepNext/>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7%</w:t>
            </w:r>
          </w:p>
        </w:tc>
        <w:tc>
          <w:tcPr>
            <w:tcW w:w="0" w:type="auto"/>
          </w:tcPr>
          <w:p w14:paraId="4CA7FC9C" w14:textId="77777777" w:rsidR="009D683D" w:rsidRPr="009D683D" w:rsidRDefault="009D683D" w:rsidP="009D683D">
            <w:pPr>
              <w:keepNext/>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10%</w:t>
            </w:r>
          </w:p>
        </w:tc>
        <w:tc>
          <w:tcPr>
            <w:tcW w:w="0" w:type="auto"/>
          </w:tcPr>
          <w:p w14:paraId="6392BBDF" w14:textId="77777777" w:rsidR="009D683D" w:rsidRPr="009D683D" w:rsidRDefault="009D683D" w:rsidP="009D683D">
            <w:pPr>
              <w:keepNext/>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0.04</w:t>
            </w:r>
          </w:p>
        </w:tc>
      </w:tr>
      <w:tr w:rsidR="009D683D" w:rsidRPr="009D683D" w14:paraId="66FF451B" w14:textId="77777777" w:rsidTr="009D683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04F6441" w14:textId="77777777" w:rsidR="009D683D" w:rsidRPr="009D683D" w:rsidRDefault="009D683D" w:rsidP="009D683D">
            <w:pPr>
              <w:keepNext/>
              <w:rPr>
                <w:rFonts w:ascii="Calibri" w:eastAsia="Calibri" w:hAnsi="Calibri" w:cs="Times New Roman"/>
                <w:sz w:val="22"/>
              </w:rPr>
            </w:pPr>
            <w:r w:rsidRPr="009D683D">
              <w:rPr>
                <w:rFonts w:ascii="Calibri" w:eastAsia="Calibri" w:hAnsi="Calibri" w:cs="Times New Roman"/>
                <w:sz w:val="22"/>
              </w:rPr>
              <w:t>Total ischaemic time (hours, median IQR)</w:t>
            </w:r>
          </w:p>
        </w:tc>
        <w:tc>
          <w:tcPr>
            <w:tcW w:w="0" w:type="auto"/>
          </w:tcPr>
          <w:p w14:paraId="60C5F75D" w14:textId="77777777" w:rsidR="009D683D" w:rsidRPr="009D683D" w:rsidRDefault="009D683D" w:rsidP="009D683D">
            <w:pPr>
              <w:keepNext/>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12</w:t>
            </w:r>
          </w:p>
        </w:tc>
        <w:tc>
          <w:tcPr>
            <w:tcW w:w="0" w:type="auto"/>
          </w:tcPr>
          <w:p w14:paraId="25AF9E40" w14:textId="77777777" w:rsidR="009D683D" w:rsidRPr="009D683D" w:rsidRDefault="009D683D" w:rsidP="009D683D">
            <w:pPr>
              <w:keepNext/>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14</w:t>
            </w:r>
          </w:p>
        </w:tc>
        <w:tc>
          <w:tcPr>
            <w:tcW w:w="0" w:type="auto"/>
          </w:tcPr>
          <w:p w14:paraId="5D56D391" w14:textId="77777777" w:rsidR="009D683D" w:rsidRPr="009D683D" w:rsidRDefault="009D683D" w:rsidP="009D683D">
            <w:pPr>
              <w:keepNext/>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&lt;0.001</w:t>
            </w:r>
          </w:p>
        </w:tc>
      </w:tr>
      <w:tr w:rsidR="009D683D" w:rsidRPr="009D683D" w14:paraId="5234723B" w14:textId="77777777" w:rsidTr="009D68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A0AF812" w14:textId="77777777" w:rsidR="009D683D" w:rsidRPr="009D683D" w:rsidRDefault="009D683D" w:rsidP="009D683D">
            <w:pPr>
              <w:keepNext/>
              <w:rPr>
                <w:rFonts w:ascii="Calibri" w:eastAsia="Calibri" w:hAnsi="Calibri" w:cs="Times New Roman"/>
                <w:sz w:val="22"/>
              </w:rPr>
            </w:pPr>
            <w:r w:rsidRPr="009D683D">
              <w:rPr>
                <w:rFonts w:ascii="Calibri" w:eastAsia="Calibri" w:hAnsi="Calibri" w:cs="Times New Roman"/>
                <w:sz w:val="22"/>
              </w:rPr>
              <w:t>Delayed graft function</w:t>
            </w:r>
          </w:p>
        </w:tc>
        <w:tc>
          <w:tcPr>
            <w:tcW w:w="0" w:type="auto"/>
          </w:tcPr>
          <w:p w14:paraId="41DBAD85" w14:textId="77777777" w:rsidR="009D683D" w:rsidRPr="009D683D" w:rsidRDefault="009D683D" w:rsidP="009D683D">
            <w:pPr>
              <w:keepNext/>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29%</w:t>
            </w:r>
          </w:p>
        </w:tc>
        <w:tc>
          <w:tcPr>
            <w:tcW w:w="0" w:type="auto"/>
          </w:tcPr>
          <w:p w14:paraId="239C9F22" w14:textId="77777777" w:rsidR="009D683D" w:rsidRPr="009D683D" w:rsidRDefault="009D683D" w:rsidP="009D683D">
            <w:pPr>
              <w:keepNext/>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38%</w:t>
            </w:r>
          </w:p>
        </w:tc>
        <w:tc>
          <w:tcPr>
            <w:tcW w:w="0" w:type="auto"/>
          </w:tcPr>
          <w:p w14:paraId="4A91B0B2" w14:textId="77777777" w:rsidR="009D683D" w:rsidRPr="009D683D" w:rsidRDefault="009D683D" w:rsidP="009D683D">
            <w:pPr>
              <w:keepNext/>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&lt;0.001</w:t>
            </w:r>
          </w:p>
        </w:tc>
      </w:tr>
    </w:tbl>
    <w:p w14:paraId="410F2BE8" w14:textId="77777777" w:rsidR="009D683D" w:rsidRPr="009D683D" w:rsidRDefault="009D683D" w:rsidP="009D683D">
      <w:pPr>
        <w:keepNext/>
        <w:keepLines/>
        <w:numPr>
          <w:ilvl w:val="3"/>
          <w:numId w:val="0"/>
        </w:numPr>
        <w:spacing w:before="160" w:after="0"/>
        <w:ind w:left="862" w:hanging="862"/>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Weight loss approaches for the general kidney transplant candidate population</w:t>
      </w:r>
    </w:p>
    <w:p w14:paraId="7E144163"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For many people on the transplant waiting list, weight loss is likely to be beneficial in reducing the peri-operative and longer-term post-transplant risk. Facilitating weight loss is particularly critical for those whose weight prevents waitlisting due to prohibitive surgical risk. A number of studies have shown that it is important to achieve a healthy BMI prior to transplantation due to the poorer post-transplant outcomes associated with significant post-transplant weight loss or gain </w:t>
      </w:r>
      <w:r w:rsidRPr="009D683D">
        <w:rPr>
          <w:rFonts w:ascii="Calibri" w:eastAsia="Calibri" w:hAnsi="Calibri" w:cs="Times New Roman"/>
          <w:sz w:val="22"/>
        </w:rPr>
        <w:fldChar w:fldCharType="begin">
          <w:fldData xml:space="preserve">PEVuZE5vdGU+PENpdGU+PEF1dGhvcj5FbC1BZ3JvdWR5PC9BdXRob3I+PFllYXI+MjAwNDwvWWVh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PEVuZE5vdGU+PENpdGU+PEF1dGhvcj5FbC1BZ3JvdWR5PC9BdXRob3I+PFllYXI+MjAwNDwvWWVh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(S. H. Chang &amp; McDonald, 2008; El-Agroudy, Wafa, Gheith, Shehab El-Dein, &amp; Ghoneim, 2004)</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While both Indigenous and non-Indigenous recipients experience negative effects from BMI loss following transplantation, the effect is greater amongst Indigenous recipients due to their higher rates of high BMI prior to transplantation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&lt;EndNote&gt;&lt;Cite&gt;&lt;Author&gt;Subramani&lt;/Author&gt;&lt;Year&gt;2018&lt;/Year&gt;&lt;RecNum&gt;384&lt;/RecNum&gt;&lt;DisplayText&gt;(Subramani, Ullah, Majoni, Hughes, &amp;amp; McDonald, 2018)&lt;/DisplayText&gt;&lt;record&gt;&lt;rec-number&gt;384&lt;/rec-number&gt;&lt;foreign-keys&gt;&lt;key app="EN" db-id="ews5ve9enfwav7etdtjvztfdrftvwrf9vrsx" timestamp="1548284629"&gt;384&lt;/key&gt;&lt;/foreign-keys&gt;&lt;ref-type name="Conference Paper"&gt;47&lt;/ref-type&gt;&lt;contributors&gt;&lt;authors&gt;&lt;author&gt;Subramani, P.&lt;/author&gt;&lt;author&gt;Ullah, S.&lt;/author&gt;&lt;author&gt;Majoni, S. W.&lt;/author&gt;&lt;author&gt;Hughes, J. T.&lt;/author&gt;&lt;author&gt;McDonald, S.&lt;/author&gt;&lt;/authors&gt;&lt;/contributors&gt;&lt;titles&gt;&lt;title&gt;The association of body mass index change one year post kidney transplantation with graft and patient survival: a comparative study between Indigenous and non-Indigenous Australians&lt;/title&gt;&lt;secondary-title&gt;54th Australian and New Zealand Society of Nephrology Annual Scientific Meeting&lt;/secondary-title&gt;&lt;/titles&gt;&lt;dates&gt;&lt;year&gt;2018&lt;/year&gt;&lt;/dates&gt;&lt;pub-location&gt;Sydney, Australia&lt;/pub-location&gt;&lt;publisher&gt;Australian and New Zealand Society of Nephrology&lt;/publisher&gt;&lt;urls&gt;&lt;/urls&gt;&lt;/record&gt;&lt;/Cite&gt;&lt;/EndNote&gt;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(Subramani, Ullah, Majoni, Hughes, &amp; McDonald, 2018)</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t>
      </w:r>
    </w:p>
    <w:p w14:paraId="6A1D788F"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Weight loss prior to kidney transplant surgery may have a number of beneficial effects in general for kidney transplant candidates, including reduced operative time and likelihood of acute rejection, and fewer surgical complications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&lt;EndNote&gt;&lt;Cite&gt;&lt;Author&gt;Chan&lt;/Author&gt;&lt;Year&gt;2015&lt;/Year&gt;&lt;RecNum&gt;292&lt;/RecNum&gt;&lt;DisplayText&gt;(Chan, Garneau, &amp;amp; Hajjar, 2015)&lt;/DisplayText&gt;&lt;record&gt;&lt;rec-number&gt;292&lt;/rec-number&gt;&lt;foreign-keys&gt;&lt;key app="EN" db-id="ews5ve9enfwav7etdtjvztfdrftvwrf9vrsx" timestamp="1545108261"&gt;292&lt;/key&gt;&lt;/foreign-keys&gt;&lt;ref-type name="Journal Article"&gt;17&lt;/ref-type&gt;&lt;contributors&gt;&lt;authors&gt;&lt;author&gt;Chan, G.&lt;/author&gt;&lt;author&gt;Garneau, P.&lt;/author&gt;&lt;author&gt;Hajjar, R.&lt;/author&gt;&lt;/authors&gt;&lt;/contributors&gt;&lt;auth-address&gt;Departement de Chirurgie, Universite de Montreal and Service de Transplantation Renale, Hopital Maisonneuve-Rosemont, Montreal, Canada.&amp;#xD;Departement de Chirurgie, Universite de Montreal, Hopital Sacre-Coeur de Montreal, Montreal, Canada.&lt;/auth-address&gt;&lt;titles&gt;&lt;title&gt;The impact and treatment of obesity in kidney transplant candidates and recipients&lt;/title&gt;&lt;secondary-title&gt;Can J Kidney Health Dis&lt;/secondary-title&gt;&lt;/titles&gt;&lt;periodical&gt;&lt;full-title&gt;Can J Kidney Health Dis&lt;/full-title&gt;&lt;/periodical&gt;&lt;pages&gt;26&lt;/pages&gt;&lt;volume&gt;2&lt;/volume&gt;&lt;edition&gt;2015/08/04&lt;/edition&gt;&lt;keywords&gt;&lt;keyword&gt;Bariatric surgery&lt;/keyword&gt;&lt;keyword&gt;Chronic kidney failure&lt;/keyword&gt;&lt;keyword&gt;Kidney transplantation&lt;/keyword&gt;&lt;keyword&gt;Obesity&lt;/keyword&gt;&lt;keyword&gt;Pharmacokinetics&lt;/keyword&gt;&lt;/keywords&gt;&lt;dates&gt;&lt;year&gt;2015&lt;/year&gt;&lt;/dates&gt;&lt;publisher&gt;BioMed Central&lt;/publisher&gt;&lt;isbn&gt;2054-3581 (Print)&amp;#xD;2054-3581 (Linking)&lt;/isbn&gt;&lt;accession-num&gt;26236496&lt;/accession-num&gt;&lt;urls&gt;&lt;related-urls&gt;&lt;url&gt;https://www.ncbi.nlm.nih.gov/pubmed/26236496&lt;/url&gt;&lt;/related-urls&gt;&lt;/urls&gt;&lt;custom2&gt;PMC4522095&lt;/custom2&gt;&lt;electronic-resource-num&gt;10.1186/s40697-015-0059-4&lt;/electronic-resource-num&gt;&lt;remote-database-name&gt;PubMed&lt;/remote-database-name&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(Chan, Garneau, &amp; Hajjar, 2015)</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Weight loss can also help to reverse the progression of type 2 diabetes and improve glycaemic control, albuminuria, and eGFR </w:t>
      </w:r>
      <w:r w:rsidRPr="009D683D">
        <w:rPr>
          <w:rFonts w:ascii="Calibri" w:eastAsia="Calibri" w:hAnsi="Calibri" w:cs="Times New Roman"/>
          <w:sz w:val="22"/>
        </w:rPr>
        <w:fldChar w:fldCharType="begin">
          <w:fldData xml:space="preserve">PEVuZE5vdGU+PENpdGU+PEF1dGhvcj5TY2hhdWVyPC9BdXRob3I+PFllYXI+MjAxNjwvWWVhcj48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PEVuZE5vdGU+PENpdGU+PEF1dGhvcj5TY2hhdWVyPC9BdXRob3I+PFllYXI+MjAxNjwvWWVhcj48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(Friedman, 2019; Schauer, Mingrone, Ikramuddin, &amp; Wolfe, 2016)</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However, the benefits of weight loss in the dialysis patient population are less clear. There is data from observational studies for both HD and PD patients that suggest best survival is associated with BMI in the ‘overweight’ rather than ‘normal’ range </w:t>
      </w:r>
      <w:r w:rsidRPr="009D683D">
        <w:rPr>
          <w:rFonts w:ascii="Calibri" w:eastAsia="Calibri" w:hAnsi="Calibri" w:cs="Times New Roman"/>
          <w:sz w:val="22"/>
        </w:rPr>
        <w:fldChar w:fldCharType="begin">
          <w:fldData xml:space="preserve">PEVuZE5vdGU+PENpdGU+PEF1dGhvcj5LYWxhbnRhci1aYWRlaDwvQXV0aG9yPjxZZWFyPjIwMDU8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PEVuZE5vdGU+PENpdGU+PEF1dGhvcj5LYWxhbnRhci1aYWRlaDwvQXV0aG9yPjxZZWFyPjIwMDU8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(D. Johnson et al., 2000; Kalantar-Zadeh, Abbott, Salahudeen, Kilpatrick, &amp; Horwich, 2005; Park et al., 2014)</w:t>
      </w:r>
      <w:r w:rsidRPr="009D683D">
        <w:rPr>
          <w:rFonts w:ascii="Calibri" w:eastAsia="Calibri" w:hAnsi="Calibri" w:cs="Times New Roman"/>
          <w:sz w:val="22"/>
        </w:rPr>
        <w:fldChar w:fldCharType="end"/>
      </w:r>
      <w:r w:rsidRPr="009D683D">
        <w:rPr>
          <w:rFonts w:ascii="Calibri" w:eastAsia="Calibri" w:hAnsi="Calibri" w:cs="Times New Roman"/>
          <w:sz w:val="22"/>
        </w:rPr>
        <w:t>. These studies have not examined the outcomes of people who lose weight as part of a deliberate health-related strategy, and there is currently no data addressing this specific issue among Indigenous dialysis patients.</w:t>
      </w:r>
    </w:p>
    <w:p w14:paraId="07A7010F"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Kidney transplant candidates who would benefit from losing weight prior to transplant surgery are typically recommended to undertake conservative weight loss methods in the first instance, such as lifestyle, dietary and pharmacologic interventions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&lt;EndNote&gt;&lt;Cite&gt;&lt;Author&gt;Friedman&lt;/Author&gt;&lt;Year&gt;2019&lt;/Year&gt;&lt;RecNum&gt;383&lt;/RecNum&gt;&lt;DisplayText&gt;(Friedman, 2019)&lt;/DisplayText&gt;&lt;record&gt;&lt;rec-number&gt;383&lt;/rec-number&gt;&lt;foreign-keys&gt;&lt;key app="EN" db-id="ews5ve9enfwav7etdtjvztfdrftvwrf9vrsx" timestamp="1547703016"&gt;383&lt;/key&gt;&lt;/foreign-keys&gt;&lt;ref-type name="Journal Article"&gt;17&lt;/ref-type&gt;&lt;contributors&gt;&lt;authors&gt;&lt;author&gt;Friedman, Allon. N.&lt;/author&gt;&lt;/authors&gt;&lt;/contributors&gt;&lt;titles&gt;&lt;title&gt;The Case for a Bariatric-Centered Approach to Chronic Kidney Disease Care&lt;/title&gt;&lt;secondary-title&gt;Clinical Journal of the American Society of Nephrology&lt;/secondary-title&gt;&lt;/titles&gt;&lt;periodical&gt;&lt;full-title&gt;Clinical Journal of the American Society of Nephrology&lt;/full-title&gt;&lt;/periodical&gt;&lt;pages&gt;CJN.12061018&lt;/pages&gt;&lt;dates&gt;&lt;year&gt;2019&lt;/year&gt;&lt;/dates&gt;&lt;urls&gt;&lt;related-urls&gt;&lt;url&gt;https://cjasn.asnjournals.org/content/clinjasn/early/2019/01/09/CJN.12061018.full.pdf&lt;/url&gt;&lt;/related-urls&gt;&lt;/urls&gt;&lt;electronic-resource-num&gt;10.2215/cjn.12061018&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(Friedman, 2019)</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Bariatric surgery is still considered a ‘last resort’ and eligibility is typically dependent on patients having made at least one attempt at a structured weight loss program. National Health and Medical Research (NHMRC) Clinical Practice Guidelines suggest patients should only be referred for bariatric surgery if: a) their BMI is 40 or more; b) their BMI is 35 or more with obesity-related comorbidity (i.e. diabetes, cardiovascular disease or sleep </w:t>
      </w:r>
      <w:proofErr w:type="spellStart"/>
      <w:r w:rsidRPr="009D683D">
        <w:rPr>
          <w:rFonts w:ascii="Calibri" w:eastAsia="Calibri" w:hAnsi="Calibri" w:cs="Times New Roman"/>
          <w:sz w:val="22"/>
        </w:rPr>
        <w:t>apnea</w:t>
      </w:r>
      <w:proofErr w:type="spellEnd"/>
      <w:r w:rsidRPr="009D683D">
        <w:rPr>
          <w:rFonts w:ascii="Calibri" w:eastAsia="Calibri" w:hAnsi="Calibri" w:cs="Times New Roman"/>
          <w:sz w:val="22"/>
        </w:rPr>
        <w:t xml:space="preserve">); or c) their BMI is 30 or more with poorly controlled type 2 diabetes and increased cardiovascular risk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&lt;EndNote&gt;&lt;Cite&gt;&lt;Author&gt;NHMRC&lt;/Author&gt;&lt;Year&gt;2013&lt;/Year&gt;&lt;RecNum&gt;352&lt;/RecNum&gt;&lt;DisplayText&gt;(NHMRC, 2013)&lt;/DisplayText&gt;&lt;record&gt;&lt;rec-number&gt;352&lt;/rec-number&gt;&lt;foreign-keys&gt;&lt;key app="EN" db-id="ews5ve9enfwav7etdtjvztfdrftvwrf9vrsx" timestamp="1546470048"&gt;352&lt;/key&gt;&lt;/foreign-keys&gt;&lt;ref-type name="Government Document"&gt;46&lt;/ref-type&gt;&lt;contributors&gt;&lt;authors&gt;&lt;author&gt;NHMRC&lt;/author&gt;&lt;/authors&gt;&lt;secondary-authors&gt;&lt;author&gt;Department of Health&lt;/author&gt;&lt;/secondary-authors&gt;&lt;/contributors&gt;&lt;titles&gt;&lt;title&gt;Clinical practice guidelines for the management of overweight and obesity in adults, adolescents and children in Australia&lt;/title&gt;&lt;/titles&gt;&lt;dates&gt;&lt;year&gt;2013&lt;/year&gt;&lt;/dates&gt;&lt;pub-location&gt;Canberra&lt;/pub-location&gt;&lt;publisher&gt;Department of Health&lt;/publisher&gt;&lt;urls&gt;&lt;related-urls&gt;&lt;url&gt;https://nhmrc.gov.au/about-us/publications/clinical-practice-guidelines-management-overweight-and-obesity&lt;/url&gt;&lt;/related-urls&gt;&lt;/urls&gt;&lt;/record&gt;&lt;/Cite&gt;&lt;/EndNote&gt;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(NHMRC, 2013)</w:t>
      </w:r>
      <w:r w:rsidRPr="009D683D">
        <w:rPr>
          <w:rFonts w:ascii="Calibri" w:eastAsia="Calibri" w:hAnsi="Calibri" w:cs="Times New Roman"/>
          <w:sz w:val="22"/>
        </w:rPr>
        <w:fldChar w:fldCharType="end"/>
      </w:r>
    </w:p>
    <w:p w14:paraId="2CE060A3" w14:textId="77777777" w:rsidR="009D683D" w:rsidRPr="009D683D" w:rsidRDefault="009D683D" w:rsidP="009D683D">
      <w:pPr>
        <w:keepNext/>
        <w:keepLines/>
        <w:numPr>
          <w:ilvl w:val="4"/>
          <w:numId w:val="0"/>
        </w:numPr>
        <w:spacing w:before="40" w:after="0"/>
        <w:ind w:left="1008" w:hanging="1008"/>
        <w:outlineLvl w:val="4"/>
        <w:rPr>
          <w:rFonts w:ascii="Calibri Light" w:eastAsia="Times New Roman" w:hAnsi="Calibri Light" w:cs="Times New Roman"/>
          <w:sz w:val="22"/>
        </w:rPr>
      </w:pPr>
      <w:r w:rsidRPr="009D683D">
        <w:rPr>
          <w:rFonts w:ascii="Calibri Light" w:eastAsia="Times New Roman" w:hAnsi="Calibri Light" w:cs="Times New Roman"/>
          <w:sz w:val="22"/>
        </w:rPr>
        <w:lastRenderedPageBreak/>
        <w:t>Conservative approaches to weight loss</w:t>
      </w:r>
    </w:p>
    <w:p w14:paraId="36E80BEE"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Despite the importance of weight loss prior to transplantation, little is known about the best methods through which to achieve this, particularly in the setting of Indigenous dialysis patients (including low-energy diets and various community and health supports). However, cohort studies have indicated fewer than 10% of potential candidates lose some weight when requested for listing and even fewer (5%) attain the target BMI of less than 30 kg/m</w:t>
      </w:r>
      <w:r w:rsidRPr="009D683D">
        <w:rPr>
          <w:rFonts w:ascii="Calibri" w:eastAsia="Calibri" w:hAnsi="Calibri" w:cs="Times New Roman"/>
          <w:sz w:val="22"/>
          <w:vertAlign w:val="superscript"/>
        </w:rPr>
        <w:t>2</w:t>
      </w:r>
      <w:r w:rsidRPr="009D683D">
        <w:rPr>
          <w:rFonts w:ascii="Calibri" w:eastAsia="Calibri" w:hAnsi="Calibri" w:cs="Times New Roman"/>
          <w:sz w:val="22"/>
        </w:rPr>
        <w:t xml:space="preserve"> </w:t>
      </w:r>
      <w:r w:rsidRPr="009D683D">
        <w:rPr>
          <w:rFonts w:ascii="Calibri" w:eastAsia="Calibri" w:hAnsi="Calibri" w:cs="Times New Roman"/>
          <w:sz w:val="22"/>
        </w:rPr>
        <w:fldChar w:fldCharType="begin">
          <w:fldData xml:space="preserve">b2xfaW1hZ2Vfa2V5JnF1b3Q7KTsgfWZ1bmN0aW9uIGdldEltYWdlRnVsbFNpemVVcmwoKSB7IHJl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PEVuZE5vdGU+PENpdGU+PEF1dGhvcj5Ib3dhcmQ8L0F1dGhvcj48WWVhcj4yMDAyPC9ZZWFyPjxS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==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fldChar w:fldCharType="begin">
          <w:fldData xml:space="preserve">Q0FRSUNGZ01RQlFoRmJtUWdUbTkwWlFVSFJXNWtUbTkwWldjUUJRZFFjbTlqYVhSbEJRZFFjbTlq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==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fldChar w:fldCharType="begin">
          <w:fldData xml:space="preserve">b2xfaW1hZ2Vfa2V5JnF1b3Q7KTsgfWZ1bmN0aW9uIGdldEltYWdlRnVsbFNpemVVcmwoKSB7IHJl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(Howard et al., 2002)</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t>
      </w:r>
    </w:p>
    <w:p w14:paraId="7F1E8492"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To date, only one prospective cohort study has compared outcomes for transplant candidates who undertook a conservative weight loss regime involving a nutrition program, regular exercise, behavioural therapy and Orlistat (an oral lipase inhibitor) with a control group who were solely reliant on self-directed diet and exercise </w:t>
      </w:r>
      <w:r w:rsidRPr="009D683D">
        <w:rPr>
          <w:rFonts w:ascii="Calibri" w:eastAsia="Calibri" w:hAnsi="Calibri" w:cs="Times New Roman"/>
          <w:sz w:val="22"/>
        </w:rPr>
        <w:fldChar w:fldCharType="begin">
          <w:fldData xml:space="preserve">PEVuZE5vdGU+PENpdGU+PEF1dGhvcj5NYWNMYXVnaGxpbjwvQXV0aG9yPjxZZWFyPjIwMTA8L1ll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PEVuZE5vdGU+PENpdGU+PEF1dGhvcj5NYWNMYXVnaGxpbjwvQXV0aG9yPjxZZWFyPjIwMTA8L1ll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(MacLaughlin et al., 2010)</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Results after two years showed significantly more patients had achieved weight loss with acceptance to the wait list in the weight loss regime group (35%) compared to the self-directed diet and exercise control group (6%) </w:t>
      </w:r>
      <w:r w:rsidRPr="009D683D">
        <w:rPr>
          <w:rFonts w:ascii="Calibri" w:eastAsia="Calibri" w:hAnsi="Calibri" w:cs="Times New Roman"/>
          <w:sz w:val="22"/>
        </w:rPr>
        <w:fldChar w:fldCharType="begin">
          <w:fldData xml:space="preserve">PEVuZE5vdGU+PENpdGU+PEF1dGhvcj5NYWNMYXVnaGxpbjwvQXV0aG9yPjxZZWFyPjIwMTA8L1ll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PEVuZE5vdGU+PENpdGU+PEF1dGhvcj5NYWNMYXVnaGxpbjwvQXV0aG9yPjxZZWFyPjIwMTA8L1ll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(MacLaughlin et al., 2010)</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However, weight loss within the weight loss regime group was modest; on average, participants shed less than 10% of their baseline bodyweight over the two-year study period </w:t>
      </w:r>
      <w:r w:rsidRPr="009D683D">
        <w:rPr>
          <w:rFonts w:ascii="Calibri" w:eastAsia="Calibri" w:hAnsi="Calibri" w:cs="Times New Roman"/>
          <w:sz w:val="22"/>
        </w:rPr>
        <w:fldChar w:fldCharType="begin">
          <w:fldData xml:space="preserve">PEVuZE5vdGU+PENpdGU+PEF1dGhvcj5NYWNMYXVnaGxpbjwvQXV0aG9yPjxZZWFyPjIwMTA8L1ll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PEVuZE5vdGU+PENpdGU+PEF1dGhvcj5NYWNMYXVnaGxpbjwvQXV0aG9yPjxZZWFyPjIwMTA8L1ll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(MacLaughlin et al., 2010)</w:t>
      </w:r>
      <w:r w:rsidRPr="009D683D">
        <w:rPr>
          <w:rFonts w:ascii="Calibri" w:eastAsia="Calibri" w:hAnsi="Calibri" w:cs="Times New Roman"/>
          <w:sz w:val="22"/>
        </w:rPr>
        <w:fldChar w:fldCharType="end"/>
      </w:r>
      <w:r w:rsidRPr="009D683D">
        <w:rPr>
          <w:rFonts w:ascii="Calibri" w:eastAsia="Calibri" w:hAnsi="Calibri" w:cs="Times New Roman"/>
          <w:sz w:val="22"/>
        </w:rPr>
        <w:t>.</w:t>
      </w:r>
    </w:p>
    <w:p w14:paraId="50D0D072"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While it is broadly considered that significant voluntary weight loss in ESKD patients, even with intensive support, is difficult to achieve, the long-term sustainability, widespread applicability and actual benefits of a comprehensive, labour-intensive weight loss program in the kidney transplant population remains largely unknown. </w:t>
      </w:r>
    </w:p>
    <w:p w14:paraId="75D9858B" w14:textId="77777777" w:rsidR="009D683D" w:rsidRPr="009D683D" w:rsidRDefault="009D683D" w:rsidP="009D683D">
      <w:pPr>
        <w:keepNext/>
        <w:keepLines/>
        <w:numPr>
          <w:ilvl w:val="4"/>
          <w:numId w:val="0"/>
        </w:numPr>
        <w:spacing w:before="40" w:after="0"/>
        <w:ind w:left="1008" w:hanging="1008"/>
        <w:outlineLvl w:val="4"/>
        <w:rPr>
          <w:rFonts w:ascii="Calibri Light" w:eastAsia="Times New Roman" w:hAnsi="Calibri Light" w:cs="Times New Roman"/>
          <w:sz w:val="22"/>
        </w:rPr>
      </w:pPr>
      <w:r w:rsidRPr="009D683D">
        <w:rPr>
          <w:rFonts w:ascii="Calibri Light" w:eastAsia="Times New Roman" w:hAnsi="Calibri Light" w:cs="Times New Roman"/>
          <w:sz w:val="22"/>
        </w:rPr>
        <w:t>Surgical approaches to weight loss</w:t>
      </w:r>
    </w:p>
    <w:p w14:paraId="34E5276C"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In recent years, bariatric surgery has become a safer option for weight loss and has proven to be effective in patients with ESKD, providing a bridge to transplantation for those who were previously ineligible due to morbid obesity. An analysis of United States Medicare billing claims for open bariatric surgical procedures among kidney transplant candidates and recipients in the United States Renal Data System registry from 1991 to 2004 found that of the 188 cases of bariatric surgery identified, 72 surgeries were performed pre-waitlisting, 29 while on the waitlist, and 87 post-transplantation </w:t>
      </w:r>
      <w:r w:rsidRPr="009D683D">
        <w:rPr>
          <w:rFonts w:ascii="Calibri" w:eastAsia="Calibri" w:hAnsi="Calibri" w:cs="Times New Roman"/>
          <w:sz w:val="22"/>
        </w:rPr>
        <w:fldChar w:fldCharType="begin">
          <w:fldData xml:space="preserve">PEVuZE5vdGU+PENpdGU+PEF1dGhvcj5Nb2RhbmxvdTwvQXV0aG9yPjxZZWFyPjIwMDk8L1llYXI+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PEVuZE5vdGU+PENpdGU+PEF1dGhvcj5Nb2RhbmxvdTwvQXV0aG9yPjxZZWFyPjIwMDk8L1llYXI+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(Modanlou et al., 2009)</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Of the 29 waitlisted patients, 20 proceeded to kidney transplantation after bariatric surgery </w:t>
      </w:r>
      <w:r w:rsidRPr="009D683D">
        <w:rPr>
          <w:rFonts w:ascii="Calibri" w:eastAsia="Calibri" w:hAnsi="Calibri" w:cs="Times New Roman"/>
          <w:sz w:val="22"/>
        </w:rPr>
        <w:fldChar w:fldCharType="begin">
          <w:fldData xml:space="preserve">PEVuZE5vdGU+PENpdGU+PEF1dGhvcj5Nb2RhbmxvdTwvQXV0aG9yPjxZZWFyPjIwMDk8L1llYXI+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PEVuZE5vdGU+PENpdGU+PEF1dGhvcj5Nb2RhbmxvdTwvQXV0aG9yPjxZZWFyPjIwMDk8L1llYXI+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(Modanlou et al., 2009)</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Perioperative mortality (30-day) was 3.5% for both waitlisted and transplanted patients, primarily due to cardiac and infectious complications, comparable to some trials among patients without kidney disease </w:t>
      </w:r>
      <w:r w:rsidRPr="009D683D">
        <w:rPr>
          <w:rFonts w:ascii="Calibri" w:eastAsia="Calibri" w:hAnsi="Calibri" w:cs="Times New Roman"/>
          <w:sz w:val="22"/>
        </w:rPr>
        <w:fldChar w:fldCharType="begin">
          <w:fldData xml:space="preserve">PEVuZE5vdGU+PENpdGU+PEF1dGhvcj5Nb2RhbmxvdTwvQXV0aG9yPjxZZWFyPjIwMDk8L1llYXI+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PEVuZE5vdGU+PENpdGU+PEF1dGhvcj5Nb2RhbmxvdTwvQXV0aG9yPjxZZWFyPjIwMDk8L1llYXI+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(Modanlou et al., 2009)</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Mortality between 30 and 90 days after bariatric surgery was 3.5% for transplanted patients and 0% for patients on the waitlist at the time of surgery </w:t>
      </w:r>
      <w:r w:rsidRPr="009D683D">
        <w:rPr>
          <w:rFonts w:ascii="Calibri" w:eastAsia="Calibri" w:hAnsi="Calibri" w:cs="Times New Roman"/>
          <w:sz w:val="22"/>
        </w:rPr>
        <w:fldChar w:fldCharType="begin">
          <w:fldData xml:space="preserve">PEVuZE5vdGU+PENpdGU+PEF1dGhvcj5Nb2RhbmxvdTwvQXV0aG9yPjxZZWFyPjIwMDk8L1llYXI+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PEVuZE5vdGU+PENpdGU+PEF1dGhvcj5Nb2RhbmxvdTwvQXV0aG9yPjxZZWFyPjIwMDk8L1llYXI+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(Modanlou et al., 2009)</w:t>
      </w:r>
      <w:r w:rsidRPr="009D683D">
        <w:rPr>
          <w:rFonts w:ascii="Calibri" w:eastAsia="Calibri" w:hAnsi="Calibri" w:cs="Times New Roman"/>
          <w:sz w:val="22"/>
        </w:rPr>
        <w:fldChar w:fldCharType="end"/>
      </w:r>
      <w:r w:rsidRPr="009D683D">
        <w:rPr>
          <w:rFonts w:ascii="Calibri" w:eastAsia="Calibri" w:hAnsi="Calibri" w:cs="Times New Roman"/>
          <w:sz w:val="22"/>
        </w:rPr>
        <w:t>.</w:t>
      </w:r>
    </w:p>
    <w:p w14:paraId="562632E0"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A 2004 retrospective study found that bariatric surgery was safe and effectively facilitated weight loss in 30 morbidly obese patients with CKD or ESKD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&lt;EndNote&gt;&lt;Cite&gt;&lt;Author&gt;Alexander&lt;/Author&gt;&lt;Year&gt;2004&lt;/Year&gt;&lt;RecNum&gt;275&lt;/RecNum&gt;&lt;DisplayText&gt;(Alexander et al., 2004)&lt;/DisplayText&gt;&lt;record&gt;&lt;rec-number&gt;275&lt;/rec-number&gt;&lt;foreign-keys&gt;&lt;key app="EN" db-id="ews5ve9enfwav7etdtjvztfdrftvwrf9vrsx" timestamp="1544745296"&gt;275&lt;/key&gt;&lt;/foreign-keys&gt;&lt;ref-type name="Journal Article"&gt;17&lt;/ref-type&gt;&lt;contributors&gt;&lt;authors&gt;&lt;author&gt;Alexander, J. W.&lt;/author&gt;&lt;author&gt;Goodman, H. R.&lt;/author&gt;&lt;author&gt;Gersin, K.&lt;/author&gt;&lt;author&gt;Cardi, M.&lt;/author&gt;&lt;author&gt;Austin, J.&lt;/author&gt;&lt;author&gt;Goel, S.&lt;/author&gt;&lt;author&gt;Safdar, S.&lt;/author&gt;&lt;author&gt;Huang, S.&lt;/author&gt;&lt;author&gt;Woodle, E. S.&lt;/author&gt;&lt;/authors&gt;&lt;/contributors&gt;&lt;auth-address&gt;UC Surgeons, Inc. Center for Surgical Weight Loss, University of Cincinnati, Cincinnati, OH 45267-0558, USA. jwesley.Alexander@uc.edu&lt;/auth-address&gt;&lt;titles&gt;&lt;title&gt;Gastric bypass in morbidly obese patients with chronic renal failure and kidney transplant&lt;/title&gt;&lt;secondary-title&gt;Transplantation&lt;/secondary-title&gt;&lt;/titles&gt;&lt;periodical&gt;&lt;full-title&gt;Transplantation&lt;/full-title&gt;&lt;/periodical&gt;&lt;pages&gt;469-74&lt;/pages&gt;&lt;volume&gt;78&lt;/volume&gt;&lt;number&gt;3&lt;/number&gt;&lt;edition&gt;2004/08/19&lt;/edition&gt;&lt;keywords&gt;&lt;keyword&gt;Adult&lt;/keyword&gt;&lt;keyword&gt;Aged&lt;/keyword&gt;&lt;keyword&gt;Body Mass Index&lt;/keyword&gt;&lt;keyword&gt;*Gastric Bypass/methods/mortality&lt;/keyword&gt;&lt;keyword&gt;Humans&lt;/keyword&gt;&lt;keyword&gt;Kidney Failure, Chronic/*surgery&lt;/keyword&gt;&lt;keyword&gt;*Kidney Transplantation&lt;/keyword&gt;&lt;keyword&gt;Middle Aged&lt;/keyword&gt;&lt;keyword&gt;Obesity, Morbid/complications/*surgery&lt;/keyword&gt;&lt;keyword&gt;Renal Replacement Therapy&lt;/keyword&gt;&lt;keyword&gt;Survival Analysis&lt;/keyword&gt;&lt;/keywords&gt;&lt;dates&gt;&lt;year&gt;2004&lt;/year&gt;&lt;pub-dates&gt;&lt;date&gt;Aug 15&lt;/date&gt;&lt;/pub-dates&gt;&lt;/dates&gt;&lt;isbn&gt;0041-1337 (Print)&amp;#xD;0041-1337 (Linking)&lt;/isbn&gt;&lt;accession-num&gt;15316378&lt;/accession-num&gt;&lt;urls&gt;&lt;related-urls&gt;&lt;url&gt;https://www.ncbi.nlm.nih.gov/pubmed/15316378&lt;/url&gt;&lt;/related-urls&gt;&lt;/urls&gt;&lt;electronic-resource-num&gt;10.1097/01.Tp.0000128858.84976.27&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(Alexander et al., 2004)</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Of the ten patients who were on dialysis before bariatric surgery, three were waitlisted, four were scheduled for a living donor transplant, and three received a kidney transplant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&lt;EndNote&gt;&lt;Cite&gt;&lt;Author&gt;Alexander&lt;/Author&gt;&lt;Year&gt;2004&lt;/Year&gt;&lt;RecNum&gt;275&lt;/RecNum&gt;&lt;DisplayText&gt;(Alexander et al., 2004)&lt;/DisplayText&gt;&lt;record&gt;&lt;rec-number&gt;275&lt;/rec-number&gt;&lt;foreign-keys&gt;&lt;key app="EN" db-id="ews5ve9enfwav7etdtjvztfdrftvwrf9vrsx" timestamp="1544745296"&gt;275&lt;/key&gt;&lt;/foreign-keys&gt;&lt;ref-type name="Journal Article"&gt;17&lt;/ref-type&gt;&lt;contributors&gt;&lt;authors&gt;&lt;author&gt;Alexander, J. W.&lt;/author&gt;&lt;author&gt;Goodman, H. R.&lt;/author&gt;&lt;author&gt;Gersin, K.&lt;/author&gt;&lt;author&gt;Cardi, M.&lt;/author&gt;&lt;author&gt;Austin, J.&lt;/author&gt;&lt;author&gt;Goel, S.&lt;/author&gt;&lt;author&gt;Safdar, S.&lt;/author&gt;&lt;author&gt;Huang, S.&lt;/author&gt;&lt;author&gt;Woodle, E. S.&lt;/author&gt;&lt;/authors&gt;&lt;/contributors&gt;&lt;auth-address&gt;UC Surgeons, Inc. Center for Surgical Weight Loss, University of Cincinnati, Cincinnati, OH 45267-0558, USA. jwesley.Alexander@uc.edu&lt;/auth-address&gt;&lt;titles&gt;&lt;title&gt;Gastric bypass in morbidly obese patients with chronic renal failure and kidney transplant&lt;/title&gt;&lt;secondary-title&gt;Transplantation&lt;/secondary-title&gt;&lt;/titles&gt;&lt;periodical&gt;&lt;full-title&gt;Transplantation&lt;/full-title&gt;&lt;/periodical&gt;&lt;pages&gt;469-74&lt;/pages&gt;&lt;volume&gt;78&lt;/volume&gt;&lt;number&gt;3&lt;/number&gt;&lt;edition&gt;2004/08/19&lt;/edition&gt;&lt;keywords&gt;&lt;keyword&gt;Adult&lt;/keyword&gt;&lt;keyword&gt;Aged&lt;/keyword&gt;&lt;keyword&gt;Body Mass Index&lt;/keyword&gt;&lt;keyword&gt;*Gastric Bypass/methods/mortality&lt;/keyword&gt;&lt;keyword&gt;Humans&lt;/keyword&gt;&lt;keyword&gt;Kidney Failure, Chronic/*surgery&lt;/keyword&gt;&lt;keyword&gt;*Kidney Transplantation&lt;/keyword&gt;&lt;keyword&gt;Middle Aged&lt;/keyword&gt;&lt;keyword&gt;Obesity, Morbid/complications/*surgery&lt;/keyword&gt;&lt;keyword&gt;Renal Replacement Therapy&lt;/keyword&gt;&lt;keyword&gt;Survival Analysis&lt;/keyword&gt;&lt;/keywords&gt;&lt;dates&gt;&lt;year&gt;2004&lt;/year&gt;&lt;pub-dates&gt;&lt;date&gt;Aug 15&lt;/date&gt;&lt;/pub-dates&gt;&lt;/dates&gt;&lt;isbn&gt;0041-1337 (Print)&amp;#xD;0041-1337 (Linking)&lt;/isbn&gt;&lt;accession-num&gt;15316378&lt;/accession-num&gt;&lt;urls&gt;&lt;related-urls&gt;&lt;url&gt;https://www.ncbi.nlm.nih.gov/pubmed/15316378&lt;/url&gt;&lt;/related-urls&gt;&lt;/urls&gt;&lt;electronic-resource-num&gt;10.1097/01.Tp.0000128858.84976.27&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(Alexander et al., 2004)</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Only one complication was reported (abdominal wound infection). There were no perioperative deaths; the only death reported was due to cardiovascular disease, occurring 7.9 years after bariatric surgery and 6.1 years after transplantation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&lt;EndNote&gt;&lt;Cite&gt;&lt;Author&gt;Alexander&lt;/Author&gt;&lt;Year&gt;2004&lt;/Year&gt;&lt;RecNum&gt;275&lt;/RecNum&gt;&lt;DisplayText&gt;(Alexander et al., 2004)&lt;/DisplayText&gt;&lt;record&gt;&lt;rec-number&gt;275&lt;/rec-number&gt;&lt;foreign-keys&gt;&lt;key app="EN" db-id="ews5ve9enfwav7etdtjvztfdrftvwrf9vrsx" timestamp="1544745296"&gt;275&lt;/key&gt;&lt;/foreign-keys&gt;&lt;ref-type name="Journal Article"&gt;17&lt;/ref-type&gt;&lt;contributors&gt;&lt;authors&gt;&lt;author&gt;Alexander, J. W.&lt;/author&gt;&lt;author&gt;Goodman, H. R.&lt;/author&gt;&lt;author&gt;Gersin, K.&lt;/author&gt;&lt;author&gt;Cardi, M.&lt;/author&gt;&lt;author&gt;Austin, J.&lt;/author&gt;&lt;author&gt;Goel, S.&lt;/author&gt;&lt;author&gt;Safdar, S.&lt;/author&gt;&lt;author&gt;Huang, S.&lt;/author&gt;&lt;author&gt;Woodle, E. S.&lt;/author&gt;&lt;/authors&gt;&lt;/contributors&gt;&lt;auth-address&gt;UC Surgeons, Inc. Center for Surgical Weight Loss, University of Cincinnati, Cincinnati, OH 45267-0558, USA. jwesley.Alexander@uc.edu&lt;/auth-address&gt;&lt;titles&gt;&lt;title&gt;Gastric bypass in morbidly obese patients with chronic renal failure and kidney transplant&lt;/title&gt;&lt;secondary-title&gt;Transplantation&lt;/secondary-title&gt;&lt;/titles&gt;&lt;periodical&gt;&lt;full-title&gt;Transplantation&lt;/full-title&gt;&lt;/periodical&gt;&lt;pages&gt;469-74&lt;/pages&gt;&lt;volume&gt;78&lt;/volume&gt;&lt;number&gt;3&lt;/number&gt;&lt;edition&gt;2004/08/19&lt;/edition&gt;&lt;keywords&gt;&lt;keyword&gt;Adult&lt;/keyword&gt;&lt;keyword&gt;Aged&lt;/keyword&gt;&lt;keyword&gt;Body Mass Index&lt;/keyword&gt;&lt;keyword&gt;*Gastric Bypass/methods/mortality&lt;/keyword&gt;&lt;keyword&gt;Humans&lt;/keyword&gt;&lt;keyword&gt;Kidney Failure, Chronic/*surgery&lt;/keyword&gt;&lt;keyword&gt;*Kidney Transplantation&lt;/keyword&gt;&lt;keyword&gt;Middle Aged&lt;/keyword&gt;&lt;keyword&gt;Obesity, Morbid/complications/*surgery&lt;/keyword&gt;&lt;keyword&gt;Renal Replacement Therapy&lt;/keyword&gt;&lt;keyword&gt;Survival Analysis&lt;/keyword&gt;&lt;/keywords&gt;&lt;dates&gt;&lt;year&gt;2004&lt;/year&gt;&lt;pub-dates&gt;&lt;date&gt;Aug 15&lt;/date&gt;&lt;/pub-dates&gt;&lt;/dates&gt;&lt;isbn&gt;0041-1337 (Print)&amp;#xD;0041-1337 (Linking)&lt;/isbn&gt;&lt;accession-num&gt;15316378&lt;/accession-num&gt;&lt;urls&gt;&lt;related-urls&gt;&lt;url&gt;https://www.ncbi.nlm.nih.gov/pubmed/15316378&lt;/url&gt;&lt;/related-urls&gt;&lt;/urls&gt;&lt;electronic-resource-num&gt;10.1097/01.Tp.0000128858.84976.27&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(Alexander et al., 2004)</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t>
      </w:r>
    </w:p>
    <w:p w14:paraId="127A90A6"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The same group of researchers conducted a prospective study from 2011 to 2014, during which time all kidney transplant candidates meeting National Institutes of Health criteria for bariatric surgery were referred to a multi-disciplinary clinic that included a bariatric surgeon, dietician and coordinator </w:t>
      </w:r>
      <w:r w:rsidRPr="009D683D">
        <w:rPr>
          <w:rFonts w:ascii="Calibri" w:eastAsia="Calibri" w:hAnsi="Calibri" w:cs="Times New Roman"/>
          <w:sz w:val="22"/>
        </w:rPr>
        <w:lastRenderedPageBreak/>
        <w:fldChar w:fldCharType="begin">
          <w:fldData xml:space="preserve">PEVuZE5vdGU+PENpdGU+PEF1dGhvcj5GcmVlbWFuPC9BdXRob3I+PFllYXI+MjAxNTwvWWVhcj48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PEVuZE5vdGU+PENpdGU+PEF1dGhvcj5GcmVlbWFuPC9BdXRob3I+PFllYXI+MjAxNTwvWWVhcj48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(C. M. Freeman et al., 2015)</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Of 170 patients deemed eligible for both bariatric surgery and kidney transplantation, 52 (47 of whom were on dialysis) underwent bariatric surgery before the end of 2014 </w:t>
      </w:r>
      <w:r w:rsidRPr="009D683D">
        <w:rPr>
          <w:rFonts w:ascii="Calibri" w:eastAsia="Calibri" w:hAnsi="Calibri" w:cs="Times New Roman"/>
          <w:sz w:val="22"/>
        </w:rPr>
        <w:fldChar w:fldCharType="begin">
          <w:fldData xml:space="preserve">PEVuZE5vdGU+PENpdGU+PEF1dGhvcj5GcmVlbWFuPC9BdXRob3I+PFllYXI+MjAxNTwvWWVhcj48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PEVuZE5vdGU+PENpdGU+PEF1dGhvcj5GcmVlbWFuPC9BdXRob3I+PFllYXI+MjAxNTwvWWVhcj48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(C. M. Freeman et al., 2015)</w:t>
      </w:r>
      <w:r w:rsidRPr="009D683D">
        <w:rPr>
          <w:rFonts w:ascii="Calibri" w:eastAsia="Calibri" w:hAnsi="Calibri" w:cs="Times New Roman"/>
          <w:sz w:val="22"/>
        </w:rPr>
        <w:fldChar w:fldCharType="end"/>
      </w:r>
      <w:r w:rsidRPr="009D683D">
        <w:rPr>
          <w:rFonts w:ascii="Calibri" w:eastAsia="Calibri" w:hAnsi="Calibri" w:cs="Times New Roman"/>
          <w:sz w:val="22"/>
        </w:rPr>
        <w:t>. Among this cohort, the mean BMI decreased from 43.0 to 36.4 following surgery. The majority of patients (55.8%) achieved the ‘goal BMI’ of less than 35 kg/m</w:t>
      </w:r>
      <w:r w:rsidRPr="009D683D">
        <w:rPr>
          <w:rFonts w:ascii="Calibri" w:eastAsia="Calibri" w:hAnsi="Calibri" w:cs="Times New Roman"/>
          <w:sz w:val="22"/>
          <w:vertAlign w:val="superscript"/>
        </w:rPr>
        <w:t>2</w:t>
      </w:r>
      <w:r w:rsidRPr="009D683D">
        <w:rPr>
          <w:rFonts w:ascii="Calibri" w:eastAsia="Calibri" w:hAnsi="Calibri" w:cs="Times New Roman"/>
          <w:sz w:val="22"/>
        </w:rPr>
        <w:t xml:space="preserve"> and were subsequently placed on the waitlist, with 6 patients receiving kidney transplants after bariatric surgery </w:t>
      </w:r>
      <w:r w:rsidRPr="009D683D">
        <w:rPr>
          <w:rFonts w:ascii="Calibri" w:eastAsia="Calibri" w:hAnsi="Calibri" w:cs="Times New Roman"/>
          <w:sz w:val="22"/>
        </w:rPr>
        <w:fldChar w:fldCharType="begin">
          <w:fldData xml:space="preserve">PEVuZE5vdGU+PENpdGU+PEF1dGhvcj5GcmVlbWFuPC9BdXRob3I+PFllYXI+MjAxNTwvWWVhcj48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PEVuZE5vdGU+PENpdGU+PEF1dGhvcj5GcmVlbWFuPC9BdXRob3I+PFllYXI+MjAxNTwvWWVhcj48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(C. M. Freeman et al., 2015)</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t>
      </w:r>
    </w:p>
    <w:p w14:paraId="030BD88C"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In summary, contemporary bariatric surgery techniques have proven to be effective in achieving sustained weight loss, with total weight loss averaging 20% to 35% of total body weight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&lt;EndNote&gt;&lt;Cite&gt;&lt;Author&gt;Chang&lt;/Author&gt;&lt;Year&gt;2017&lt;/Year&gt;&lt;RecNum&gt;279&lt;/RecNum&gt;&lt;DisplayText&gt;(A. R. Chang, Grams, &amp;amp; Navaneethan, 2017)&lt;/DisplayText&gt;&lt;record&gt;&lt;rec-number&gt;279&lt;/rec-number&gt;&lt;foreign-keys&gt;&lt;key app="EN" db-id="ews5ve9enfwav7etdtjvztfdrftvwrf9vrsx" timestamp="1544746653"&gt;279&lt;/key&gt;&lt;/foreign-keys&gt;&lt;ref-type name="Journal Article"&gt;17&lt;/ref-type&gt;&lt;contributors&gt;&lt;authors&gt;&lt;author&gt;Chang, A. R.&lt;/author&gt;&lt;author&gt;Grams, M. E.&lt;/author&gt;&lt;author&gt;Navaneethan, S. D.&lt;/author&gt;&lt;/authors&gt;&lt;/contributors&gt;&lt;auth-address&gt;Kidney Health Research Institute, Geisinger Health System, Danville, Pennsylvania, USA.&amp;#xD;Department of Epidemiology and Health Services Research, Geisinger Health System, Danville, Pennsylvania, USA.&amp;#xD;Welch Center for Prevention, Epidemiology, and Clinical Research, Johns Hopkins University, Baltimore, Maryland, USA.&amp;#xD;Divison of Nephrology, Johns Hopkins University, Baltimore, Maryland, USA.&amp;#xD;Selzman Institute for Kidney Health, Section of Nephrology, Department of Medicine, Baylor College of Medicine, Houston, Texas, USA.&amp;#xD;Section of Nephrology, Michael E. DeBakey Veterans Affairs Medical Center, Houston, Texas, USA.&lt;/auth-address&gt;&lt;titles&gt;&lt;title&gt;Bariatric Surgery and Kidney-Related Outcomes&lt;/title&gt;&lt;secondary-title&gt;Kidney Int Rep&lt;/secondary-title&gt;&lt;/titles&gt;&lt;periodical&gt;&lt;full-title&gt;Kidney Int Rep&lt;/full-title&gt;&lt;/periodical&gt;&lt;pages&gt;261-270&lt;/pages&gt;&lt;volume&gt;2&lt;/volume&gt;&lt;number&gt;2&lt;/number&gt;&lt;edition&gt;2017/04/26&lt;/edition&gt;&lt;keywords&gt;&lt;keyword&gt;bariatric surgery&lt;/keyword&gt;&lt;keyword&gt;glomerular filtration rate&lt;/keyword&gt;&lt;keyword&gt;kidney&lt;/keyword&gt;&lt;keyword&gt;morbid obesity&lt;/keyword&gt;&lt;keyword&gt;obesity&lt;/keyword&gt;&lt;/keywords&gt;&lt;dates&gt;&lt;year&gt;2017&lt;/year&gt;&lt;pub-dates&gt;&lt;date&gt;Mar&lt;/date&gt;&lt;/pub-dates&gt;&lt;/dates&gt;&lt;isbn&gt;2468-0249 (Print)&amp;#xD;2468-0249 (Linking)&lt;/isbn&gt;&lt;accession-num&gt;28439568&lt;/accession-num&gt;&lt;urls&gt;&lt;related-urls&gt;&lt;url&gt;https://www.ncbi.nlm.nih.gov/pubmed/28439568&lt;/url&gt;&lt;/related-urls&gt;&lt;/urls&gt;&lt;custom2&gt;PMC5399773&lt;/custom2&gt;&lt;electronic-resource-num&gt;10.1016/j.ekir.2017.01.010&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 R. Chang, Grams, &amp; Navaneethan, 2017)</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In the general population, bariatric surgery has also been found to have a positive impact on type 2 diabetes and kidney function; a systematic review of bariatric surgery studies with long-term follow up reported remission rates for type 2 diabetes of 66.7% for patients who received a </w:t>
      </w:r>
      <w:proofErr w:type="spellStart"/>
      <w:r w:rsidRPr="009D683D">
        <w:rPr>
          <w:rFonts w:ascii="Calibri" w:eastAsia="Calibri" w:hAnsi="Calibri" w:cs="Times New Roman"/>
          <w:sz w:val="22"/>
        </w:rPr>
        <w:t>Roux-en-y</w:t>
      </w:r>
      <w:proofErr w:type="spellEnd"/>
      <w:r w:rsidRPr="009D683D">
        <w:rPr>
          <w:rFonts w:ascii="Calibri" w:eastAsia="Calibri" w:hAnsi="Calibri" w:cs="Times New Roman"/>
          <w:sz w:val="22"/>
        </w:rPr>
        <w:t xml:space="preserve"> gastric bypass </w:t>
      </w:r>
      <w:r w:rsidRPr="009D683D">
        <w:rPr>
          <w:rFonts w:ascii="Calibri" w:eastAsia="Calibri" w:hAnsi="Calibri" w:cs="Times New Roman"/>
          <w:sz w:val="22"/>
        </w:rPr>
        <w:fldChar w:fldCharType="begin">
          <w:fldData xml:space="preserve">PEVuZE5vdGU+PENpdGU+PEF1dGhvcj5QdXp6aWZlcnJpPC9BdXRob3I+PFllYXI+MjAxNDwvWWVh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PEVuZE5vdGU+PENpdGU+PEF1dGhvcj5QdXp6aWZlcnJpPC9BdXRob3I+PFllYXI+MjAxNDwvWWVh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(Puzziferri et al., 2014)</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and a number of studies have identified decreases in albuminuria and proteinuria after bariatric surgery </w:t>
      </w:r>
      <w:r w:rsidRPr="009D683D">
        <w:rPr>
          <w:rFonts w:ascii="Calibri" w:eastAsia="Calibri" w:hAnsi="Calibri" w:cs="Times New Roman"/>
          <w:sz w:val="22"/>
        </w:rPr>
        <w:fldChar w:fldCharType="begin">
          <w:fldData xml:space="preserve">PEVuZE5vdGU+PENpdGU+PEF1dGhvcj5MaTwvQXV0aG9yPjxZZWFyPjIwMTY8L1llYXI+PFJlY051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==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PEVuZE5vdGU+PENpdGU+PEF1dGhvcj5MaTwvQXV0aG9yPjxZZWFyPjIwMTY8L1llYXI+PFJlY051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==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(Afshinnia, Wilt, Duval, Esmaeili, &amp; Ibrahim, 2010; Li et al., 2016)</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However, bariatric surgery poses a number of substantial perioperative and postoperative risks, including infection, respiratory failure, acute kidney injury and death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&lt;EndNote&gt;&lt;Cite&gt;&lt;Author&gt;Chang&lt;/Author&gt;&lt;Year&gt;2017&lt;/Year&gt;&lt;RecNum&gt;279&lt;/RecNum&gt;&lt;DisplayText&gt;(A. R. Chang et al., 2017)&lt;/DisplayText&gt;&lt;record&gt;&lt;rec-number&gt;279&lt;/rec-number&gt;&lt;foreign-keys&gt;&lt;key app="EN" db-id="ews5ve9enfwav7etdtjvztfdrftvwrf9vrsx" timestamp="1544746653"&gt;279&lt;/key&gt;&lt;/foreign-keys&gt;&lt;ref-type name="Journal Article"&gt;17&lt;/ref-type&gt;&lt;contributors&gt;&lt;authors&gt;&lt;author&gt;Chang, A. R.&lt;/author&gt;&lt;author&gt;Grams, M. E.&lt;/author&gt;&lt;author&gt;Navaneethan, S. D.&lt;/author&gt;&lt;/authors&gt;&lt;/contributors&gt;&lt;auth-address&gt;Kidney Health Research Institute, Geisinger Health System, Danville, Pennsylvania, USA.&amp;#xD;Department of Epidemiology and Health Services Research, Geisinger Health System, Danville, Pennsylvania, USA.&amp;#xD;Welch Center for Prevention, Epidemiology, and Clinical Research, Johns Hopkins University, Baltimore, Maryland, USA.&amp;#xD;Divison of Nephrology, Johns Hopkins University, Baltimore, Maryland, USA.&amp;#xD;Selzman Institute for Kidney Health, Section of Nephrology, Department of Medicine, Baylor College of Medicine, Houston, Texas, USA.&amp;#xD;Section of Nephrology, Michael E. DeBakey Veterans Affairs Medical Center, Houston, Texas, USA.&lt;/auth-address&gt;&lt;titles&gt;&lt;title&gt;Bariatric Surgery and Kidney-Related Outcomes&lt;/title&gt;&lt;secondary-title&gt;Kidney Int Rep&lt;/secondary-title&gt;&lt;/titles&gt;&lt;periodical&gt;&lt;full-title&gt;Kidney Int Rep&lt;/full-title&gt;&lt;/periodical&gt;&lt;pages&gt;261-270&lt;/pages&gt;&lt;volume&gt;2&lt;/volume&gt;&lt;number&gt;2&lt;/number&gt;&lt;edition&gt;2017/04/26&lt;/edition&gt;&lt;keywords&gt;&lt;keyword&gt;bariatric surgery&lt;/keyword&gt;&lt;keyword&gt;glomerular filtration rate&lt;/keyword&gt;&lt;keyword&gt;kidney&lt;/keyword&gt;&lt;keyword&gt;morbid obesity&lt;/keyword&gt;&lt;keyword&gt;obesity&lt;/keyword&gt;&lt;/keywords&gt;&lt;dates&gt;&lt;year&gt;2017&lt;/year&gt;&lt;pub-dates&gt;&lt;date&gt;Mar&lt;/date&gt;&lt;/pub-dates&gt;&lt;/dates&gt;&lt;isbn&gt;2468-0249 (Print)&amp;#xD;2468-0249 (Linking)&lt;/isbn&gt;&lt;accession-num&gt;28439568&lt;/accession-num&gt;&lt;urls&gt;&lt;related-urls&gt;&lt;url&gt;https://www.ncbi.nlm.nih.gov/pubmed/28439568&lt;/url&gt;&lt;/related-urls&gt;&lt;/urls&gt;&lt;custom2&gt;PMC5399773&lt;/custom2&gt;&lt;electronic-resource-num&gt;10.1016/j.ekir.2017.01.010&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 R. Chang et al., 2017)</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These risks must be evaluated when considering patients’ suitability for bariatric procedures, and balance against the potential health gains following transplantation. </w:t>
      </w:r>
    </w:p>
    <w:p w14:paraId="787F14B9"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In Australia, bariatric surgery procedures have been listed on the MBS since 1992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&lt;EndNote&gt;&lt;Cite&gt;&lt;Author&gt;Korda&lt;/Author&gt;&lt;Year&gt;2012&lt;/Year&gt;&lt;RecNum&gt;349&lt;/RecNum&gt;&lt;DisplayText&gt;(Korda, Joshy, Jorm, Butler, &amp;amp; Banks, 2012)&lt;/DisplayText&gt;&lt;record&gt;&lt;rec-number&gt;349&lt;/rec-number&gt;&lt;foreign-keys&gt;&lt;key app="EN" db-id="ews5ve9enfwav7etdtjvztfdrftvwrf9vrsx" timestamp="1546400677"&gt;349&lt;/key&gt;&lt;/foreign-keys&gt;&lt;ref-type name="Journal Article"&gt;17&lt;/ref-type&gt;&lt;contributors&gt;&lt;authors&gt;&lt;author&gt;Korda, R. J.&lt;/author&gt;&lt;author&gt;Joshy, G.&lt;/author&gt;&lt;author&gt;Jorm, L. R.&lt;/author&gt;&lt;author&gt;Butler, J.&lt;/author&gt;&lt;author&gt;Banks, E.&lt;/author&gt;&lt;/authors&gt;&lt;/contributors&gt;&lt;titles&gt;&lt;title&gt;Inequalities in bariatric surgery in Australia: findings from 49 364 obese participants in a prospective cohort study&lt;/title&gt;&lt;secondary-title&gt;Med J Aust&lt;/secondary-title&gt;&lt;/titles&gt;&lt;periodical&gt;&lt;full-title&gt;Med J Aust&lt;/full-title&gt;&lt;/periodical&gt;&lt;pages&gt;631-636&lt;/pages&gt;&lt;volume&gt;197&lt;/volume&gt;&lt;number&gt;11&lt;/number&gt;&lt;dates&gt;&lt;year&gt;2012&lt;/year&gt;&lt;/dates&gt;&lt;urls&gt;&lt;/urls&gt;&lt;electronic-resource-num&gt;10.5694/mja12.11035 &lt;/electronic-resource-num&gt;&lt;/record&gt;&lt;/Cite&gt;&lt;/EndNote&gt;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(Korda, Joshy, Jorm, Butler, &amp; Banks, 2012)</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Admissions for this surgery rose from 9,300 to around 22,700 between 2005-06 and 2014-15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&lt;EndNote&gt;&lt;Cite&gt;&lt;Author&gt;AIHW&lt;/Author&gt;&lt;Year&gt;2017&lt;/Year&gt;&lt;RecNum&gt;348&lt;/RecNum&gt;&lt;DisplayText&gt;(AIHW, 2017)&lt;/DisplayText&gt;&lt;record&gt;&lt;rec-number&gt;348&lt;/rec-number&gt;&lt;foreign-keys&gt;&lt;key app="EN" db-id="ews5ve9enfwav7etdtjvztfdrftvwrf9vrsx" timestamp="1546400492"&gt;348&lt;/key&gt;&lt;/foreign-keys&gt;&lt;ref-type name="Government Document"&gt;46&lt;/ref-type&gt;&lt;contributors&gt;&lt;authors&gt;&lt;author&gt;AIHW&lt;/author&gt;&lt;/authors&gt;&lt;secondary-authors&gt;&lt;author&gt;Australian Institute of Health and Welfare&lt;/author&gt;&lt;/secondary-authors&gt;&lt;/contributors&gt;&lt;titles&gt;&lt;title&gt;Weight loss surgery in Australia 2014-15: Australian hospital statistics &lt;/title&gt;&lt;/titles&gt;&lt;dates&gt;&lt;year&gt;2017&lt;/year&gt;&lt;/dates&gt;&lt;pub-location&gt;Canberra, Australia&lt;/pub-location&gt;&lt;publisher&gt;Australian Institute of Health and Welfare&lt;/publisher&gt;&lt;urls&gt;&lt;related-urls&gt;&lt;url&gt;https://www.aihw.gov.au/reports/hospitals/ahs-2014-15-weight-loss-surgery/contents/table-of-contents&lt;/url&gt;&lt;/related-urls&gt;&lt;/urls&gt;&lt;/record&gt;&lt;/Cite&gt;&lt;/EndNote&gt;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(AIHW, 2017)</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In 2014-15, more than 124,600 weight loss surgery-related procedures were billed to Medicare, including those provided in public and private hospitals and in non-hospital settings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&lt;EndNote&gt;&lt;Cite&gt;&lt;Author&gt;AIHW&lt;/Author&gt;&lt;Year&gt;2017&lt;/Year&gt;&lt;RecNum&gt;348&lt;/RecNum&gt;&lt;DisplayText&gt;(AIHW, 2017)&lt;/DisplayText&gt;&lt;record&gt;&lt;rec-number&gt;348&lt;/rec-number&gt;&lt;foreign-keys&gt;&lt;key app="EN" db-id="ews5ve9enfwav7etdtjvztfdrftvwrf9vrsx" timestamp="1546400492"&gt;348&lt;/key&gt;&lt;/foreign-keys&gt;&lt;ref-type name="Government Document"&gt;46&lt;/ref-type&gt;&lt;contributors&gt;&lt;authors&gt;&lt;author&gt;AIHW&lt;/author&gt;&lt;/authors&gt;&lt;secondary-authors&gt;&lt;author&gt;Australian Institute of Health and Welfare&lt;/author&gt;&lt;/secondary-authors&gt;&lt;/contributors&gt;&lt;titles&gt;&lt;title&gt;Weight loss surgery in Australia 2014-15: Australian hospital statistics &lt;/title&gt;&lt;/titles&gt;&lt;dates&gt;&lt;year&gt;2017&lt;/year&gt;&lt;/dates&gt;&lt;pub-location&gt;Canberra, Australia&lt;/pub-location&gt;&lt;publisher&gt;Australian Institute of Health and Welfare&lt;/publisher&gt;&lt;urls&gt;&lt;related-urls&gt;&lt;url&gt;https://www.aihw.gov.au/reports/hospitals/ahs-2014-15-weight-loss-surgery/contents/table-of-contents&lt;/url&gt;&lt;/related-urls&gt;&lt;/urls&gt;&lt;/record&gt;&lt;/Cite&gt;&lt;/EndNote&gt;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(AIHW, 2017)</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However, most of this surgery (around 89%) is carried out in private hospitals and incurs substantial out-of-pocket costs, resulting in large socioeconomic inequalities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&lt;EndNote&gt;&lt;Cite&gt;&lt;Author&gt;AIHW&lt;/Author&gt;&lt;Year&gt;2017&lt;/Year&gt;&lt;RecNum&gt;348&lt;/RecNum&gt;&lt;DisplayText&gt;(AIHW, 2017)&lt;/DisplayText&gt;&lt;record&gt;&lt;rec-number&gt;348&lt;/rec-number&gt;&lt;foreign-keys&gt;&lt;key app="EN" db-id="ews5ve9enfwav7etdtjvztfdrftvwrf9vrsx" timestamp="1546400492"&gt;348&lt;/key&gt;&lt;/foreign-keys&gt;&lt;ref-type name="Government Document"&gt;46&lt;/ref-type&gt;&lt;contributors&gt;&lt;authors&gt;&lt;author&gt;AIHW&lt;/author&gt;&lt;/authors&gt;&lt;secondary-authors&gt;&lt;author&gt;Australian Institute of Health and Welfare&lt;/author&gt;&lt;/secondary-authors&gt;&lt;/contributors&gt;&lt;titles&gt;&lt;title&gt;Weight loss surgery in Australia 2014-15: Australian hospital statistics &lt;/title&gt;&lt;/titles&gt;&lt;dates&gt;&lt;year&gt;2017&lt;/year&gt;&lt;/dates&gt;&lt;pub-location&gt;Canberra, Australia&lt;/pub-location&gt;&lt;publisher&gt;Australian Institute of Health and Welfare&lt;/publisher&gt;&lt;urls&gt;&lt;related-urls&gt;&lt;url&gt;https://www.aihw.gov.au/reports/hospitals/ahs-2014-15-weight-loss-surgery/contents/table-of-contents&lt;/url&gt;&lt;/related-urls&gt;&lt;/urls&gt;&lt;/record&gt;&lt;/Cite&gt;&lt;/EndNote&gt;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(AIHW, 2017)</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Around 344 Indigenous weight loss surgery procedures were performed in 2014-15, with 259 of these occurring in private hospitals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&lt;EndNote&gt;&lt;Cite&gt;&lt;Author&gt;AIHW&lt;/Author&gt;&lt;Year&gt;2017&lt;/Year&gt;&lt;RecNum&gt;348&lt;/RecNum&gt;&lt;DisplayText&gt;(AIHW, 2017)&lt;/DisplayText&gt;&lt;record&gt;&lt;rec-number&gt;348&lt;/rec-number&gt;&lt;foreign-keys&gt;&lt;key app="EN" db-id="ews5ve9enfwav7etdtjvztfdrftvwrf9vrsx" timestamp="1546400492"&gt;348&lt;/key&gt;&lt;/foreign-keys&gt;&lt;ref-type name="Government Document"&gt;46&lt;/ref-type&gt;&lt;contributors&gt;&lt;authors&gt;&lt;author&gt;AIHW&lt;/author&gt;&lt;/authors&gt;&lt;secondary-authors&gt;&lt;author&gt;Australian Institute of Health and Welfare&lt;/author&gt;&lt;/secondary-authors&gt;&lt;/contributors&gt;&lt;titles&gt;&lt;title&gt;Weight loss surgery in Australia 2014-15: Australian hospital statistics &lt;/title&gt;&lt;/titles&gt;&lt;dates&gt;&lt;year&gt;2017&lt;/year&gt;&lt;/dates&gt;&lt;pub-location&gt;Canberra, Australia&lt;/pub-location&gt;&lt;publisher&gt;Australian Institute of Health and Welfare&lt;/publisher&gt;&lt;urls&gt;&lt;related-urls&gt;&lt;url&gt;https://www.aihw.gov.au/reports/hospitals/ahs-2014-15-weight-loss-surgery/contents/table-of-contents&lt;/url&gt;&lt;/related-urls&gt;&lt;/urls&gt;&lt;/record&gt;&lt;/Cite&gt;&lt;/EndNote&gt;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(AIHW, 2017)</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Indigenous Australians had a higher rate of weight loss surgery in public hospitals than other Australians (1.6 and 1.2 procedures per 10,000 population, respectively), with the median waiting time for all elective bariatric surgery procedures being 73 days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&lt;EndNote&gt;&lt;Cite&gt;&lt;Author&gt;AIHW&lt;/Author&gt;&lt;Year&gt;2017&lt;/Year&gt;&lt;RecNum&gt;348&lt;/RecNum&gt;&lt;DisplayText&gt;(AIHW, 2017)&lt;/DisplayText&gt;&lt;record&gt;&lt;rec-number&gt;348&lt;/rec-number&gt;&lt;foreign-keys&gt;&lt;key app="EN" db-id="ews5ve9enfwav7etdtjvztfdrftvwrf9vrsx" timestamp="1546400492"&gt;348&lt;/key&gt;&lt;/foreign-keys&gt;&lt;ref-type name="Government Document"&gt;46&lt;/ref-type&gt;&lt;contributors&gt;&lt;authors&gt;&lt;author&gt;AIHW&lt;/author&gt;&lt;/authors&gt;&lt;secondary-authors&gt;&lt;author&gt;Australian Institute of Health and Welfare&lt;/author&gt;&lt;/secondary-authors&gt;&lt;/contributors&gt;&lt;titles&gt;&lt;title&gt;Weight loss surgery in Australia 2014-15: Australian hospital statistics &lt;/title&gt;&lt;/titles&gt;&lt;dates&gt;&lt;year&gt;2017&lt;/year&gt;&lt;/dates&gt;&lt;pub-location&gt;Canberra, Australia&lt;/pub-location&gt;&lt;publisher&gt;Australian Institute of Health and Welfare&lt;/publisher&gt;&lt;urls&gt;&lt;related-urls&gt;&lt;url&gt;https://www.aihw.gov.au/reports/hospitals/ahs-2014-15-weight-loss-surgery/contents/table-of-contents&lt;/url&gt;&lt;/related-urls&gt;&lt;/urls&gt;&lt;/record&gt;&lt;/Cite&gt;&lt;/EndNote&gt;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(AIHW, 2017)</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In private hospitals, other Australians had higher rates for weight loss surgery than Indigenous Australians (8.7 and 4.7 procedures per 10,000 population, respectively)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&lt;EndNote&gt;&lt;Cite&gt;&lt;Author&gt;AIHW&lt;/Author&gt;&lt;Year&gt;2017&lt;/Year&gt;&lt;RecNum&gt;348&lt;/RecNum&gt;&lt;DisplayText&gt;(AIHW, 2017)&lt;/DisplayText&gt;&lt;record&gt;&lt;rec-number&gt;348&lt;/rec-number&gt;&lt;foreign-keys&gt;&lt;key app="EN" db-id="ews5ve9enfwav7etdtjvztfdrftvwrf9vrsx" timestamp="1546400492"&gt;348&lt;/key&gt;&lt;/foreign-keys&gt;&lt;ref-type name="Government Document"&gt;46&lt;/ref-type&gt;&lt;contributors&gt;&lt;authors&gt;&lt;author&gt;AIHW&lt;/author&gt;&lt;/authors&gt;&lt;secondary-authors&gt;&lt;author&gt;Australian Institute of Health and Welfare&lt;/author&gt;&lt;/secondary-authors&gt;&lt;/contributors&gt;&lt;titles&gt;&lt;title&gt;Weight loss surgery in Australia 2014-15: Australian hospital statistics &lt;/title&gt;&lt;/titles&gt;&lt;dates&gt;&lt;year&gt;2017&lt;/year&gt;&lt;/dates&gt;&lt;pub-location&gt;Canberra, Australia&lt;/pub-location&gt;&lt;publisher&gt;Australian Institute of Health and Welfare&lt;/publisher&gt;&lt;urls&gt;&lt;related-urls&gt;&lt;url&gt;https://www.aihw.gov.au/reports/hospitals/ahs-2014-15-weight-loss-surgery/contents/table-of-contents&lt;/url&gt;&lt;/related-urls&gt;&lt;/urls&gt;&lt;/record&gt;&lt;/Cite&gt;&lt;/EndNote&gt;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(AIHW, 2017)</w:t>
      </w:r>
      <w:r w:rsidRPr="009D683D">
        <w:rPr>
          <w:rFonts w:ascii="Calibri" w:eastAsia="Calibri" w:hAnsi="Calibri" w:cs="Times New Roman"/>
          <w:sz w:val="22"/>
        </w:rPr>
        <w:fldChar w:fldCharType="end"/>
      </w:r>
      <w:r w:rsidRPr="009D683D">
        <w:rPr>
          <w:rFonts w:ascii="Calibri" w:eastAsia="Calibri" w:hAnsi="Calibri" w:cs="Times New Roman"/>
          <w:sz w:val="22"/>
        </w:rPr>
        <w:t>. Increasing the accessibility of publicly-funded bariatric surgery is an important step in reducing health inequality and ensuring Indigenous patients, who experience higher rates of obesity and financial disadvantage, are able to undergo essential weight loss surgery when required.</w:t>
      </w:r>
    </w:p>
    <w:p w14:paraId="3E4B014F" w14:textId="77777777"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Targeted weight loss strategies for Indigenous kidney transplant candidates</w:t>
      </w:r>
    </w:p>
    <w:p w14:paraId="5E7E0718" w14:textId="77777777" w:rsidR="009D683D" w:rsidRPr="009D683D" w:rsidRDefault="009D683D" w:rsidP="009D683D">
      <w:pPr>
        <w:keepNext/>
        <w:keepLines/>
        <w:numPr>
          <w:ilvl w:val="4"/>
          <w:numId w:val="0"/>
        </w:numPr>
        <w:spacing w:before="40" w:after="0"/>
        <w:ind w:left="1008" w:hanging="1008"/>
        <w:outlineLvl w:val="4"/>
        <w:rPr>
          <w:rFonts w:ascii="Calibri Light" w:eastAsia="Times New Roman" w:hAnsi="Calibri Light" w:cs="Times New Roman"/>
          <w:sz w:val="22"/>
        </w:rPr>
      </w:pPr>
      <w:r w:rsidRPr="009D683D">
        <w:rPr>
          <w:rFonts w:ascii="Calibri Light" w:eastAsia="Times New Roman" w:hAnsi="Calibri Light" w:cs="Times New Roman"/>
          <w:sz w:val="22"/>
        </w:rPr>
        <w:t>Culturally appropriate conservative approaches</w:t>
      </w:r>
    </w:p>
    <w:p w14:paraId="23E303EE"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To be successful, conservative weight loss programs that seek to treat obesity in the Indigenous patient population must be culturally appropriate, geographically accessible and offer goal attainment that is realistic </w:t>
      </w:r>
      <w:r w:rsidRPr="009D683D">
        <w:rPr>
          <w:rFonts w:ascii="Calibri" w:eastAsia="Calibri" w:hAnsi="Calibri" w:cs="Times New Roman"/>
          <w:sz w:val="22"/>
        </w:rPr>
        <w:fldChar w:fldCharType="begin">
          <w:fldData xml:space="preserve">PEVuZE5vdGU+PENpdGU+PEF1dGhvcj5DYW51dG88L0F1dGhvcj48WWVhcj4yMDExPC9ZZWFyPjxS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PEVuZE5vdGU+PENpdGU+PEF1dGhvcj5DYW51dG88L0F1dGhvcj48WWVhcj4yMDExPC9ZZWFyPjxS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(Canuto, McDermott, Cargo, &amp; Esterman, 2011)</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Indigenous patients’ uptake and adherence to health programs is improved when Indigenous health services and practitioners are responsible for their delivery </w:t>
      </w:r>
      <w:r w:rsidRPr="009D683D">
        <w:rPr>
          <w:rFonts w:ascii="Calibri" w:eastAsia="Calibri" w:hAnsi="Calibri" w:cs="Times New Roman"/>
          <w:sz w:val="22"/>
        </w:rPr>
        <w:fldChar w:fldCharType="begin">
          <w:fldData xml:space="preserve">PEVuZE5vdGU+PENpdGU+PEF1dGhvcj5NY0Rlcm1vdHQ8L0F1dGhvcj48WWVhcj4yMDA5PC9ZZWFy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PEVuZE5vdGU+PENpdGU+PEF1dGhvcj5NY0Rlcm1vdHQ8L0F1dGhvcj48WWVhcj4yMDA5PC9ZZWFy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(McDermott, Campbell, Li, &amp; McCulloch, 2009)</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Recent trials have explored programmed medical yarn ups (PMYUs) in weight control as an innovative and culturally appropriate approach to obesity and chronic disease management among the Indigenous patient population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&lt;EndNote&gt;&lt;Cite&gt;&lt;Author&gt;Stevens&lt;/Author&gt;&lt;Year&gt;2018&lt;/Year&gt;&lt;RecNum&gt;269&lt;/RecNum&gt;&lt;DisplayText&gt;(Stevens, Egger, &amp;amp; Morgan, 2018)&lt;/DisplayText&gt;&lt;record&gt;&lt;rec-number&gt;269&lt;/rec-number&gt;&lt;foreign-keys&gt;&lt;key app="EN" db-id="ews5ve9enfwav7etdtjvztfdrftvwrf9vrsx" timestamp="1544743511"&gt;269&lt;/key&gt;&lt;/foreign-keys&gt;&lt;ref-type name="Journal Article"&gt;17&lt;/ref-type&gt;&lt;contributors&gt;&lt;authors&gt;&lt;author&gt;Stevens, J. A.&lt;/author&gt;&lt;author&gt;Egger, G.&lt;/author&gt;&lt;author&gt;Morgan, B.&lt;/author&gt;&lt;/authors&gt;&lt;/contributors&gt;&lt;auth-address&gt;Southern Cross University, Lismore, NSW john.stevens@scu.edu.au.&amp;#xD;Southern Cross University, Lismore, NSW.&amp;#xD;Wollotuka Institute, University of Newcastle, Newcastle, NSW.&lt;/auth-address&gt;&lt;titles&gt;&lt;title&gt;A novel, culturally appropriate approach to weight management in Aboriginal and Torres Strait Islander people&lt;/title&gt;&lt;secondary-title&gt;Med J Aust&lt;/secondary-title&gt;&lt;/titles&gt;&lt;periodical&gt;&lt;full-title&gt;Med J Aust&lt;/full-title&gt;&lt;/periodical&gt;&lt;pages&gt;68&lt;/pages&gt;&lt;volume&gt;209&lt;/volume&gt;&lt;number&gt;1&lt;/number&gt;&lt;edition&gt;2018/06/30&lt;/edition&gt;&lt;keywords&gt;&lt;keyword&gt;Chronic disease&lt;/keyword&gt;&lt;keyword&gt;Diabetes complications&lt;/keyword&gt;&lt;keyword&gt;Obesity&lt;/keyword&gt;&lt;keyword&gt;Primary care&lt;/keyword&gt;&lt;/keywords&gt;&lt;dates&gt;&lt;year&gt;2018&lt;/year&gt;&lt;pub-dates&gt;&lt;date&gt;Jun 2&lt;/date&gt;&lt;/pub-dates&gt;&lt;/dates&gt;&lt;isbn&gt;1326-5377 (Electronic)&amp;#xD;0025-729X (Linking)&lt;/isbn&gt;&lt;accession-num&gt;29954301&lt;/accession-num&gt;&lt;urls&gt;&lt;related-urls&gt;&lt;url&gt;https://www.ncbi.nlm.nih.gov/pubmed/29954301&lt;/url&gt;&lt;/related-urls&gt;&lt;/urls&gt;&lt;electronic-resource-num&gt;10.5694/mja17.01240 &lt;/electronic-resource-num&gt;&lt;/record&gt;&lt;/Cite&gt;&lt;/EndNote&gt;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(Stevens, Egger, &amp; Morgan, 2018)</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PMYU weight control programs are facilitated by a trained Indigenous health worker who leads and manages a group of six to 12 participants during six </w:t>
      </w:r>
      <w:r w:rsidRPr="009D683D">
        <w:rPr>
          <w:rFonts w:ascii="Calibri" w:eastAsia="Calibri" w:hAnsi="Calibri" w:cs="Times New Roman"/>
          <w:sz w:val="22"/>
        </w:rPr>
        <w:lastRenderedPageBreak/>
        <w:t xml:space="preserve">90-minute sessions in a convenient location every two weeks for two to three months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&lt;EndNote&gt;&lt;Cite&gt;&lt;Author&gt;Stevens&lt;/Author&gt;&lt;Year&gt;2018&lt;/Year&gt;&lt;RecNum&gt;269&lt;/RecNum&gt;&lt;DisplayText&gt;(Stevens et al., 2018)&lt;/DisplayText&gt;&lt;record&gt;&lt;rec-number&gt;269&lt;/rec-number&gt;&lt;foreign-keys&gt;&lt;key app="EN" db-id="ews5ve9enfwav7etdtjvztfdrftvwrf9vrsx" timestamp="1544743511"&gt;269&lt;/key&gt;&lt;/foreign-keys&gt;&lt;ref-type name="Journal Article"&gt;17&lt;/ref-type&gt;&lt;contributors&gt;&lt;authors&gt;&lt;author&gt;Stevens, J. A.&lt;/author&gt;&lt;author&gt;Egger, G.&lt;/author&gt;&lt;author&gt;Morgan, B.&lt;/author&gt;&lt;/authors&gt;&lt;/contributors&gt;&lt;auth-address&gt;Southern Cross University, Lismore, NSW john.stevens@scu.edu.au.&amp;#xD;Southern Cross University, Lismore, NSW.&amp;#xD;Wollotuka Institute, University of Newcastle, Newcastle, NSW.&lt;/auth-address&gt;&lt;titles&gt;&lt;title&gt;A novel, culturally appropriate approach to weight management in Aboriginal and Torres Strait Islander people&lt;/title&gt;&lt;secondary-title&gt;Med J Aust&lt;/secondary-title&gt;&lt;/titles&gt;&lt;periodical&gt;&lt;full-title&gt;Med J Aust&lt;/full-title&gt;&lt;/periodical&gt;&lt;pages&gt;68&lt;/pages&gt;&lt;volume&gt;209&lt;/volume&gt;&lt;number&gt;1&lt;/number&gt;&lt;edition&gt;2018/06/30&lt;/edition&gt;&lt;keywords&gt;&lt;keyword&gt;Chronic disease&lt;/keyword&gt;&lt;keyword&gt;Diabetes complications&lt;/keyword&gt;&lt;keyword&gt;Obesity&lt;/keyword&gt;&lt;keyword&gt;Primary care&lt;/keyword&gt;&lt;/keywords&gt;&lt;dates&gt;&lt;year&gt;2018&lt;/year&gt;&lt;pub-dates&gt;&lt;date&gt;Jun 2&lt;/date&gt;&lt;/pub-dates&gt;&lt;/dates&gt;&lt;isbn&gt;1326-5377 (Electronic)&amp;#xD;0025-729X (Linking)&lt;/isbn&gt;&lt;accession-num&gt;29954301&lt;/accession-num&gt;&lt;urls&gt;&lt;related-urls&gt;&lt;url&gt;https://www.ncbi.nlm.nih.gov/pubmed/29954301&lt;/url&gt;&lt;/related-urls&gt;&lt;/urls&gt;&lt;electronic-resource-num&gt;10.5694/mja17.01240 &lt;/electronic-resource-num&gt;&lt;/record&gt;&lt;/Cite&gt;&lt;/EndNote&gt;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(Stevens et al., 2018)</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Each session is attended by a GP, and facilitators are trained to deliver a specific weight control program whilst encouraging participants to consult the GP about aspects of their health related to weight control and associated comorbidities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&lt;EndNote&gt;&lt;Cite&gt;&lt;Author&gt;Stevens&lt;/Author&gt;&lt;Year&gt;2018&lt;/Year&gt;&lt;RecNum&gt;269&lt;/RecNum&gt;&lt;DisplayText&gt;(Stevens et al., 2018)&lt;/DisplayText&gt;&lt;record&gt;&lt;rec-number&gt;269&lt;/rec-number&gt;&lt;foreign-keys&gt;&lt;key app="EN" db-id="ews5ve9enfwav7etdtjvztfdrftvwrf9vrsx" timestamp="1544743511"&gt;269&lt;/key&gt;&lt;/foreign-keys&gt;&lt;ref-type name="Journal Article"&gt;17&lt;/ref-type&gt;&lt;contributors&gt;&lt;authors&gt;&lt;author&gt;Stevens, J. A.&lt;/author&gt;&lt;author&gt;Egger, G.&lt;/author&gt;&lt;author&gt;Morgan, B.&lt;/author&gt;&lt;/authors&gt;&lt;/contributors&gt;&lt;auth-address&gt;Southern Cross University, Lismore, NSW john.stevens@scu.edu.au.&amp;#xD;Southern Cross University, Lismore, NSW.&amp;#xD;Wollotuka Institute, University of Newcastle, Newcastle, NSW.&lt;/auth-address&gt;&lt;titles&gt;&lt;title&gt;A novel, culturally appropriate approach to weight management in Aboriginal and Torres Strait Islander people&lt;/title&gt;&lt;secondary-title&gt;Med J Aust&lt;/secondary-title&gt;&lt;/titles&gt;&lt;periodical&gt;&lt;full-title&gt;Med J Aust&lt;/full-title&gt;&lt;/periodical&gt;&lt;pages&gt;68&lt;/pages&gt;&lt;volume&gt;209&lt;/volume&gt;&lt;number&gt;1&lt;/number&gt;&lt;edition&gt;2018/06/30&lt;/edition&gt;&lt;keywords&gt;&lt;keyword&gt;Chronic disease&lt;/keyword&gt;&lt;keyword&gt;Diabetes complications&lt;/keyword&gt;&lt;keyword&gt;Obesity&lt;/keyword&gt;&lt;keyword&gt;Primary care&lt;/keyword&gt;&lt;/keywords&gt;&lt;dates&gt;&lt;year&gt;2018&lt;/year&gt;&lt;pub-dates&gt;&lt;date&gt;Jun 2&lt;/date&gt;&lt;/pub-dates&gt;&lt;/dates&gt;&lt;isbn&gt;1326-5377 (Electronic)&amp;#xD;0025-729X (Linking)&lt;/isbn&gt;&lt;accession-num&gt;29954301&lt;/accession-num&gt;&lt;urls&gt;&lt;related-urls&gt;&lt;url&gt;https://www.ncbi.nlm.nih.gov/pubmed/29954301&lt;/url&gt;&lt;/related-urls&gt;&lt;/urls&gt;&lt;electronic-resource-num&gt;10.5694/mja17.01240 &lt;/electronic-resource-num&gt;&lt;/record&gt;&lt;/Cite&gt;&lt;/EndNote&gt;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(Stevens et al., 2018)</w:t>
      </w:r>
      <w:r w:rsidRPr="009D683D">
        <w:rPr>
          <w:rFonts w:ascii="Calibri" w:eastAsia="Calibri" w:hAnsi="Calibri" w:cs="Times New Roman"/>
          <w:sz w:val="22"/>
        </w:rPr>
        <w:fldChar w:fldCharType="end"/>
      </w:r>
      <w:r w:rsidRPr="009D683D">
        <w:rPr>
          <w:rFonts w:ascii="Calibri" w:eastAsia="Calibri" w:hAnsi="Calibri" w:cs="Times New Roman"/>
          <w:sz w:val="22"/>
        </w:rPr>
        <w:t>. While the PMYU model is still being trialled to gather more evidence on its utility, it is anticipated that it will be applicable to Indigenous dialysis patients. Given the critical role of obesity as a barrier to access for transplantation, it is important to evaluate the efficacy of this program and other models already successful in the broader Indigenous patient population among kidney transplant candidates to determine if this culturally tailored approach should be adopted in mainstream renal care.</w:t>
      </w:r>
    </w:p>
    <w:p w14:paraId="571A7DA1" w14:textId="77777777" w:rsidR="009D683D" w:rsidRPr="009D683D" w:rsidRDefault="009D683D" w:rsidP="009D683D">
      <w:pPr>
        <w:keepNext/>
        <w:keepLines/>
        <w:numPr>
          <w:ilvl w:val="4"/>
          <w:numId w:val="0"/>
        </w:numPr>
        <w:spacing w:before="40" w:after="0"/>
        <w:ind w:left="1008" w:hanging="1008"/>
        <w:outlineLvl w:val="4"/>
        <w:rPr>
          <w:rFonts w:ascii="Calibri Light" w:eastAsia="Times New Roman" w:hAnsi="Calibri Light" w:cs="Times New Roman"/>
          <w:sz w:val="22"/>
        </w:rPr>
      </w:pPr>
      <w:r w:rsidRPr="009D683D">
        <w:rPr>
          <w:rFonts w:ascii="Calibri Light" w:eastAsia="Times New Roman" w:hAnsi="Calibri Light" w:cs="Times New Roman"/>
          <w:sz w:val="22"/>
        </w:rPr>
        <w:t>Regionalised bariatric surgery models of care</w:t>
      </w:r>
    </w:p>
    <w:p w14:paraId="2E525DDC"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Very few studies to date have evaluated the feasibility of achieving significant and sustained weight loss in obese Indigenous Australians through the use of bariatric surgery procedures. In 2016, a prospective cohort study of 30 obese Indigenous adults from the </w:t>
      </w:r>
      <w:proofErr w:type="spellStart"/>
      <w:r w:rsidRPr="009D683D">
        <w:rPr>
          <w:rFonts w:ascii="Calibri" w:eastAsia="Calibri" w:hAnsi="Calibri" w:cs="Times New Roman"/>
          <w:sz w:val="22"/>
        </w:rPr>
        <w:t>Rumbalara</w:t>
      </w:r>
      <w:proofErr w:type="spellEnd"/>
      <w:r w:rsidRPr="009D683D">
        <w:rPr>
          <w:rFonts w:ascii="Calibri" w:eastAsia="Calibri" w:hAnsi="Calibri" w:cs="Times New Roman"/>
          <w:sz w:val="22"/>
        </w:rPr>
        <w:t xml:space="preserve"> Aboriginal Co-operative in Central Victoria was undertaken, with inclusion criteria including Aboriginality, BMI &gt; 30kg/m</w:t>
      </w:r>
      <w:r w:rsidRPr="009D683D">
        <w:rPr>
          <w:rFonts w:ascii="Calibri" w:eastAsia="Calibri" w:hAnsi="Calibri" w:cs="Times New Roman"/>
          <w:sz w:val="22"/>
          <w:vertAlign w:val="superscript"/>
        </w:rPr>
        <w:t>2</w:t>
      </w:r>
      <w:r w:rsidRPr="009D683D">
        <w:rPr>
          <w:rFonts w:ascii="Calibri" w:eastAsia="Calibri" w:hAnsi="Calibri" w:cs="Times New Roman"/>
          <w:sz w:val="22"/>
        </w:rPr>
        <w:t xml:space="preserve"> and diabetes diagnosed within the last 10 years </w:t>
      </w:r>
      <w:r w:rsidRPr="009D683D">
        <w:rPr>
          <w:rFonts w:ascii="Calibri" w:eastAsia="Calibri" w:hAnsi="Calibri" w:cs="Times New Roman"/>
          <w:sz w:val="22"/>
        </w:rPr>
        <w:fldChar w:fldCharType="begin">
          <w:fldData xml:space="preserve">PEVuZE5vdGU+PENpdGU+PEF1dGhvcj5PJmFwb3M7QnJpZW48L0F1dGhvcj48WWVhcj4yMDE2PC9Z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PEVuZE5vdGU+PENpdGU+PEF1dGhvcj5PJmFwb3M7QnJpZW48L0F1dGhvcj48WWVhcj4yMDE2PC9Z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(O'Brien et al., 2016)</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Participants were treated in their community (at the regional hospital) with laparoscopic adjustable gastric banding (LAGB) and were subsequently tracked for two years. Outcomes were compared with those of non-Indigenous Australians from an earlier randomized control trial using a similar protocol, and comparable results were identified for both weight loss and diabetes remission </w:t>
      </w:r>
      <w:r w:rsidRPr="009D683D">
        <w:rPr>
          <w:rFonts w:ascii="Calibri" w:eastAsia="Calibri" w:hAnsi="Calibri" w:cs="Times New Roman"/>
          <w:sz w:val="22"/>
        </w:rPr>
        <w:fldChar w:fldCharType="begin">
          <w:fldData xml:space="preserve">PEVuZE5vdGU+PENpdGU+PEF1dGhvcj5PJmFwb3M7QnJpZW48L0F1dGhvcj48WWVhcj4yMDE2PC9Z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PEVuZE5vdGU+PENpdGU+PEF1dGhvcj5PJmFwb3M7QnJpZW48L0F1dGhvcj48WWVhcj4yMDE2PC9Z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(O'Brien et al., 2016)</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Of the 30 participants, 26 completed a diabetes assessment at two years follow-up, which showed diabetes remission in 20 of the 26 participants and a mean weight loss of 26.0 kilograms </w:t>
      </w:r>
      <w:r w:rsidRPr="009D683D">
        <w:rPr>
          <w:rFonts w:ascii="Calibri" w:eastAsia="Calibri" w:hAnsi="Calibri" w:cs="Times New Roman"/>
          <w:sz w:val="22"/>
        </w:rPr>
        <w:fldChar w:fldCharType="begin">
          <w:fldData xml:space="preserve">PEVuZE5vdGU+PENpdGU+PEF1dGhvcj5PJmFwb3M7QnJpZW48L0F1dGhvcj48WWVhcj4yMDE2PC9Z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PEVuZE5vdGU+PENpdGU+PEF1dGhvcj5PJmFwb3M7QnJpZW48L0F1dGhvcj48WWVhcj4yMDE2PC9Z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(O'Brien et al., 2016)</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While 13 adverse events were recorded (one early and 12 late), the regionalised model of care centred on the LAGB was found to be feasible and acceptable to the participant cohort, improving quality of life and significantly reducing the prevalence of both obesity and diabetes </w:t>
      </w:r>
      <w:r w:rsidRPr="009D683D">
        <w:rPr>
          <w:rFonts w:ascii="Calibri" w:eastAsia="Calibri" w:hAnsi="Calibri" w:cs="Times New Roman"/>
          <w:sz w:val="22"/>
        </w:rPr>
        <w:fldChar w:fldCharType="begin">
          <w:fldData xml:space="preserve">PEVuZE5vdGU+PENpdGU+PEF1dGhvcj5PJmFwb3M7QnJpZW48L0F1dGhvcj48WWVhcj4yMDE2PC9Z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PEVuZE5vdGU+PENpdGU+PEF1dGhvcj5PJmFwb3M7QnJpZW48L0F1dGhvcj48WWVhcj4yMDE2PC9Z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(O'Brien et al., 2016)</w:t>
      </w:r>
      <w:r w:rsidRPr="009D683D">
        <w:rPr>
          <w:rFonts w:ascii="Calibri" w:eastAsia="Calibri" w:hAnsi="Calibri" w:cs="Times New Roman"/>
          <w:sz w:val="22"/>
        </w:rPr>
        <w:fldChar w:fldCharType="end"/>
      </w:r>
      <w:r w:rsidRPr="009D683D">
        <w:rPr>
          <w:rFonts w:ascii="Calibri" w:eastAsia="Calibri" w:hAnsi="Calibri" w:cs="Times New Roman"/>
          <w:sz w:val="22"/>
        </w:rPr>
        <w:t>. While this study did not specifically target kidney transplant candidates, the findings suggest that the use of regionalised bariatric surgery models of care to reduce weight, comorbidities and other surgical risk factors may improve access to the transplant waitlist and postoperative outcomes for the Indigenous ESKD patient population.</w:t>
      </w:r>
    </w:p>
    <w:p w14:paraId="28E788A1" w14:textId="77777777" w:rsidR="009D683D" w:rsidRPr="009D683D" w:rsidRDefault="009D683D" w:rsidP="009D683D">
      <w:pPr>
        <w:keepNext/>
        <w:keepLines/>
        <w:numPr>
          <w:ilvl w:val="1"/>
          <w:numId w:val="0"/>
        </w:numPr>
        <w:spacing w:before="40" w:after="0"/>
        <w:ind w:left="576" w:hanging="576"/>
        <w:outlineLvl w:val="1"/>
        <w:rPr>
          <w:rFonts w:ascii="Calibri Light" w:eastAsia="Times New Roman" w:hAnsi="Calibri Light" w:cs="Times New Roman"/>
          <w:sz w:val="26"/>
          <w:szCs w:val="26"/>
        </w:rPr>
      </w:pPr>
      <w:bookmarkStart w:id="51" w:name="_Toc2585813"/>
      <w:r w:rsidRPr="009D683D">
        <w:rPr>
          <w:rFonts w:ascii="Calibri Light" w:eastAsia="Times New Roman" w:hAnsi="Calibri Light" w:cs="Times New Roman"/>
          <w:sz w:val="26"/>
          <w:szCs w:val="26"/>
        </w:rPr>
        <w:t>Post-Transplant Requirements</w:t>
      </w:r>
      <w:bookmarkEnd w:id="51"/>
    </w:p>
    <w:p w14:paraId="55715BCF"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Kidney transplantation is considered the best form of treatment for most patients with ESKD, but patients face post-transplant challenges including the necessity of lifelong immunosuppression, regular clinic visits and medication side effects such as infections and cancer. The care of the kidney transplant recipient is a complex task, requiring many interactions between the patient, family, primary care provider, and multidisciplinary renal care team, including transplant physicians, infectious disease physicians, pharmacists, nurses, social workers and community health workers. Renal teams are typically spread across multiple services, including primary care services in local communities, dialysis units and hospitals in regional hubs, and major transplant centres in capital cities; levels of expertise and resource availability often differ greatly across these services. </w:t>
      </w:r>
    </w:p>
    <w:p w14:paraId="78DBED70"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The current Australian health workforce situation is characterised by an undersupply of health care providers in rural and remote areas, and an imbalance of specialist skills. Similarly, while a multi-disciplinary health care team is essential to delivering holistic care to Indigenous ESKD patients, their contribution is hampered by the limited availability of Indigenous health workers, translators and cultural educators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&lt;EndNote&gt;&lt;Cite&gt;&lt;Author&gt;Gorham&lt;/Author&gt;&lt;Year&gt;2016&lt;/Year&gt;&lt;RecNum&gt;363&lt;/RecNum&gt;&lt;DisplayText&gt;(Gorham, Cass, Howard, &amp;amp; Evans, 2016)&lt;/DisplayText&gt;&lt;record&gt;&lt;rec-number&gt;363&lt;/rec-number&gt;&lt;foreign-keys&gt;&lt;key app="EN" db-id="ews5ve9enfwav7etdtjvztfdrftvwrf9vrsx" timestamp="1546912961"&gt;363&lt;/key&gt;&lt;/foreign-keys&gt;&lt;ref-type name="Government Document"&gt;46&lt;/ref-type&gt;&lt;contributors&gt;&lt;authors&gt;&lt;author&gt;Gorham, G.&lt;/author&gt;&lt;author&gt;Cass, A.&lt;/author&gt;&lt;author&gt;Howard, K.&lt;/author&gt;&lt;author&gt;Evans, K.&lt;/author&gt;&lt;/authors&gt;&lt;secondary-authors&gt;&lt;author&gt;Menzies School of Health Research &lt;/author&gt;&lt;/secondary-authors&gt;&lt;/contributors&gt;&lt;titles&gt;&lt;title&gt;Central Australia Renal Study: Technical Report Update&lt;/title&gt;&lt;/titles&gt;&lt;dates&gt;&lt;year&gt;2016&lt;/year&gt;&lt;/dates&gt;&lt;pub-location&gt;Canberra, Australia&lt;/pub-location&gt;&lt;publisher&gt;Menzies School of Health Research&lt;/publisher&gt;&lt;urls&gt;&lt;/urls&gt;&lt;/record&gt;&lt;/Cite&gt;&lt;/EndNote&gt;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(Gorham, Cass, Howard, &amp; Evans, 2016)</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This results in poor history-taking, </w:t>
      </w:r>
      <w:r w:rsidRPr="009D683D">
        <w:rPr>
          <w:rFonts w:ascii="Calibri" w:eastAsia="Calibri" w:hAnsi="Calibri" w:cs="Times New Roman"/>
          <w:sz w:val="22"/>
        </w:rPr>
        <w:lastRenderedPageBreak/>
        <w:t xml:space="preserve">frequent miscommunications, client misunderstanding, poor adherence, lack of informed consent and ineffective service delivery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&lt;EndNote&gt;&lt;Cite&gt;&lt;Author&gt;Gorham&lt;/Author&gt;&lt;Year&gt;2016&lt;/Year&gt;&lt;RecNum&gt;363&lt;/RecNum&gt;&lt;DisplayText&gt;(Gorham et al., 2016)&lt;/DisplayText&gt;&lt;record&gt;&lt;rec-number&gt;363&lt;/rec-number&gt;&lt;foreign-keys&gt;&lt;key app="EN" db-id="ews5ve9enfwav7etdtjvztfdrftvwrf9vrsx" timestamp="1546912961"&gt;363&lt;/key&gt;&lt;/foreign-keys&gt;&lt;ref-type name="Government Document"&gt;46&lt;/ref-type&gt;&lt;contributors&gt;&lt;authors&gt;&lt;author&gt;Gorham, G.&lt;/author&gt;&lt;author&gt;Cass, A.&lt;/author&gt;&lt;author&gt;Howard, K.&lt;/author&gt;&lt;author&gt;Evans, K.&lt;/author&gt;&lt;/authors&gt;&lt;secondary-authors&gt;&lt;author&gt;Menzies School of Health Research &lt;/author&gt;&lt;/secondary-authors&gt;&lt;/contributors&gt;&lt;titles&gt;&lt;title&gt;Central Australia Renal Study: Technical Report Update&lt;/title&gt;&lt;/titles&gt;&lt;dates&gt;&lt;year&gt;2016&lt;/year&gt;&lt;/dates&gt;&lt;pub-location&gt;Canberra, Australia&lt;/pub-location&gt;&lt;publisher&gt;Menzies School of Health Research&lt;/publisher&gt;&lt;urls&gt;&lt;/urls&gt;&lt;/record&gt;&lt;/Cite&gt;&lt;/EndNote&gt;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(Gorham et al., 2016)</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all of which can imperil transplant function and prove fatal in the post-transplant context. Provision of post-transplant care is relatively ad hoc, particularly in remote communities, and models of service delivery continue to be inequitable, insufficiently planned and lack rigorous evaluation processes. </w:t>
      </w:r>
    </w:p>
    <w:p w14:paraId="2830C857"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Similar to the pre-transplant journey, post-transplant assessment and treatment regimens comprise several steps, as outlined in Figure 7. Completing these steps can be demanding, especially for patients in rural and remote areas, where logistical planning and travel requirements can become all-consuming and a barrier to successful outcomes. Models of care, immunosuppression and infective prophylaxis regimens can be adapted to reduce this burden by:</w:t>
      </w:r>
    </w:p>
    <w:p w14:paraId="728285BF" w14:textId="77777777" w:rsidR="009D683D" w:rsidRPr="009D683D" w:rsidRDefault="009D683D" w:rsidP="00782640">
      <w:pPr>
        <w:numPr>
          <w:ilvl w:val="0"/>
          <w:numId w:val="40"/>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Accounting for patients’ residential location and the travel required to access assessment and treatment; and</w:t>
      </w:r>
    </w:p>
    <w:p w14:paraId="1451EFEB" w14:textId="77777777" w:rsidR="009D683D" w:rsidRPr="009D683D" w:rsidRDefault="009D683D" w:rsidP="00782640">
      <w:pPr>
        <w:numPr>
          <w:ilvl w:val="0"/>
          <w:numId w:val="40"/>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 xml:space="preserve">Linking all levels of the health care system, including primary care services, local </w:t>
      </w:r>
      <w:proofErr w:type="spellStart"/>
      <w:r w:rsidRPr="009D683D">
        <w:rPr>
          <w:rFonts w:ascii="Calibri" w:eastAsia="Calibri" w:hAnsi="Calibri" w:cs="Times New Roman"/>
          <w:sz w:val="22"/>
        </w:rPr>
        <w:t>renal</w:t>
      </w:r>
      <w:proofErr w:type="spellEnd"/>
      <w:r w:rsidRPr="009D683D">
        <w:rPr>
          <w:rFonts w:ascii="Calibri" w:eastAsia="Calibri" w:hAnsi="Calibri" w:cs="Times New Roman"/>
          <w:sz w:val="22"/>
        </w:rPr>
        <w:t xml:space="preserve"> units and transplant centres, to ensure patients receive consistent and holistic care.</w:t>
      </w:r>
    </w:p>
    <w:p w14:paraId="266DC3D8" w14:textId="77777777" w:rsidR="009D683D" w:rsidRPr="009D683D" w:rsidRDefault="009D683D" w:rsidP="009D683D">
      <w:pPr>
        <w:spacing w:line="276" w:lineRule="auto"/>
        <w:contextualSpacing/>
        <w:jc w:val="both"/>
        <w:rPr>
          <w:rFonts w:ascii="Calibri" w:eastAsia="Calibri" w:hAnsi="Calibri" w:cs="Times New Roman"/>
          <w:i/>
          <w:sz w:val="22"/>
        </w:rPr>
      </w:pPr>
    </w:p>
    <w:p w14:paraId="5BFEF528" w14:textId="77777777" w:rsidR="009D683D" w:rsidRPr="009D683D" w:rsidRDefault="009D683D" w:rsidP="009D683D">
      <w:pPr>
        <w:spacing w:after="120" w:line="276" w:lineRule="auto"/>
        <w:jc w:val="both"/>
        <w:rPr>
          <w:rFonts w:ascii="Calibri" w:eastAsia="Calibri" w:hAnsi="Calibri" w:cs="Times New Roman"/>
          <w:sz w:val="22"/>
        </w:rPr>
      </w:pPr>
      <w:r w:rsidRPr="009D683D">
        <w:rPr>
          <w:rFonts w:ascii="Calibri" w:eastAsia="Calibri" w:hAnsi="Calibri" w:cs="Times New Roman"/>
          <w:i/>
          <w:sz w:val="22"/>
        </w:rPr>
        <w:t xml:space="preserve">Figure 7: </w:t>
      </w:r>
      <w:r w:rsidRPr="009D683D">
        <w:rPr>
          <w:rFonts w:ascii="Calibri" w:eastAsia="Calibri" w:hAnsi="Calibri" w:cs="Times New Roman"/>
          <w:sz w:val="22"/>
        </w:rPr>
        <w:t xml:space="preserve">Getting and staying home after transplantation. </w:t>
      </w:r>
    </w:p>
    <w:p w14:paraId="5F0FE881" w14:textId="77777777" w:rsidR="009D683D" w:rsidRPr="009D683D" w:rsidRDefault="009D683D" w:rsidP="009D683D">
      <w:pPr>
        <w:spacing w:line="276" w:lineRule="auto"/>
        <w:contextualSpacing/>
        <w:jc w:val="both"/>
        <w:rPr>
          <w:rFonts w:ascii="Calibri" w:eastAsia="Calibri" w:hAnsi="Calibri" w:cs="Times New Roman"/>
          <w:sz w:val="22"/>
        </w:rPr>
      </w:pPr>
      <w:r w:rsidRPr="009D683D">
        <w:rPr>
          <w:rFonts w:ascii="Calibri" w:eastAsia="Calibri" w:hAnsi="Calibri" w:cs="Times New Roman"/>
          <w:noProof/>
          <w:sz w:val="22"/>
          <w:lang w:eastAsia="en-AU"/>
        </w:rPr>
        <w:drawing>
          <wp:inline distT="0" distB="0" distL="0" distR="0" wp14:anchorId="0000AF99" wp14:editId="60A0AE0F">
            <wp:extent cx="6076950" cy="1352550"/>
            <wp:effectExtent l="0" t="0" r="19050" b="0"/>
            <wp:docPr id="222" name="Diagram 222" descr="Pathway of getting and staying home after transplantation. Perioperative period, immunosuppressant, infective prophylaxis, CV/metabolic protection, remote clinic support, graft survival.">
              <a:extLst xmlns:a="http://schemas.openxmlformats.org/drawingml/2006/main">
                <a:ext uri="{FF2B5EF4-FFF2-40B4-BE49-F238E27FC236}">
                  <a16:creationId xmlns:a16="http://schemas.microsoft.com/office/drawing/2014/main" id="{D511618C-4D5F-4BEB-8305-966C7FF44E3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00578910" w14:textId="77777777" w:rsidR="009D683D" w:rsidRPr="009D683D" w:rsidRDefault="009D683D" w:rsidP="009D683D">
      <w:pPr>
        <w:keepNext/>
        <w:keepLines/>
        <w:numPr>
          <w:ilvl w:val="2"/>
          <w:numId w:val="0"/>
        </w:numPr>
        <w:spacing w:before="40" w:after="0"/>
        <w:ind w:left="720" w:hanging="720"/>
        <w:outlineLvl w:val="2"/>
        <w:rPr>
          <w:rFonts w:ascii="Calibri Light" w:eastAsia="Times New Roman" w:hAnsi="Calibri Light" w:cs="Times New Roman"/>
          <w:sz w:val="24"/>
          <w:szCs w:val="24"/>
        </w:rPr>
      </w:pPr>
      <w:bookmarkStart w:id="52" w:name="_Toc2585814"/>
      <w:r w:rsidRPr="009D683D">
        <w:rPr>
          <w:rFonts w:ascii="Calibri Light" w:eastAsia="Times New Roman" w:hAnsi="Calibri Light" w:cs="Times New Roman"/>
          <w:sz w:val="24"/>
          <w:szCs w:val="24"/>
        </w:rPr>
        <w:t>Models of Care</w:t>
      </w:r>
      <w:bookmarkEnd w:id="52"/>
    </w:p>
    <w:p w14:paraId="3931E961"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Transplant models of care have commonly been designed to cater for non-Indigenous recipients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&lt;EndNote&gt;&lt;Cite&gt;&lt;Author&gt;Lawton&lt;/Author&gt;&lt;Year&gt;2015&lt;/Year&gt;&lt;RecNum&gt;165&lt;/RecNum&gt;&lt;DisplayText&gt;(Lawton, 2015)&lt;/DisplayText&gt;&lt;record&gt;&lt;rec-number&gt;165&lt;/rec-number&gt;&lt;foreign-keys&gt;&lt;key app="EN" db-id="ews5ve9enfwav7etdtjvztfdrftvwrf9vrsx" timestamp="1543460425"&gt;165&lt;/key&gt;&lt;/foreign-keys&gt;&lt;ref-type name="Thesis"&gt;32&lt;/ref-type&gt;&lt;contributors&gt;&lt;authors&gt;&lt;author&gt;Lawton, P. D.&lt;/author&gt;&lt;/authors&gt;&lt;/contributors&gt;&lt;titles&gt;&lt;title&gt;The Incidence and Outcomes of Chronic Kidney Disease amongst Indigenous Australians&lt;/title&gt;&lt;secondary-title&gt;Menzies School of Health Research&lt;/secondary-title&gt;&lt;/titles&gt;&lt;pages&gt;286&lt;/pages&gt;&lt;volume&gt;Doctor of Philosophy&lt;/volume&gt;&lt;dates&gt;&lt;year&gt;2015&lt;/year&gt;&lt;/dates&gt;&lt;pub-location&gt;Darwin&lt;/pub-location&gt;&lt;publisher&gt;Charles Darwin University&lt;/publisher&gt;&lt;urls&gt;&lt;/urls&gt;&lt;/record&gt;&lt;/Cite&gt;&lt;/EndNote&gt;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(Lawton, 2015)</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Qualitative studies have found that Indigenous ESKD patients do not feel adequately supported by the health care system to either: a) pursue and receive a kidney transplant, or b) maintain rigorous post-transplant care requirements </w:t>
      </w:r>
      <w:r w:rsidRPr="009D683D">
        <w:rPr>
          <w:rFonts w:ascii="Calibri" w:eastAsia="Calibri" w:hAnsi="Calibri" w:cs="Times New Roman"/>
          <w:sz w:val="22"/>
        </w:rPr>
        <w:fldChar w:fldCharType="begin">
          <w:fldData xml:space="preserve">PEVuZE5vdGU+PENpdGU+PEF1dGhvcj5IdWdoZXM8L0F1dGhvcj48WWVhcj4yMDE4PC9ZZWFyPjxS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==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PEVuZE5vdGU+PENpdGU+PEF1dGhvcj5IdWdoZXM8L0F1dGhvcj48WWVhcj4yMDE4PC9ZZWFyPjxS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==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(Anderson et al., 2008; Devitt et al., 2017; Hughes, Dembski, et al., 2018)</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This suggests that tailored models of care that acknowledge the heterogeneity of the kidney transplant recipient population are needed to overcome persistent systemic biases, which are further explored in </w:t>
      </w:r>
      <w:r w:rsidRPr="009D683D">
        <w:rPr>
          <w:rFonts w:ascii="Calibri" w:eastAsia="Calibri" w:hAnsi="Calibri" w:cs="Times New Roman"/>
          <w:sz w:val="22"/>
          <w:u w:val="single"/>
        </w:rPr>
        <w:t>Appendix A</w:t>
      </w:r>
      <w:r w:rsidRPr="009D683D">
        <w:rPr>
          <w:rFonts w:ascii="Calibri" w:eastAsia="Calibri" w:hAnsi="Calibri" w:cs="Times New Roman"/>
          <w:sz w:val="22"/>
        </w:rPr>
        <w:t xml:space="preserve">. </w:t>
      </w:r>
    </w:p>
    <w:p w14:paraId="4AD2FB6A" w14:textId="77777777" w:rsidR="009D683D" w:rsidRPr="009D683D" w:rsidRDefault="009D683D" w:rsidP="009D683D">
      <w:pPr>
        <w:spacing w:line="276" w:lineRule="auto"/>
        <w:jc w:val="both"/>
        <w:rPr>
          <w:rFonts w:ascii="Calibri" w:eastAsia="Calibri" w:hAnsi="Calibri" w:cs="Times New Roman"/>
          <w:sz w:val="22"/>
          <w:szCs w:val="24"/>
        </w:rPr>
      </w:pPr>
      <w:r w:rsidRPr="009D683D">
        <w:rPr>
          <w:rFonts w:ascii="Calibri" w:eastAsia="Calibri" w:hAnsi="Calibri" w:cs="Times New Roman"/>
          <w:sz w:val="22"/>
          <w:szCs w:val="24"/>
        </w:rPr>
        <w:t xml:space="preserve">While many health care providers want to improve the delivery of health care to Indigenous patients, competing demands - particularly competing organisational demands in a resource-constrained environment - restrict the time and resources needed to understand the complex medical, social and psychological issues that impact Indigenous patients and their experiences of the health care system </w:t>
      </w:r>
      <w:r w:rsidRPr="009D683D">
        <w:rPr>
          <w:rFonts w:ascii="Calibri" w:eastAsia="Calibri" w:hAnsi="Calibri" w:cs="Times New Roman"/>
          <w:sz w:val="22"/>
          <w:szCs w:val="24"/>
        </w:rPr>
        <w:fldChar w:fldCharType="begin">
          <w:fldData xml:space="preserve">PEVuZE5vdGU+PENpdGU+PEF1dGhvcj5EdXJleTwvQXV0aG9yPjxZZWFyPjIwMTI8L1llYXI+PFJl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</w:fldData>
        </w:fldChar>
      </w:r>
      <w:r w:rsidRPr="009D683D">
        <w:rPr>
          <w:rFonts w:ascii="Calibri" w:eastAsia="Calibri" w:hAnsi="Calibri" w:cs="Times New Roman"/>
          <w:sz w:val="22"/>
          <w:szCs w:val="24"/>
        </w:rPr>
        <w:instrText xml:space="preserve"> ADDIN EN.CITE </w:instrText>
      </w:r>
      <w:r w:rsidRPr="009D683D">
        <w:rPr>
          <w:rFonts w:ascii="Calibri" w:eastAsia="Calibri" w:hAnsi="Calibri" w:cs="Times New Roman"/>
          <w:sz w:val="22"/>
          <w:szCs w:val="24"/>
        </w:rPr>
        <w:fldChar w:fldCharType="begin">
          <w:fldData xml:space="preserve">PEVuZE5vdGU+PENpdGU+PEF1dGhvcj5EdXJleTwvQXV0aG9yPjxZZWFyPjIwMTI8L1llYXI+PFJl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</w:fldData>
        </w:fldChar>
      </w:r>
      <w:r w:rsidRPr="009D683D">
        <w:rPr>
          <w:rFonts w:ascii="Calibri" w:eastAsia="Calibri" w:hAnsi="Calibri" w:cs="Times New Roman"/>
          <w:sz w:val="22"/>
          <w:szCs w:val="24"/>
        </w:rPr>
        <w:instrText xml:space="preserve"> ADDIN EN.CITE.DATA </w:instrText>
      </w:r>
      <w:r w:rsidRPr="009D683D">
        <w:rPr>
          <w:rFonts w:ascii="Calibri" w:eastAsia="Calibri" w:hAnsi="Calibri" w:cs="Times New Roman"/>
          <w:sz w:val="22"/>
          <w:szCs w:val="24"/>
        </w:rPr>
      </w:r>
      <w:r w:rsidRPr="009D683D">
        <w:rPr>
          <w:rFonts w:ascii="Calibri" w:eastAsia="Calibri" w:hAnsi="Calibri" w:cs="Times New Roman"/>
          <w:sz w:val="22"/>
          <w:szCs w:val="24"/>
        </w:rPr>
        <w:fldChar w:fldCharType="end"/>
      </w:r>
      <w:r w:rsidRPr="009D683D">
        <w:rPr>
          <w:rFonts w:ascii="Calibri" w:eastAsia="Calibri" w:hAnsi="Calibri" w:cs="Times New Roman"/>
          <w:sz w:val="22"/>
          <w:szCs w:val="24"/>
        </w:rPr>
      </w:r>
      <w:r w:rsidRPr="009D683D">
        <w:rPr>
          <w:rFonts w:ascii="Calibri" w:eastAsia="Calibri" w:hAnsi="Calibri" w:cs="Times New Roman"/>
          <w:sz w:val="22"/>
          <w:szCs w:val="24"/>
        </w:rPr>
        <w:fldChar w:fldCharType="separate"/>
      </w:r>
      <w:r w:rsidRPr="009D683D">
        <w:rPr>
          <w:rFonts w:ascii="Calibri" w:eastAsia="Calibri" w:hAnsi="Calibri" w:cs="Times New Roman"/>
          <w:noProof/>
          <w:sz w:val="22"/>
          <w:szCs w:val="24"/>
        </w:rPr>
        <w:t>(Durey &amp; Thompson, 2012)</w:t>
      </w:r>
      <w:r w:rsidRPr="009D683D">
        <w:rPr>
          <w:rFonts w:ascii="Calibri" w:eastAsia="Calibri" w:hAnsi="Calibri" w:cs="Times New Roman"/>
          <w:sz w:val="22"/>
          <w:szCs w:val="24"/>
        </w:rPr>
        <w:fldChar w:fldCharType="end"/>
      </w:r>
      <w:r w:rsidRPr="009D683D">
        <w:rPr>
          <w:rFonts w:ascii="Calibri" w:eastAsia="Calibri" w:hAnsi="Calibri" w:cs="Times New Roman"/>
          <w:sz w:val="22"/>
          <w:szCs w:val="24"/>
        </w:rPr>
        <w:t xml:space="preserve">. ‘Victim blaming’ manifests when health care systems and providers do not acknowledge or address social and cultural differences, which deflects accountability for the negative effects of ‘one size fits all’ practices. These effects can result in the exclusion of cultural understandings and meanings of health that deviate from established norms, as advocated by western medicine </w:t>
      </w:r>
      <w:r w:rsidRPr="009D683D">
        <w:rPr>
          <w:rFonts w:ascii="Calibri" w:eastAsia="Calibri" w:hAnsi="Calibri" w:cs="Times New Roman"/>
          <w:sz w:val="22"/>
          <w:szCs w:val="24"/>
        </w:rPr>
        <w:fldChar w:fldCharType="begin">
          <w:fldData xml:space="preserve">PEVuZE5vdGU+PENpdGU+PEF1dGhvcj5EdXJleTwvQXV0aG9yPjxZZWFyPjIwMTI8L1llYXI+PFJl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</w:fldData>
        </w:fldChar>
      </w:r>
      <w:r w:rsidRPr="009D683D">
        <w:rPr>
          <w:rFonts w:ascii="Calibri" w:eastAsia="Calibri" w:hAnsi="Calibri" w:cs="Times New Roman"/>
          <w:sz w:val="22"/>
          <w:szCs w:val="24"/>
        </w:rPr>
        <w:instrText xml:space="preserve"> ADDIN EN.CITE </w:instrText>
      </w:r>
      <w:r w:rsidRPr="009D683D">
        <w:rPr>
          <w:rFonts w:ascii="Calibri" w:eastAsia="Calibri" w:hAnsi="Calibri" w:cs="Times New Roman"/>
          <w:sz w:val="22"/>
          <w:szCs w:val="24"/>
        </w:rPr>
        <w:fldChar w:fldCharType="begin">
          <w:fldData xml:space="preserve">PEVuZE5vdGU+PENpdGU+PEF1dGhvcj5EdXJleTwvQXV0aG9yPjxZZWFyPjIwMTI8L1llYXI+PFJl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</w:fldData>
        </w:fldChar>
      </w:r>
      <w:r w:rsidRPr="009D683D">
        <w:rPr>
          <w:rFonts w:ascii="Calibri" w:eastAsia="Calibri" w:hAnsi="Calibri" w:cs="Times New Roman"/>
          <w:sz w:val="22"/>
          <w:szCs w:val="24"/>
        </w:rPr>
        <w:instrText xml:space="preserve"> ADDIN EN.CITE.DATA </w:instrText>
      </w:r>
      <w:r w:rsidRPr="009D683D">
        <w:rPr>
          <w:rFonts w:ascii="Calibri" w:eastAsia="Calibri" w:hAnsi="Calibri" w:cs="Times New Roman"/>
          <w:sz w:val="22"/>
          <w:szCs w:val="24"/>
        </w:rPr>
      </w:r>
      <w:r w:rsidRPr="009D683D">
        <w:rPr>
          <w:rFonts w:ascii="Calibri" w:eastAsia="Calibri" w:hAnsi="Calibri" w:cs="Times New Roman"/>
          <w:sz w:val="22"/>
          <w:szCs w:val="24"/>
        </w:rPr>
        <w:fldChar w:fldCharType="end"/>
      </w:r>
      <w:r w:rsidRPr="009D683D">
        <w:rPr>
          <w:rFonts w:ascii="Calibri" w:eastAsia="Calibri" w:hAnsi="Calibri" w:cs="Times New Roman"/>
          <w:sz w:val="22"/>
          <w:szCs w:val="24"/>
        </w:rPr>
      </w:r>
      <w:r w:rsidRPr="009D683D">
        <w:rPr>
          <w:rFonts w:ascii="Calibri" w:eastAsia="Calibri" w:hAnsi="Calibri" w:cs="Times New Roman"/>
          <w:sz w:val="22"/>
          <w:szCs w:val="24"/>
        </w:rPr>
        <w:fldChar w:fldCharType="separate"/>
      </w:r>
      <w:r w:rsidRPr="009D683D">
        <w:rPr>
          <w:rFonts w:ascii="Calibri" w:eastAsia="Calibri" w:hAnsi="Calibri" w:cs="Times New Roman"/>
          <w:noProof/>
          <w:sz w:val="22"/>
          <w:szCs w:val="24"/>
        </w:rPr>
        <w:t>(Durey &amp; Thompson, 2012)</w:t>
      </w:r>
      <w:r w:rsidRPr="009D683D">
        <w:rPr>
          <w:rFonts w:ascii="Calibri" w:eastAsia="Calibri" w:hAnsi="Calibri" w:cs="Times New Roman"/>
          <w:sz w:val="22"/>
          <w:szCs w:val="24"/>
        </w:rPr>
        <w:fldChar w:fldCharType="end"/>
      </w:r>
      <w:r w:rsidRPr="009D683D">
        <w:rPr>
          <w:rFonts w:ascii="Calibri" w:eastAsia="Calibri" w:hAnsi="Calibri" w:cs="Times New Roman"/>
          <w:sz w:val="22"/>
          <w:szCs w:val="24"/>
        </w:rPr>
        <w:t xml:space="preserve">. A common focus of victim blaming is Indigenous patients’ non-adherence with treatment regimens - an issue that commonly arises when health care providers do not tailor their communication approach to cater for patients’ health literacy, social and environmental circumstances and cultural beliefs </w:t>
      </w:r>
      <w:r w:rsidRPr="009D683D">
        <w:rPr>
          <w:rFonts w:ascii="Calibri" w:eastAsia="Calibri" w:hAnsi="Calibri" w:cs="Times New Roman"/>
          <w:sz w:val="22"/>
          <w:szCs w:val="24"/>
        </w:rPr>
        <w:fldChar w:fldCharType="begin">
          <w:fldData xml:space="preserve">PEVuZE5vdGU+PENpdGU+PEF1dGhvcj5EdXJleTwvQXV0aG9yPjxZZWFyPjIwMTI8L1llYXI+PFJl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</w:fldData>
        </w:fldChar>
      </w:r>
      <w:r w:rsidRPr="009D683D">
        <w:rPr>
          <w:rFonts w:ascii="Calibri" w:eastAsia="Calibri" w:hAnsi="Calibri" w:cs="Times New Roman"/>
          <w:sz w:val="22"/>
          <w:szCs w:val="24"/>
        </w:rPr>
        <w:instrText xml:space="preserve"> ADDIN EN.CITE </w:instrText>
      </w:r>
      <w:r w:rsidRPr="009D683D">
        <w:rPr>
          <w:rFonts w:ascii="Calibri" w:eastAsia="Calibri" w:hAnsi="Calibri" w:cs="Times New Roman"/>
          <w:sz w:val="22"/>
          <w:szCs w:val="24"/>
        </w:rPr>
        <w:fldChar w:fldCharType="begin">
          <w:fldData xml:space="preserve">PEVuZE5vdGU+PENpdGU+PEF1dGhvcj5EdXJleTwvQXV0aG9yPjxZZWFyPjIwMTI8L1llYXI+PFJl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</w:fldData>
        </w:fldChar>
      </w:r>
      <w:r w:rsidRPr="009D683D">
        <w:rPr>
          <w:rFonts w:ascii="Calibri" w:eastAsia="Calibri" w:hAnsi="Calibri" w:cs="Times New Roman"/>
          <w:sz w:val="22"/>
          <w:szCs w:val="24"/>
        </w:rPr>
        <w:instrText xml:space="preserve"> ADDIN EN.CITE.DATA </w:instrText>
      </w:r>
      <w:r w:rsidRPr="009D683D">
        <w:rPr>
          <w:rFonts w:ascii="Calibri" w:eastAsia="Calibri" w:hAnsi="Calibri" w:cs="Times New Roman"/>
          <w:sz w:val="22"/>
          <w:szCs w:val="24"/>
        </w:rPr>
      </w:r>
      <w:r w:rsidRPr="009D683D">
        <w:rPr>
          <w:rFonts w:ascii="Calibri" w:eastAsia="Calibri" w:hAnsi="Calibri" w:cs="Times New Roman"/>
          <w:sz w:val="22"/>
          <w:szCs w:val="24"/>
        </w:rPr>
        <w:fldChar w:fldCharType="end"/>
      </w:r>
      <w:r w:rsidRPr="009D683D">
        <w:rPr>
          <w:rFonts w:ascii="Calibri" w:eastAsia="Calibri" w:hAnsi="Calibri" w:cs="Times New Roman"/>
          <w:sz w:val="22"/>
          <w:szCs w:val="24"/>
        </w:rPr>
      </w:r>
      <w:r w:rsidRPr="009D683D">
        <w:rPr>
          <w:rFonts w:ascii="Calibri" w:eastAsia="Calibri" w:hAnsi="Calibri" w:cs="Times New Roman"/>
          <w:sz w:val="22"/>
          <w:szCs w:val="24"/>
        </w:rPr>
        <w:fldChar w:fldCharType="separate"/>
      </w:r>
      <w:r w:rsidRPr="009D683D">
        <w:rPr>
          <w:rFonts w:ascii="Calibri" w:eastAsia="Calibri" w:hAnsi="Calibri" w:cs="Times New Roman"/>
          <w:noProof/>
          <w:sz w:val="22"/>
          <w:szCs w:val="24"/>
        </w:rPr>
        <w:t>(Durey &amp; Thompson, 2012)</w:t>
      </w:r>
      <w:r w:rsidRPr="009D683D">
        <w:rPr>
          <w:rFonts w:ascii="Calibri" w:eastAsia="Calibri" w:hAnsi="Calibri" w:cs="Times New Roman"/>
          <w:sz w:val="22"/>
          <w:szCs w:val="24"/>
        </w:rPr>
        <w:fldChar w:fldCharType="end"/>
      </w:r>
      <w:r w:rsidRPr="009D683D">
        <w:rPr>
          <w:rFonts w:ascii="Calibri" w:eastAsia="Calibri" w:hAnsi="Calibri" w:cs="Times New Roman"/>
          <w:sz w:val="22"/>
          <w:szCs w:val="24"/>
        </w:rPr>
        <w:t xml:space="preserve">. This inequity has been </w:t>
      </w:r>
      <w:r w:rsidRPr="009D683D">
        <w:rPr>
          <w:rFonts w:ascii="Calibri" w:eastAsia="Calibri" w:hAnsi="Calibri" w:cs="Times New Roman"/>
          <w:sz w:val="22"/>
          <w:szCs w:val="24"/>
        </w:rPr>
        <w:lastRenderedPageBreak/>
        <w:t xml:space="preserve">observed in the Australian kidney transplant referral system, with one study finding that nephrologists’ willingness to recommend Indigenous patients for transplantation was negatively affected by the perceived immutability of ‘cultural’ causes of non-adherence </w:t>
      </w:r>
      <w:r w:rsidRPr="009D683D">
        <w:rPr>
          <w:rFonts w:ascii="Calibri" w:eastAsia="Calibri" w:hAnsi="Calibri" w:cs="Times New Roman"/>
          <w:sz w:val="22"/>
          <w:szCs w:val="24"/>
        </w:rPr>
        <w:fldChar w:fldCharType="begin">
          <w:fldData xml:space="preserve">PEVuZE5vdGU+PENpdGU+PEF1dGhvcj5BbmRlcnNvbjwvQXV0aG9yPjxZZWFyPjIwMTI8L1llYXI+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</w:fldData>
        </w:fldChar>
      </w:r>
      <w:r w:rsidRPr="009D683D">
        <w:rPr>
          <w:rFonts w:ascii="Calibri" w:eastAsia="Calibri" w:hAnsi="Calibri" w:cs="Times New Roman"/>
          <w:sz w:val="22"/>
          <w:szCs w:val="24"/>
        </w:rPr>
        <w:instrText xml:space="preserve"> ADDIN EN.CITE </w:instrText>
      </w:r>
      <w:r w:rsidRPr="009D683D">
        <w:rPr>
          <w:rFonts w:ascii="Calibri" w:eastAsia="Calibri" w:hAnsi="Calibri" w:cs="Times New Roman"/>
          <w:sz w:val="22"/>
          <w:szCs w:val="24"/>
        </w:rPr>
        <w:fldChar w:fldCharType="begin">
          <w:fldData xml:space="preserve">PEVuZE5vdGU+PENpdGU+PEF1dGhvcj5BbmRlcnNvbjwvQXV0aG9yPjxZZWFyPjIwMTI8L1llYXI+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</w:fldData>
        </w:fldChar>
      </w:r>
      <w:r w:rsidRPr="009D683D">
        <w:rPr>
          <w:rFonts w:ascii="Calibri" w:eastAsia="Calibri" w:hAnsi="Calibri" w:cs="Times New Roman"/>
          <w:sz w:val="22"/>
          <w:szCs w:val="24"/>
        </w:rPr>
        <w:instrText xml:space="preserve"> ADDIN EN.CITE.DATA </w:instrText>
      </w:r>
      <w:r w:rsidRPr="009D683D">
        <w:rPr>
          <w:rFonts w:ascii="Calibri" w:eastAsia="Calibri" w:hAnsi="Calibri" w:cs="Times New Roman"/>
          <w:sz w:val="22"/>
          <w:szCs w:val="24"/>
        </w:rPr>
      </w:r>
      <w:r w:rsidRPr="009D683D">
        <w:rPr>
          <w:rFonts w:ascii="Calibri" w:eastAsia="Calibri" w:hAnsi="Calibri" w:cs="Times New Roman"/>
          <w:sz w:val="22"/>
          <w:szCs w:val="24"/>
        </w:rPr>
        <w:fldChar w:fldCharType="end"/>
      </w:r>
      <w:r w:rsidRPr="009D683D">
        <w:rPr>
          <w:rFonts w:ascii="Calibri" w:eastAsia="Calibri" w:hAnsi="Calibri" w:cs="Times New Roman"/>
          <w:sz w:val="22"/>
          <w:szCs w:val="24"/>
        </w:rPr>
      </w:r>
      <w:r w:rsidRPr="009D683D">
        <w:rPr>
          <w:rFonts w:ascii="Calibri" w:eastAsia="Calibri" w:hAnsi="Calibri" w:cs="Times New Roman"/>
          <w:sz w:val="22"/>
          <w:szCs w:val="24"/>
        </w:rPr>
        <w:fldChar w:fldCharType="separate"/>
      </w:r>
      <w:r w:rsidRPr="009D683D">
        <w:rPr>
          <w:rFonts w:ascii="Calibri" w:eastAsia="Calibri" w:hAnsi="Calibri" w:cs="Times New Roman"/>
          <w:noProof/>
          <w:sz w:val="22"/>
          <w:szCs w:val="24"/>
        </w:rPr>
        <w:t>(Anderson, Devitt, et al., 2012)</w:t>
      </w:r>
      <w:r w:rsidRPr="009D683D">
        <w:rPr>
          <w:rFonts w:ascii="Calibri" w:eastAsia="Calibri" w:hAnsi="Calibri" w:cs="Times New Roman"/>
          <w:sz w:val="22"/>
          <w:szCs w:val="24"/>
        </w:rPr>
        <w:fldChar w:fldCharType="end"/>
      </w:r>
      <w:r w:rsidRPr="009D683D">
        <w:rPr>
          <w:rFonts w:ascii="Calibri" w:eastAsia="Calibri" w:hAnsi="Calibri" w:cs="Times New Roman"/>
          <w:sz w:val="22"/>
          <w:szCs w:val="24"/>
        </w:rPr>
        <w:t xml:space="preserve">. Recognising and dealing appropriately with cultural differences is crucial to improving management of Indigenous kidney transplant recipients, and the possibility of systemic stigmatisation of patients from minority groups must be monitored and managed </w:t>
      </w:r>
      <w:r w:rsidRPr="009D683D">
        <w:rPr>
          <w:rFonts w:ascii="Calibri" w:eastAsia="Calibri" w:hAnsi="Calibri" w:cs="Times New Roman"/>
          <w:sz w:val="22"/>
          <w:szCs w:val="24"/>
        </w:rPr>
        <w:fldChar w:fldCharType="begin">
          <w:fldData xml:space="preserve">PEVuZE5vdGU+PENpdGU+PEF1dGhvcj5BbmRlcnNvbjwvQXV0aG9yPjxZZWFyPjIwMTI8L1llYXI+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</w:fldData>
        </w:fldChar>
      </w:r>
      <w:r w:rsidRPr="009D683D">
        <w:rPr>
          <w:rFonts w:ascii="Calibri" w:eastAsia="Calibri" w:hAnsi="Calibri" w:cs="Times New Roman"/>
          <w:sz w:val="22"/>
          <w:szCs w:val="24"/>
        </w:rPr>
        <w:instrText xml:space="preserve"> ADDIN EN.CITE </w:instrText>
      </w:r>
      <w:r w:rsidRPr="009D683D">
        <w:rPr>
          <w:rFonts w:ascii="Calibri" w:eastAsia="Calibri" w:hAnsi="Calibri" w:cs="Times New Roman"/>
          <w:sz w:val="22"/>
          <w:szCs w:val="24"/>
        </w:rPr>
        <w:fldChar w:fldCharType="begin">
          <w:fldData xml:space="preserve">PEVuZE5vdGU+PENpdGU+PEF1dGhvcj5BbmRlcnNvbjwvQXV0aG9yPjxZZWFyPjIwMTI8L1llYXI+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</w:fldData>
        </w:fldChar>
      </w:r>
      <w:r w:rsidRPr="009D683D">
        <w:rPr>
          <w:rFonts w:ascii="Calibri" w:eastAsia="Calibri" w:hAnsi="Calibri" w:cs="Times New Roman"/>
          <w:sz w:val="22"/>
          <w:szCs w:val="24"/>
        </w:rPr>
        <w:instrText xml:space="preserve"> ADDIN EN.CITE.DATA </w:instrText>
      </w:r>
      <w:r w:rsidRPr="009D683D">
        <w:rPr>
          <w:rFonts w:ascii="Calibri" w:eastAsia="Calibri" w:hAnsi="Calibri" w:cs="Times New Roman"/>
          <w:sz w:val="22"/>
          <w:szCs w:val="24"/>
        </w:rPr>
      </w:r>
      <w:r w:rsidRPr="009D683D">
        <w:rPr>
          <w:rFonts w:ascii="Calibri" w:eastAsia="Calibri" w:hAnsi="Calibri" w:cs="Times New Roman"/>
          <w:sz w:val="22"/>
          <w:szCs w:val="24"/>
        </w:rPr>
        <w:fldChar w:fldCharType="end"/>
      </w:r>
      <w:r w:rsidRPr="009D683D">
        <w:rPr>
          <w:rFonts w:ascii="Calibri" w:eastAsia="Calibri" w:hAnsi="Calibri" w:cs="Times New Roman"/>
          <w:sz w:val="22"/>
          <w:szCs w:val="24"/>
        </w:rPr>
      </w:r>
      <w:r w:rsidRPr="009D683D">
        <w:rPr>
          <w:rFonts w:ascii="Calibri" w:eastAsia="Calibri" w:hAnsi="Calibri" w:cs="Times New Roman"/>
          <w:sz w:val="22"/>
          <w:szCs w:val="24"/>
        </w:rPr>
        <w:fldChar w:fldCharType="separate"/>
      </w:r>
      <w:r w:rsidRPr="009D683D">
        <w:rPr>
          <w:rFonts w:ascii="Calibri" w:eastAsia="Calibri" w:hAnsi="Calibri" w:cs="Times New Roman"/>
          <w:noProof/>
          <w:sz w:val="22"/>
          <w:szCs w:val="24"/>
        </w:rPr>
        <w:t>(Anderson, Devitt, et al., 2012)</w:t>
      </w:r>
      <w:r w:rsidRPr="009D683D">
        <w:rPr>
          <w:rFonts w:ascii="Calibri" w:eastAsia="Calibri" w:hAnsi="Calibri" w:cs="Times New Roman"/>
          <w:sz w:val="22"/>
          <w:szCs w:val="24"/>
        </w:rPr>
        <w:fldChar w:fldCharType="end"/>
      </w:r>
      <w:r w:rsidRPr="009D683D">
        <w:rPr>
          <w:rFonts w:ascii="Calibri" w:eastAsia="Calibri" w:hAnsi="Calibri" w:cs="Times New Roman"/>
          <w:sz w:val="22"/>
          <w:szCs w:val="24"/>
        </w:rPr>
        <w:t>.</w:t>
      </w:r>
    </w:p>
    <w:p w14:paraId="1B03FD2F" w14:textId="77777777" w:rsidR="009D683D" w:rsidRPr="009D683D" w:rsidRDefault="009D683D" w:rsidP="009D683D">
      <w:pPr>
        <w:spacing w:line="276" w:lineRule="auto"/>
        <w:jc w:val="both"/>
        <w:rPr>
          <w:rFonts w:ascii="Calibri" w:eastAsia="Calibri" w:hAnsi="Calibri" w:cs="Times New Roman"/>
          <w:sz w:val="22"/>
          <w:szCs w:val="24"/>
        </w:rPr>
      </w:pPr>
      <w:r w:rsidRPr="009D683D">
        <w:rPr>
          <w:rFonts w:ascii="Calibri" w:eastAsia="Calibri" w:hAnsi="Calibri" w:cs="Times New Roman"/>
          <w:sz w:val="22"/>
          <w:szCs w:val="24"/>
        </w:rPr>
        <w:t xml:space="preserve">Workforce shortages in rural and remote Australia constitute the most significant barrier in implementing effective models of care for Indigenous transplant recipients, who require specialised follow-up and regular consultations with a multidisciplinary post-transplant team. Ideally, these consultations need to be made available in rural and remote areas; the onus should not be on the patient to travel great distances on a regular basis for essential post-transplant care. Improving the coordination and delivery of care in rural and remote areas should involve a multifaceted approach, comprising: multidisciplinary post-transplant clinics, point-of-care testing, </w:t>
      </w:r>
      <w:proofErr w:type="spellStart"/>
      <w:r w:rsidRPr="009D683D">
        <w:rPr>
          <w:rFonts w:ascii="Calibri" w:eastAsia="Calibri" w:hAnsi="Calibri" w:cs="Times New Roman"/>
          <w:sz w:val="22"/>
          <w:szCs w:val="24"/>
        </w:rPr>
        <w:t>telenephrology</w:t>
      </w:r>
      <w:proofErr w:type="spellEnd"/>
      <w:r w:rsidRPr="009D683D">
        <w:rPr>
          <w:rFonts w:ascii="Calibri" w:eastAsia="Calibri" w:hAnsi="Calibri" w:cs="Times New Roman"/>
          <w:sz w:val="22"/>
          <w:szCs w:val="24"/>
        </w:rPr>
        <w:t xml:space="preserve"> and </w:t>
      </w:r>
      <w:proofErr w:type="spellStart"/>
      <w:r w:rsidRPr="009D683D">
        <w:rPr>
          <w:rFonts w:ascii="Calibri" w:eastAsia="Calibri" w:hAnsi="Calibri" w:cs="Times New Roman"/>
          <w:sz w:val="22"/>
          <w:szCs w:val="24"/>
        </w:rPr>
        <w:t>telepharmacy</w:t>
      </w:r>
      <w:proofErr w:type="spellEnd"/>
      <w:r w:rsidRPr="009D683D">
        <w:rPr>
          <w:rFonts w:ascii="Calibri" w:eastAsia="Calibri" w:hAnsi="Calibri" w:cs="Times New Roman"/>
          <w:sz w:val="22"/>
          <w:szCs w:val="24"/>
        </w:rPr>
        <w:t xml:space="preserve">, coordinated clinical pharmacy outreach services, and consistent protocols for the use of dose administration aids. </w:t>
      </w:r>
    </w:p>
    <w:p w14:paraId="0314A83A" w14:textId="77777777"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bookmarkStart w:id="53" w:name="_Hlk534189789"/>
      <w:r w:rsidRPr="009D683D">
        <w:rPr>
          <w:rFonts w:ascii="Calibri Light" w:eastAsia="Times New Roman" w:hAnsi="Calibri Light" w:cs="Times New Roman"/>
          <w:i/>
          <w:iCs/>
          <w:sz w:val="22"/>
        </w:rPr>
        <w:t>Current Practice</w:t>
      </w:r>
    </w:p>
    <w:p w14:paraId="4A867CBB" w14:textId="77777777" w:rsidR="009D683D" w:rsidRPr="009D683D" w:rsidRDefault="009D683D" w:rsidP="009D683D">
      <w:pPr>
        <w:spacing w:line="276" w:lineRule="auto"/>
        <w:jc w:val="both"/>
        <w:rPr>
          <w:rFonts w:ascii="Calibri" w:eastAsia="Calibri" w:hAnsi="Calibri" w:cs="Calibri"/>
          <w:sz w:val="22"/>
        </w:rPr>
      </w:pPr>
      <w:r w:rsidRPr="009D683D">
        <w:rPr>
          <w:rFonts w:ascii="Calibri" w:eastAsia="Calibri" w:hAnsi="Calibri" w:cs="Times New Roman"/>
          <w:sz w:val="22"/>
        </w:rPr>
        <w:t xml:space="preserve">Current renal unit and transplant centre models of care tend to be historical and have evolved </w:t>
      </w:r>
      <w:r w:rsidRPr="009D683D">
        <w:rPr>
          <w:rFonts w:ascii="Calibri" w:eastAsia="Calibri" w:hAnsi="Calibri" w:cs="Calibri"/>
          <w:sz w:val="22"/>
        </w:rPr>
        <w:t>differentially, with individual transplant units relying on the availability of resources rather than patient and community need. As part of this report, a series of structured interviews with transplant services from the Northern Territory, Western Australia, Queensland, Victoria, New South Wales and South Australia was undertaken. These interviews identified a number of common elements in models of care:</w:t>
      </w:r>
    </w:p>
    <w:p w14:paraId="246BEC9A" w14:textId="77777777" w:rsidR="009D683D" w:rsidRPr="009D683D" w:rsidRDefault="009D683D" w:rsidP="00782640">
      <w:pPr>
        <w:numPr>
          <w:ilvl w:val="0"/>
          <w:numId w:val="40"/>
        </w:numPr>
        <w:spacing w:line="276" w:lineRule="auto"/>
        <w:contextualSpacing/>
        <w:jc w:val="both"/>
        <w:rPr>
          <w:rFonts w:ascii="Calibri" w:eastAsia="Calibri" w:hAnsi="Calibri" w:cs="Calibri"/>
          <w:sz w:val="22"/>
        </w:rPr>
      </w:pPr>
      <w:r w:rsidRPr="009D683D">
        <w:rPr>
          <w:rFonts w:ascii="Calibri" w:eastAsia="Calibri" w:hAnsi="Calibri" w:cs="Calibri"/>
          <w:sz w:val="22"/>
        </w:rPr>
        <w:t>Most units had an Indigenous Liaison Officer, and many used patient mentors in an organised manner, which commonly involved prior transplant patients being asked to attend education sessions and seminars to help educate future transplant patients.</w:t>
      </w:r>
    </w:p>
    <w:p w14:paraId="5B60922E" w14:textId="77777777" w:rsidR="009D683D" w:rsidRPr="009D683D" w:rsidRDefault="009D683D" w:rsidP="00782640">
      <w:pPr>
        <w:numPr>
          <w:ilvl w:val="0"/>
          <w:numId w:val="40"/>
        </w:numPr>
        <w:spacing w:line="276" w:lineRule="auto"/>
        <w:contextualSpacing/>
        <w:jc w:val="both"/>
        <w:rPr>
          <w:rFonts w:ascii="Calibri" w:eastAsia="Calibri" w:hAnsi="Calibri" w:cs="Calibri"/>
          <w:sz w:val="22"/>
        </w:rPr>
      </w:pPr>
      <w:r w:rsidRPr="009D683D">
        <w:rPr>
          <w:rFonts w:ascii="Calibri" w:eastAsia="Calibri" w:hAnsi="Calibri" w:cs="Calibri"/>
          <w:sz w:val="22"/>
        </w:rPr>
        <w:t xml:space="preserve">Most units offered a variety of allied health services, including pharmacist, dietician, social worker and psychologist services.  </w:t>
      </w:r>
    </w:p>
    <w:p w14:paraId="22D4DE6E" w14:textId="77777777" w:rsidR="009D683D" w:rsidRPr="009D683D" w:rsidRDefault="009D683D" w:rsidP="00782640">
      <w:pPr>
        <w:numPr>
          <w:ilvl w:val="0"/>
          <w:numId w:val="40"/>
        </w:numPr>
        <w:spacing w:line="276" w:lineRule="auto"/>
        <w:contextualSpacing/>
        <w:jc w:val="both"/>
        <w:rPr>
          <w:rFonts w:ascii="Calibri" w:eastAsia="Calibri" w:hAnsi="Calibri" w:cs="Calibri"/>
          <w:sz w:val="22"/>
        </w:rPr>
      </w:pPr>
      <w:r w:rsidRPr="009D683D">
        <w:rPr>
          <w:rFonts w:ascii="Calibri" w:eastAsia="Calibri" w:hAnsi="Calibri" w:cs="Calibri"/>
          <w:sz w:val="22"/>
        </w:rPr>
        <w:t>Most units used transplant educational materials that were adapted from existing Kidney Health Australia or industry-based resources.</w:t>
      </w:r>
    </w:p>
    <w:p w14:paraId="5B65F521" w14:textId="77777777" w:rsidR="009D683D" w:rsidRPr="009D683D" w:rsidRDefault="009D683D" w:rsidP="00782640">
      <w:pPr>
        <w:numPr>
          <w:ilvl w:val="0"/>
          <w:numId w:val="40"/>
        </w:numPr>
        <w:spacing w:line="276" w:lineRule="auto"/>
        <w:contextualSpacing/>
        <w:jc w:val="both"/>
        <w:rPr>
          <w:rFonts w:ascii="Calibri" w:eastAsia="Calibri" w:hAnsi="Calibri" w:cs="Calibri"/>
          <w:sz w:val="22"/>
        </w:rPr>
      </w:pPr>
      <w:r w:rsidRPr="009D683D">
        <w:rPr>
          <w:rFonts w:ascii="Calibri" w:eastAsia="Calibri" w:hAnsi="Calibri" w:cs="Calibri"/>
          <w:sz w:val="22"/>
        </w:rPr>
        <w:t>Patients are usually informed about transplant as a treatment option as soon as they are diagnosed with CKD, and usually before commencing dialysis treatment.</w:t>
      </w:r>
    </w:p>
    <w:p w14:paraId="7179E4A7" w14:textId="77777777" w:rsidR="009D683D" w:rsidRPr="009D683D" w:rsidRDefault="009D683D" w:rsidP="00782640">
      <w:pPr>
        <w:numPr>
          <w:ilvl w:val="0"/>
          <w:numId w:val="40"/>
        </w:numPr>
        <w:spacing w:line="276" w:lineRule="auto"/>
        <w:contextualSpacing/>
        <w:jc w:val="both"/>
        <w:rPr>
          <w:rFonts w:ascii="Calibri" w:eastAsia="Calibri" w:hAnsi="Calibri" w:cs="Calibri"/>
          <w:sz w:val="22"/>
        </w:rPr>
      </w:pPr>
      <w:r w:rsidRPr="009D683D">
        <w:rPr>
          <w:rFonts w:ascii="Calibri" w:eastAsia="Calibri" w:hAnsi="Calibri" w:cs="Calibri"/>
          <w:sz w:val="22"/>
        </w:rPr>
        <w:t>Most units reported that transplant workup did not typically commence before dialysis as recommended, but usually within the first 6 months of dialysis treatment.</w:t>
      </w:r>
    </w:p>
    <w:p w14:paraId="6C45C98F" w14:textId="77777777" w:rsidR="009D683D" w:rsidRPr="009D683D" w:rsidRDefault="009D683D" w:rsidP="00782640">
      <w:pPr>
        <w:numPr>
          <w:ilvl w:val="0"/>
          <w:numId w:val="40"/>
        </w:numPr>
        <w:spacing w:line="276" w:lineRule="auto"/>
        <w:contextualSpacing/>
        <w:jc w:val="both"/>
        <w:rPr>
          <w:rFonts w:ascii="Calibri" w:eastAsia="Calibri" w:hAnsi="Calibri" w:cs="Calibri"/>
          <w:sz w:val="22"/>
        </w:rPr>
      </w:pPr>
      <w:r w:rsidRPr="009D683D">
        <w:rPr>
          <w:rFonts w:ascii="Calibri" w:eastAsia="Calibri" w:hAnsi="Calibri" w:cs="Calibri"/>
          <w:sz w:val="22"/>
        </w:rPr>
        <w:t>Most units reported that transplant workup typically takes between 3-6 months, but that Indigenous patients may take anywhere between 12-18 months to complete workup.</w:t>
      </w:r>
    </w:p>
    <w:p w14:paraId="4C526C8F" w14:textId="77777777" w:rsidR="009D683D" w:rsidRPr="009D683D" w:rsidRDefault="009D683D" w:rsidP="00782640">
      <w:pPr>
        <w:numPr>
          <w:ilvl w:val="0"/>
          <w:numId w:val="40"/>
        </w:numPr>
        <w:spacing w:line="276" w:lineRule="auto"/>
        <w:contextualSpacing/>
        <w:jc w:val="both"/>
        <w:rPr>
          <w:rFonts w:ascii="Calibri" w:eastAsia="Calibri" w:hAnsi="Calibri" w:cs="Calibri"/>
          <w:sz w:val="22"/>
        </w:rPr>
      </w:pPr>
      <w:r w:rsidRPr="009D683D">
        <w:rPr>
          <w:rFonts w:ascii="Calibri" w:eastAsia="Calibri" w:hAnsi="Calibri" w:cs="Calibri"/>
          <w:sz w:val="22"/>
        </w:rPr>
        <w:t>Once a transplant becomes available, it is usually the local GP or nephrologist who calls the patient to inform them of its availability.</w:t>
      </w:r>
    </w:p>
    <w:p w14:paraId="111B7C4C" w14:textId="77777777" w:rsidR="009D683D" w:rsidRPr="009D683D" w:rsidRDefault="009D683D" w:rsidP="00782640">
      <w:pPr>
        <w:numPr>
          <w:ilvl w:val="0"/>
          <w:numId w:val="40"/>
        </w:numPr>
        <w:spacing w:line="276" w:lineRule="auto"/>
        <w:contextualSpacing/>
        <w:jc w:val="both"/>
        <w:rPr>
          <w:rFonts w:ascii="Calibri" w:eastAsia="Calibri" w:hAnsi="Calibri" w:cs="Calibri"/>
          <w:sz w:val="22"/>
        </w:rPr>
      </w:pPr>
      <w:r w:rsidRPr="009D683D">
        <w:rPr>
          <w:rFonts w:ascii="Calibri" w:eastAsia="Calibri" w:hAnsi="Calibri" w:cs="Calibri"/>
          <w:sz w:val="22"/>
        </w:rPr>
        <w:t>Travel arrangements to receive the transplant are typically organised by renal transplant coordinators.</w:t>
      </w:r>
    </w:p>
    <w:p w14:paraId="667C3AFC" w14:textId="77777777" w:rsidR="009D683D" w:rsidRPr="009D683D" w:rsidRDefault="009D683D" w:rsidP="00782640">
      <w:pPr>
        <w:numPr>
          <w:ilvl w:val="0"/>
          <w:numId w:val="40"/>
        </w:numPr>
        <w:spacing w:after="0" w:line="276" w:lineRule="auto"/>
        <w:contextualSpacing/>
        <w:jc w:val="both"/>
        <w:rPr>
          <w:rFonts w:ascii="Calibri" w:eastAsia="Calibri" w:hAnsi="Calibri" w:cs="Calibri"/>
          <w:sz w:val="22"/>
        </w:rPr>
      </w:pPr>
      <w:r w:rsidRPr="009D683D">
        <w:rPr>
          <w:rFonts w:ascii="Calibri" w:eastAsia="Calibri" w:hAnsi="Calibri" w:cs="Calibri"/>
          <w:sz w:val="22"/>
        </w:rPr>
        <w:t>Immediately following surgery, recipients typically spend 5-7 days in hospital.</w:t>
      </w:r>
    </w:p>
    <w:p w14:paraId="46EFCB69" w14:textId="77777777" w:rsidR="009D683D" w:rsidRPr="009D683D" w:rsidRDefault="009D683D" w:rsidP="00782640">
      <w:pPr>
        <w:numPr>
          <w:ilvl w:val="0"/>
          <w:numId w:val="36"/>
        </w:numPr>
        <w:spacing w:line="276" w:lineRule="auto"/>
        <w:contextualSpacing/>
        <w:jc w:val="both"/>
        <w:rPr>
          <w:rFonts w:ascii="Calibri" w:eastAsia="Calibri" w:hAnsi="Calibri" w:cs="Calibri"/>
          <w:sz w:val="22"/>
        </w:rPr>
      </w:pPr>
      <w:r w:rsidRPr="009D683D">
        <w:rPr>
          <w:rFonts w:ascii="Calibri" w:eastAsia="Calibri" w:hAnsi="Calibri" w:cs="Calibri"/>
          <w:sz w:val="22"/>
        </w:rPr>
        <w:t>Recipients typically then spend a further 4-12 weeks in the city where the transplant centre is located.</w:t>
      </w:r>
    </w:p>
    <w:p w14:paraId="785B4A44" w14:textId="77777777" w:rsidR="009D683D" w:rsidRPr="009D683D" w:rsidRDefault="009D683D" w:rsidP="00782640">
      <w:pPr>
        <w:numPr>
          <w:ilvl w:val="0"/>
          <w:numId w:val="36"/>
        </w:numPr>
        <w:spacing w:after="0" w:line="276" w:lineRule="auto"/>
        <w:contextualSpacing/>
        <w:jc w:val="both"/>
        <w:rPr>
          <w:rFonts w:ascii="Calibri" w:eastAsia="Calibri" w:hAnsi="Calibri" w:cs="Calibri"/>
          <w:sz w:val="22"/>
        </w:rPr>
      </w:pPr>
      <w:r w:rsidRPr="009D683D">
        <w:rPr>
          <w:rFonts w:ascii="Calibri" w:eastAsia="Calibri" w:hAnsi="Calibri" w:cs="Calibri"/>
          <w:sz w:val="22"/>
        </w:rPr>
        <w:lastRenderedPageBreak/>
        <w:t>In some areas, this may be followed by a period of 4-8 weeks in a regional centre (i.e. Alice Springs, Darwin, Cairns or Townsville), prior to returning to their home community.</w:t>
      </w:r>
    </w:p>
    <w:p w14:paraId="613D0BB6" w14:textId="77777777" w:rsidR="009D683D" w:rsidRPr="009D683D" w:rsidRDefault="009D683D" w:rsidP="00782640">
      <w:pPr>
        <w:numPr>
          <w:ilvl w:val="0"/>
          <w:numId w:val="40"/>
        </w:numPr>
        <w:spacing w:line="276" w:lineRule="auto"/>
        <w:contextualSpacing/>
        <w:jc w:val="both"/>
        <w:rPr>
          <w:rFonts w:ascii="Calibri" w:eastAsia="Calibri" w:hAnsi="Calibri" w:cs="Times New Roman"/>
          <w:sz w:val="22"/>
        </w:rPr>
      </w:pPr>
      <w:r w:rsidRPr="009D683D">
        <w:rPr>
          <w:rFonts w:ascii="Calibri" w:eastAsia="Calibri" w:hAnsi="Calibri" w:cs="Calibri"/>
          <w:sz w:val="22"/>
        </w:rPr>
        <w:t xml:space="preserve">Following a transplant, most units provided </w:t>
      </w:r>
      <w:proofErr w:type="spellStart"/>
      <w:r w:rsidRPr="009D683D">
        <w:rPr>
          <w:rFonts w:ascii="Calibri" w:eastAsia="Calibri" w:hAnsi="Calibri" w:cs="Calibri"/>
          <w:sz w:val="22"/>
        </w:rPr>
        <w:t>dosettes</w:t>
      </w:r>
      <w:proofErr w:type="spellEnd"/>
      <w:r w:rsidRPr="009D683D">
        <w:rPr>
          <w:rFonts w:ascii="Calibri" w:eastAsia="Calibri" w:hAnsi="Calibri" w:cs="Calibri"/>
          <w:sz w:val="22"/>
        </w:rPr>
        <w:t xml:space="preserve"> to recipients and assessed recipients’ understanding of each drug. Units then supported medication</w:t>
      </w:r>
      <w:r w:rsidRPr="009D683D">
        <w:rPr>
          <w:rFonts w:ascii="Calibri" w:eastAsia="Calibri" w:hAnsi="Calibri" w:cs="Times New Roman"/>
          <w:sz w:val="22"/>
        </w:rPr>
        <w:t xml:space="preserve"> adherence by checking recipients’ </w:t>
      </w:r>
      <w:proofErr w:type="spellStart"/>
      <w:r w:rsidRPr="009D683D">
        <w:rPr>
          <w:rFonts w:ascii="Calibri" w:eastAsia="Calibri" w:hAnsi="Calibri" w:cs="Times New Roman"/>
          <w:sz w:val="22"/>
        </w:rPr>
        <w:t>dosettes</w:t>
      </w:r>
      <w:proofErr w:type="spellEnd"/>
      <w:r w:rsidRPr="009D683D">
        <w:rPr>
          <w:rFonts w:ascii="Calibri" w:eastAsia="Calibri" w:hAnsi="Calibri" w:cs="Times New Roman"/>
          <w:sz w:val="22"/>
        </w:rPr>
        <w:t xml:space="preserve"> and Webster </w:t>
      </w:r>
      <w:proofErr w:type="spellStart"/>
      <w:r w:rsidRPr="009D683D">
        <w:rPr>
          <w:rFonts w:ascii="Calibri" w:eastAsia="Calibri" w:hAnsi="Calibri" w:cs="Times New Roman"/>
          <w:sz w:val="22"/>
        </w:rPr>
        <w:t>Paks</w:t>
      </w:r>
      <w:proofErr w:type="spellEnd"/>
      <w:r w:rsidRPr="009D683D">
        <w:rPr>
          <w:rFonts w:ascii="Calibri" w:eastAsia="Calibri" w:hAnsi="Calibri" w:cs="Times New Roman"/>
          <w:sz w:val="22"/>
        </w:rPr>
        <w:t xml:space="preserve"> and providing regular medication education via pharmacists in the immediate post-transplant period.</w:t>
      </w:r>
    </w:p>
    <w:p w14:paraId="7DF72C71" w14:textId="77777777" w:rsidR="009D683D" w:rsidRPr="009D683D" w:rsidRDefault="009D683D" w:rsidP="00782640">
      <w:pPr>
        <w:numPr>
          <w:ilvl w:val="0"/>
          <w:numId w:val="40"/>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Once recipients’ medications, drug doses and clinical situation are stable, they are discharged and returned to their community, often between 3-6 months post-transplant (depending on remoteness and individual unit preferences).</w:t>
      </w:r>
    </w:p>
    <w:p w14:paraId="0E70D767" w14:textId="77777777" w:rsidR="009D683D" w:rsidRPr="009D683D" w:rsidRDefault="009D683D" w:rsidP="00782640">
      <w:pPr>
        <w:numPr>
          <w:ilvl w:val="0"/>
          <w:numId w:val="40"/>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Most units offered onsite post-transplant education to kidney transplant recipients, but very few units provided outreach education sessions and telehealth options due to lack of funding and/or staff availability.</w:t>
      </w:r>
    </w:p>
    <w:p w14:paraId="1A0430B5" w14:textId="77777777" w:rsidR="009D683D" w:rsidRPr="009D683D" w:rsidRDefault="009D683D" w:rsidP="00782640">
      <w:pPr>
        <w:numPr>
          <w:ilvl w:val="0"/>
          <w:numId w:val="40"/>
        </w:numPr>
        <w:spacing w:line="276" w:lineRule="auto"/>
        <w:ind w:hanging="357"/>
        <w:jc w:val="both"/>
        <w:rPr>
          <w:rFonts w:ascii="Calibri" w:eastAsia="Calibri" w:hAnsi="Calibri" w:cs="Times New Roman"/>
          <w:sz w:val="22"/>
        </w:rPr>
      </w:pPr>
      <w:r w:rsidRPr="009D683D">
        <w:rPr>
          <w:rFonts w:ascii="Calibri" w:eastAsia="Calibri" w:hAnsi="Calibri" w:cs="Times New Roman"/>
          <w:sz w:val="22"/>
        </w:rPr>
        <w:t>Most units had standard immunosuppression and infective prophylaxis protocols that were applied to all patients.</w:t>
      </w:r>
    </w:p>
    <w:p w14:paraId="2DCD62A0" w14:textId="77777777" w:rsidR="009D683D" w:rsidRPr="009D683D" w:rsidRDefault="009D683D" w:rsidP="009D683D">
      <w:pPr>
        <w:keepNext/>
        <w:spacing w:line="276" w:lineRule="auto"/>
        <w:jc w:val="both"/>
        <w:rPr>
          <w:rFonts w:ascii="Calibri" w:eastAsia="Calibri" w:hAnsi="Calibri" w:cs="Times New Roman"/>
          <w:sz w:val="22"/>
        </w:rPr>
      </w:pPr>
      <w:r w:rsidRPr="009D683D">
        <w:rPr>
          <w:rFonts w:ascii="Calibri" w:eastAsia="Calibri" w:hAnsi="Calibri" w:cs="Times New Roman"/>
          <w:sz w:val="22"/>
        </w:rPr>
        <w:t>A number of service provision gaps were also identified by the interviews, including:</w:t>
      </w:r>
    </w:p>
    <w:p w14:paraId="3B4D69EB" w14:textId="77777777" w:rsidR="009D683D" w:rsidRPr="009D683D" w:rsidRDefault="009D683D" w:rsidP="00782640">
      <w:pPr>
        <w:keepNext/>
        <w:numPr>
          <w:ilvl w:val="0"/>
          <w:numId w:val="40"/>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Most units indicated that services such as Indigenous Liaison Officers and patient mentors are only offered to patients if requested or clearly required.</w:t>
      </w:r>
    </w:p>
    <w:p w14:paraId="23E53563" w14:textId="77777777" w:rsidR="009D683D" w:rsidRPr="009D683D" w:rsidRDefault="009D683D" w:rsidP="00782640">
      <w:pPr>
        <w:numPr>
          <w:ilvl w:val="0"/>
          <w:numId w:val="40"/>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 xml:space="preserve">No </w:t>
      </w:r>
      <w:proofErr w:type="spellStart"/>
      <w:r w:rsidRPr="009D683D">
        <w:rPr>
          <w:rFonts w:ascii="Calibri" w:eastAsia="Calibri" w:hAnsi="Calibri" w:cs="Times New Roman"/>
          <w:sz w:val="22"/>
        </w:rPr>
        <w:t>renal</w:t>
      </w:r>
      <w:proofErr w:type="spellEnd"/>
      <w:r w:rsidRPr="009D683D">
        <w:rPr>
          <w:rFonts w:ascii="Calibri" w:eastAsia="Calibri" w:hAnsi="Calibri" w:cs="Times New Roman"/>
          <w:sz w:val="22"/>
        </w:rPr>
        <w:t xml:space="preserve"> units developed or provided tailored educational materials for Indigenous patients, though a handful of units gave Indigenous patients simple drawings, booklets developed by NT renal services, or videos of Indigenous patient experiences.</w:t>
      </w:r>
    </w:p>
    <w:p w14:paraId="2B3DE8B7" w14:textId="77777777" w:rsidR="009D683D" w:rsidRPr="009D683D" w:rsidRDefault="009D683D" w:rsidP="00782640">
      <w:pPr>
        <w:numPr>
          <w:ilvl w:val="0"/>
          <w:numId w:val="40"/>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No units had specific processes in place for evaluating a potential Indigenous living kidney donor, and most units expressed reluctance to engage Indigenous donors due to the prevalence of CKD and other comorbidities amongst this population.</w:t>
      </w:r>
    </w:p>
    <w:p w14:paraId="01156E7B" w14:textId="77777777" w:rsidR="009D683D" w:rsidRPr="009D683D" w:rsidRDefault="009D683D" w:rsidP="00782640">
      <w:pPr>
        <w:numPr>
          <w:ilvl w:val="0"/>
          <w:numId w:val="40"/>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Very few units had specific measures in place for follow-up care after recipients returned to their home community.</w:t>
      </w:r>
    </w:p>
    <w:p w14:paraId="2E3C086D" w14:textId="77777777" w:rsidR="009D683D" w:rsidRPr="009D683D" w:rsidRDefault="009D683D" w:rsidP="00782640">
      <w:pPr>
        <w:numPr>
          <w:ilvl w:val="0"/>
          <w:numId w:val="40"/>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Very few units utilised telehealth to liaise with satellite sites, primary health services, outreach clinics and transplant recipients.</w:t>
      </w:r>
    </w:p>
    <w:p w14:paraId="501C09BA" w14:textId="77777777" w:rsidR="009D683D" w:rsidRPr="009D683D" w:rsidRDefault="009D683D" w:rsidP="00782640">
      <w:pPr>
        <w:numPr>
          <w:ilvl w:val="0"/>
          <w:numId w:val="40"/>
        </w:numPr>
        <w:spacing w:after="0" w:line="276" w:lineRule="auto"/>
        <w:contextualSpacing/>
        <w:jc w:val="both"/>
        <w:rPr>
          <w:rFonts w:ascii="Calibri" w:eastAsia="Calibri" w:hAnsi="Calibri" w:cs="Times New Roman"/>
          <w:sz w:val="22"/>
        </w:rPr>
      </w:pPr>
      <w:r w:rsidRPr="009D683D">
        <w:rPr>
          <w:rFonts w:ascii="Calibri" w:eastAsia="Calibri" w:hAnsi="Calibri" w:cs="Times New Roman"/>
          <w:sz w:val="22"/>
        </w:rPr>
        <w:t>Most of the units did not have a protocol in place with regard to partnering and collaborating with primary health care services, including Aboriginal Community Controlled Health Services (ACCHS), in the delivery of post-transplant care.</w:t>
      </w:r>
    </w:p>
    <w:p w14:paraId="5EADF887" w14:textId="77777777" w:rsidR="009D683D" w:rsidRPr="009D683D" w:rsidRDefault="009D683D" w:rsidP="009D683D">
      <w:pPr>
        <w:spacing w:before="240" w:line="276" w:lineRule="auto"/>
        <w:contextualSpacing/>
        <w:jc w:val="both"/>
        <w:rPr>
          <w:rFonts w:ascii="Calibri" w:eastAsia="Calibri" w:hAnsi="Calibri" w:cs="Times New Roman"/>
          <w:sz w:val="22"/>
        </w:rPr>
      </w:pPr>
    </w:p>
    <w:p w14:paraId="53242E01" w14:textId="77777777" w:rsidR="009D683D" w:rsidRPr="009D683D" w:rsidRDefault="009D683D" w:rsidP="009D683D">
      <w:pPr>
        <w:spacing w:before="240" w:line="276" w:lineRule="auto"/>
        <w:contextualSpacing/>
        <w:jc w:val="both"/>
        <w:rPr>
          <w:rFonts w:ascii="Calibri" w:eastAsia="Calibri" w:hAnsi="Calibri" w:cs="Times New Roman"/>
          <w:sz w:val="22"/>
        </w:rPr>
      </w:pPr>
      <w:r w:rsidRPr="009D683D">
        <w:rPr>
          <w:rFonts w:ascii="Calibri" w:eastAsia="Calibri" w:hAnsi="Calibri" w:cs="Times New Roman"/>
          <w:sz w:val="22"/>
        </w:rPr>
        <w:t>These findings suggest that, for the most part, current models of care are inadequate and lack a specific focus on the Indigenous patient population, particularly for those from rural and remote areas.</w:t>
      </w:r>
    </w:p>
    <w:p w14:paraId="12097D56" w14:textId="77777777" w:rsidR="0055104B"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r w:rsidRPr="009D683D">
        <w:rPr>
          <w:rFonts w:ascii="Times New Roman" w:eastAsia="Times New Roman" w:hAnsi="Times New Roman" w:cs="Times New Roman"/>
          <w:i/>
          <w:iCs/>
          <w:noProof/>
          <w:sz w:val="24"/>
          <w:szCs w:val="24"/>
          <w:lang w:eastAsia="en-AU"/>
        </w:rPr>
        <w:lastRenderedPageBreak/>
        <mc:AlternateContent>
          <mc:Choice Requires="wps">
            <w:drawing>
              <wp:inline distT="0" distB="0" distL="0" distR="0" wp14:anchorId="54AB6939" wp14:editId="58EED37F">
                <wp:extent cx="5715000" cy="6946900"/>
                <wp:effectExtent l="0" t="0" r="19050" b="25400"/>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946900"/>
                        </a:xfrm>
                        <a:prstGeom prst="rect">
                          <a:avLst/>
                        </a:prstGeom>
                        <a:solidFill>
                          <a:srgbClr val="70AD47">
                            <a:lumMod val="20000"/>
                            <a:lumOff val="80000"/>
                          </a:srgbClr>
                        </a:solidFill>
                        <a:ln w="9525">
                          <a:solidFill>
                            <a:srgbClr val="000000"/>
                          </a:solidFill>
                          <a:miter lim="800000"/>
                          <a:headEnd/>
                          <a:tailEnd/>
                        </a:ln>
                      </wps:spPr>
                      <wps:txbx>
                        <w:txbxContent>
                          <w:p w14:paraId="249FC43C" w14:textId="77777777" w:rsidR="00A41391" w:rsidRPr="00E72765" w:rsidRDefault="00A41391" w:rsidP="009D683D">
                            <w:pPr>
                              <w:spacing w:line="276" w:lineRule="auto"/>
                              <w:jc w:val="both"/>
                              <w:rPr>
                                <w:b/>
                                <w:sz w:val="24"/>
                              </w:rPr>
                            </w:pPr>
                            <w:r w:rsidRPr="00E72765">
                              <w:rPr>
                                <w:b/>
                                <w:sz w:val="24"/>
                              </w:rPr>
                              <w:t xml:space="preserve">Box </w:t>
                            </w:r>
                            <w:r>
                              <w:rPr>
                                <w:b/>
                                <w:sz w:val="24"/>
                              </w:rPr>
                              <w:t>9</w:t>
                            </w:r>
                            <w:r w:rsidRPr="00E72765">
                              <w:rPr>
                                <w:b/>
                                <w:sz w:val="24"/>
                              </w:rPr>
                              <w:t>: Case study of an Indigenous patients’ post-transplant journey</w:t>
                            </w:r>
                          </w:p>
                          <w:p w14:paraId="2037E520" w14:textId="77777777" w:rsidR="00A41391" w:rsidRDefault="00A41391" w:rsidP="009D683D">
                            <w:pPr>
                              <w:spacing w:line="276" w:lineRule="auto"/>
                              <w:jc w:val="both"/>
                            </w:pPr>
                            <w:r>
                              <w:t>A 48-year-old Indigenous man from a remote area, who had been on HD since 2010, was transplanted in August 2018. He was discharged on Day 4 post-transplantation, and was reviewed in the outpatient department on Day 5, when it was discovered that he had not taken some of his medications, including tacrolimus. The patient’s care progressed with multiple readmissions for ureteric complications. He was reviewed by pharmacists three times to Day 21 - on the first two occasions there were no errors, but errors in dosette packing were noted during the final review. On Day 32, he was discharged back to the regional hospital, and the transplant centre’s registrar provided a phone handover to the treating nephrologist in the regional centre. In addition to his medication dosette, the patient was provided with a typed sheet outlining his medication regime.</w:t>
                            </w:r>
                          </w:p>
                          <w:p w14:paraId="1B5DC05D" w14:textId="77777777" w:rsidR="00A41391" w:rsidRDefault="00A41391" w:rsidP="009D683D">
                            <w:pPr>
                              <w:spacing w:line="276" w:lineRule="auto"/>
                              <w:jc w:val="both"/>
                            </w:pPr>
                            <w:r>
                              <w:t>In the regional centre, the patient’s dose aid was changed to a Webster Pak, but the number of medications was such that the breakfast medications were packed into two columns that were clearly marked as ‘morning’ medications.</w:t>
                            </w:r>
                          </w:p>
                          <w:p w14:paraId="76A96B0D" w14:textId="77777777" w:rsidR="00A41391" w:rsidRDefault="00A41391" w:rsidP="009D683D">
                            <w:pPr>
                              <w:spacing w:line="276" w:lineRule="auto"/>
                              <w:jc w:val="both"/>
                            </w:pPr>
                            <w:r>
                              <w:t xml:space="preserve">Four weeks later he was readmitted to the regional centre with rejection. On investigation, there had been a medication mix-up due to the change in format of medication, which led to the patient not taking some immunosuppressive tablets. He was then transferred to the transplanting centre, returning two months later. </w:t>
                            </w:r>
                          </w:p>
                          <w:p w14:paraId="5C7CC58F" w14:textId="77777777" w:rsidR="00A41391" w:rsidRDefault="00A41391" w:rsidP="009D683D">
                            <w:pPr>
                              <w:spacing w:line="276" w:lineRule="auto"/>
                              <w:jc w:val="both"/>
                            </w:pPr>
                            <w:r>
                              <w:t>The poor post-transplant outcomes that have been described can be attributed, in part, to standardised, inappropriate models of care, manifesting in numerous health system oversights, including:</w:t>
                            </w:r>
                          </w:p>
                          <w:p w14:paraId="39B3F842" w14:textId="77777777" w:rsidR="00A41391" w:rsidRDefault="00A41391" w:rsidP="00782640">
                            <w:pPr>
                              <w:pStyle w:val="ListParagraph"/>
                              <w:numPr>
                                <w:ilvl w:val="0"/>
                                <w:numId w:val="78"/>
                              </w:numPr>
                              <w:spacing w:line="276" w:lineRule="auto"/>
                              <w:jc w:val="both"/>
                            </w:pPr>
                            <w:r>
                              <w:t xml:space="preserve">The transplant unit provided written education literature to this patient, who could not read English and had poor eyesight. </w:t>
                            </w:r>
                          </w:p>
                          <w:p w14:paraId="4847D8BD" w14:textId="77777777" w:rsidR="00A41391" w:rsidRDefault="00A41391" w:rsidP="00782640">
                            <w:pPr>
                              <w:pStyle w:val="ListParagraph"/>
                              <w:numPr>
                                <w:ilvl w:val="0"/>
                                <w:numId w:val="78"/>
                              </w:numPr>
                              <w:spacing w:line="276" w:lineRule="auto"/>
                              <w:jc w:val="both"/>
                            </w:pPr>
                            <w:r>
                              <w:t>The regional renal unit provided the patient with drug management information as part of his pre-transplant education, but this took place 2 years prior to transplantation.</w:t>
                            </w:r>
                          </w:p>
                          <w:p w14:paraId="07529F8F" w14:textId="77777777" w:rsidR="00A41391" w:rsidRDefault="00A41391" w:rsidP="00782640">
                            <w:pPr>
                              <w:pStyle w:val="ListParagraph"/>
                              <w:numPr>
                                <w:ilvl w:val="0"/>
                                <w:numId w:val="78"/>
                              </w:numPr>
                              <w:spacing w:line="276" w:lineRule="auto"/>
                              <w:jc w:val="both"/>
                            </w:pPr>
                            <w:r>
                              <w:t>There was no ongoing education while the patient was on the transplant waitlist.</w:t>
                            </w:r>
                          </w:p>
                          <w:p w14:paraId="07BFDCB6" w14:textId="77777777" w:rsidR="00A41391" w:rsidRDefault="00A41391" w:rsidP="00782640">
                            <w:pPr>
                              <w:pStyle w:val="ListParagraph"/>
                              <w:numPr>
                                <w:ilvl w:val="0"/>
                                <w:numId w:val="78"/>
                              </w:numPr>
                              <w:spacing w:line="276" w:lineRule="auto"/>
                              <w:jc w:val="both"/>
                            </w:pPr>
                            <w:r>
                              <w:t>The next time the patient received education was when he was at the transplant hospital shortly after transplant surgery, in an unfamiliar environment, separated from his social supports and usual routines.</w:t>
                            </w:r>
                          </w:p>
                          <w:p w14:paraId="6682E897" w14:textId="77777777" w:rsidR="00A41391" w:rsidRDefault="00A41391" w:rsidP="00782640">
                            <w:pPr>
                              <w:pStyle w:val="ListParagraph"/>
                              <w:numPr>
                                <w:ilvl w:val="0"/>
                                <w:numId w:val="78"/>
                              </w:numPr>
                              <w:spacing w:line="276" w:lineRule="auto"/>
                              <w:jc w:val="both"/>
                            </w:pPr>
                            <w:r>
                              <w:t>Despite demonstrating difficulty with medication management, the patient did not receive ongoing post-transplant pharmacy input after discharge from hospital.</w:t>
                            </w:r>
                          </w:p>
                          <w:p w14:paraId="4721C4B8" w14:textId="77777777" w:rsidR="00A41391" w:rsidRDefault="00A41391" w:rsidP="00782640">
                            <w:pPr>
                              <w:pStyle w:val="ListParagraph"/>
                              <w:numPr>
                                <w:ilvl w:val="0"/>
                                <w:numId w:val="78"/>
                              </w:numPr>
                              <w:spacing w:line="276" w:lineRule="auto"/>
                              <w:jc w:val="both"/>
                            </w:pPr>
                            <w:r>
                              <w:t>When the patient returned to his home community, he needed to commute 100km per day to attend post-transplant review.</w:t>
                            </w:r>
                          </w:p>
                          <w:p w14:paraId="758494D7" w14:textId="77777777" w:rsidR="00A41391" w:rsidRDefault="00A41391" w:rsidP="009D683D">
                            <w:pPr>
                              <w:spacing w:line="276" w:lineRule="auto"/>
                              <w:jc w:val="both"/>
                            </w:pPr>
                          </w:p>
                          <w:p w14:paraId="7A4EFFAD" w14:textId="77777777" w:rsidR="00A41391" w:rsidRDefault="00A41391" w:rsidP="009D683D">
                            <w:pPr>
                              <w:pStyle w:val="ListParagraph"/>
                              <w:spacing w:line="276" w:lineRule="auto"/>
                              <w:jc w:val="both"/>
                            </w:pPr>
                          </w:p>
                        </w:txbxContent>
                      </wps:txbx>
                      <wps:bodyPr rot="0" vert="horz" wrap="square" lIns="91440" tIns="45720" rIns="91440" bIns="45720" anchor="t" anchorCtr="0">
                        <a:noAutofit/>
                      </wps:bodyPr>
                    </wps:wsp>
                  </a:graphicData>
                </a:graphic>
              </wp:inline>
            </w:drawing>
          </mc:Choice>
          <mc:Fallback>
            <w:pict>
              <v:shape w14:anchorId="54AB6939" id="_x0000_s1037" type="#_x0000_t202" style="width:450pt;height:5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" fillcolor="#e2f0d9">
                <v:textbox>
                  <w:txbxContent>
                    <w:p w14:paraId="249FC43C" w14:textId="77777777" w:rsidR="00A41391" w:rsidRPr="00E72765" w:rsidRDefault="00A41391" w:rsidP="009D683D">
                      <w:pPr>
                        <w:spacing w:line="276" w:lineRule="auto"/>
                        <w:jc w:val="both"/>
                        <w:rPr>
                          <w:b/>
                          <w:sz w:val="24"/>
                        </w:rPr>
                      </w:pPr>
                      <w:r w:rsidRPr="00E72765">
                        <w:rPr>
                          <w:b/>
                          <w:sz w:val="24"/>
                        </w:rPr>
                        <w:t xml:space="preserve">Box </w:t>
                      </w:r>
                      <w:r>
                        <w:rPr>
                          <w:b/>
                          <w:sz w:val="24"/>
                        </w:rPr>
                        <w:t>9</w:t>
                      </w:r>
                      <w:r w:rsidRPr="00E72765">
                        <w:rPr>
                          <w:b/>
                          <w:sz w:val="24"/>
                        </w:rPr>
                        <w:t>: Case study of an Indigenous patients’ post-transplant journey</w:t>
                      </w:r>
                    </w:p>
                    <w:p w14:paraId="2037E520" w14:textId="77777777" w:rsidR="00A41391" w:rsidRDefault="00A41391" w:rsidP="009D683D">
                      <w:pPr>
                        <w:spacing w:line="276" w:lineRule="auto"/>
                        <w:jc w:val="both"/>
                      </w:pPr>
                      <w:r>
                        <w:t xml:space="preserve">A 48-year-old Indigenous man from a remote area, who had been on HD since 2010, was transplanted in August 2018. He was discharged on Day 4 post-transplantation, and was reviewed in the outpatient department on Day 5, when it was discovered that he had not taken some of his medications, including tacrolimus. The patient’s care progressed with multiple readmissions for ureteric complications. He was reviewed by pharmacists three times to Day 21 - on the first two occasions there were no errors, but errors in </w:t>
                      </w:r>
                      <w:r>
                        <w:t>dosette packing were noted during the final review. On Day 32, he was discharged back to the regional hospital, and the transplant centre’s registrar provided a phone handover to the treating nephrologist in the regional centre. In addition to his medication dosette, the patient was provided with a typed sheet outlining his medication regime.</w:t>
                      </w:r>
                    </w:p>
                    <w:p w14:paraId="1B5DC05D" w14:textId="77777777" w:rsidR="00A41391" w:rsidRDefault="00A41391" w:rsidP="009D683D">
                      <w:pPr>
                        <w:spacing w:line="276" w:lineRule="auto"/>
                        <w:jc w:val="both"/>
                      </w:pPr>
                      <w:r>
                        <w:t>In the regional centre, the patient’s dose aid was changed to a Webster Pak, but the number of medications was such that the breakfast medications were packed into two columns that were clearly marked as ‘morning’ medications.</w:t>
                      </w:r>
                    </w:p>
                    <w:p w14:paraId="76A96B0D" w14:textId="77777777" w:rsidR="00A41391" w:rsidRDefault="00A41391" w:rsidP="009D683D">
                      <w:pPr>
                        <w:spacing w:line="276" w:lineRule="auto"/>
                        <w:jc w:val="both"/>
                      </w:pPr>
                      <w:r>
                        <w:t xml:space="preserve">Four weeks later he was readmitted to the regional centre with rejection. On investigation, there had been a medication mix-up due to the change in format of medication, which led to the patient not taking some immunosuppressive tablets. He was then transferred to the transplanting centre, returning two months later. </w:t>
                      </w:r>
                    </w:p>
                    <w:p w14:paraId="5C7CC58F" w14:textId="77777777" w:rsidR="00A41391" w:rsidRDefault="00A41391" w:rsidP="009D683D">
                      <w:pPr>
                        <w:spacing w:line="276" w:lineRule="auto"/>
                        <w:jc w:val="both"/>
                      </w:pPr>
                      <w:r>
                        <w:t>The poor post-transplant outcomes that have been described can be attributed, in part, to standardised, inappropriate models of care, manifesting in numerous health system oversights, including:</w:t>
                      </w:r>
                    </w:p>
                    <w:p w14:paraId="39B3F842" w14:textId="77777777" w:rsidR="00A41391" w:rsidRDefault="00A41391" w:rsidP="00782640">
                      <w:pPr>
                        <w:pStyle w:val="ListParagraph"/>
                        <w:numPr>
                          <w:ilvl w:val="0"/>
                          <w:numId w:val="78"/>
                        </w:numPr>
                        <w:spacing w:line="276" w:lineRule="auto"/>
                        <w:jc w:val="both"/>
                      </w:pPr>
                      <w:r>
                        <w:t xml:space="preserve">The transplant unit provided written education literature to this patient, who could not read English and had poor eyesight. </w:t>
                      </w:r>
                    </w:p>
                    <w:p w14:paraId="4847D8BD" w14:textId="77777777" w:rsidR="00A41391" w:rsidRDefault="00A41391" w:rsidP="00782640">
                      <w:pPr>
                        <w:pStyle w:val="ListParagraph"/>
                        <w:numPr>
                          <w:ilvl w:val="0"/>
                          <w:numId w:val="78"/>
                        </w:numPr>
                        <w:spacing w:line="276" w:lineRule="auto"/>
                        <w:jc w:val="both"/>
                      </w:pPr>
                      <w:r>
                        <w:t>The regional renal unit provided the patient with drug management information as part of his pre-transplant education, but this took place 2 years prior to transplantation.</w:t>
                      </w:r>
                    </w:p>
                    <w:p w14:paraId="07529F8F" w14:textId="77777777" w:rsidR="00A41391" w:rsidRDefault="00A41391" w:rsidP="00782640">
                      <w:pPr>
                        <w:pStyle w:val="ListParagraph"/>
                        <w:numPr>
                          <w:ilvl w:val="0"/>
                          <w:numId w:val="78"/>
                        </w:numPr>
                        <w:spacing w:line="276" w:lineRule="auto"/>
                        <w:jc w:val="both"/>
                      </w:pPr>
                      <w:r>
                        <w:t>There was no ongoing education while the patient was on the transplant waitlist.</w:t>
                      </w:r>
                    </w:p>
                    <w:p w14:paraId="07BFDCB6" w14:textId="77777777" w:rsidR="00A41391" w:rsidRDefault="00A41391" w:rsidP="00782640">
                      <w:pPr>
                        <w:pStyle w:val="ListParagraph"/>
                        <w:numPr>
                          <w:ilvl w:val="0"/>
                          <w:numId w:val="78"/>
                        </w:numPr>
                        <w:spacing w:line="276" w:lineRule="auto"/>
                        <w:jc w:val="both"/>
                      </w:pPr>
                      <w:r>
                        <w:t>The next time the patient received education was when he was at the transplant hospital shortly after transplant surgery, in an unfamiliar environment, separated from his social supports and usual routines.</w:t>
                      </w:r>
                    </w:p>
                    <w:p w14:paraId="6682E897" w14:textId="77777777" w:rsidR="00A41391" w:rsidRDefault="00A41391" w:rsidP="00782640">
                      <w:pPr>
                        <w:pStyle w:val="ListParagraph"/>
                        <w:numPr>
                          <w:ilvl w:val="0"/>
                          <w:numId w:val="78"/>
                        </w:numPr>
                        <w:spacing w:line="276" w:lineRule="auto"/>
                        <w:jc w:val="both"/>
                      </w:pPr>
                      <w:r>
                        <w:t>Despite demonstrating difficulty with medication management, the patient did not receive ongoing post-transplant pharmacy input after discharge from hospital.</w:t>
                      </w:r>
                    </w:p>
                    <w:p w14:paraId="4721C4B8" w14:textId="77777777" w:rsidR="00A41391" w:rsidRDefault="00A41391" w:rsidP="00782640">
                      <w:pPr>
                        <w:pStyle w:val="ListParagraph"/>
                        <w:numPr>
                          <w:ilvl w:val="0"/>
                          <w:numId w:val="78"/>
                        </w:numPr>
                        <w:spacing w:line="276" w:lineRule="auto"/>
                        <w:jc w:val="both"/>
                      </w:pPr>
                      <w:r>
                        <w:t>When the patient returned to his home community, he needed to commute 100km per day to attend post-transplant review.</w:t>
                      </w:r>
                    </w:p>
                    <w:p w14:paraId="758494D7" w14:textId="77777777" w:rsidR="00A41391" w:rsidRDefault="00A41391" w:rsidP="009D683D">
                      <w:pPr>
                        <w:spacing w:line="276" w:lineRule="auto"/>
                        <w:jc w:val="both"/>
                      </w:pPr>
                    </w:p>
                    <w:p w14:paraId="7A4EFFAD" w14:textId="77777777" w:rsidR="00A41391" w:rsidRDefault="00A41391" w:rsidP="009D683D">
                      <w:pPr>
                        <w:pStyle w:val="ListParagraph"/>
                        <w:spacing w:line="276" w:lineRule="auto"/>
                        <w:jc w:val="both"/>
                      </w:pPr>
                    </w:p>
                  </w:txbxContent>
                </v:textbox>
                <w10:anchorlock/>
              </v:shape>
            </w:pict>
          </mc:Fallback>
        </mc:AlternateContent>
      </w:r>
      <w:bookmarkEnd w:id="53"/>
    </w:p>
    <w:p w14:paraId="2D79C742" w14:textId="77777777" w:rsidR="0055104B" w:rsidRDefault="0055104B" w:rsidP="009D683D">
      <w:pPr>
        <w:keepNext/>
        <w:keepLines/>
        <w:numPr>
          <w:ilvl w:val="3"/>
          <w:numId w:val="0"/>
        </w:numPr>
        <w:spacing w:before="40" w:after="0"/>
        <w:ind w:left="864" w:hanging="864"/>
        <w:outlineLvl w:val="3"/>
        <w:rPr>
          <w:rFonts w:ascii="Calibri Light" w:eastAsia="Times New Roman" w:hAnsi="Calibri Light" w:cs="Times New Roman"/>
          <w:i/>
          <w:iCs/>
          <w:sz w:val="22"/>
        </w:rPr>
      </w:pPr>
    </w:p>
    <w:p w14:paraId="2E05C9D6" w14:textId="1119FFDF"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Acknowledging and addressing social and cultural health determinants</w:t>
      </w:r>
    </w:p>
    <w:p w14:paraId="2F1CD8AE"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Recent literature has identified a series of social and cultural determinants that hamper Indigenous patients’ uptake of post-transplant support and maintenance of treatment regimens </w:t>
      </w:r>
      <w:r w:rsidRPr="009D683D">
        <w:rPr>
          <w:rFonts w:ascii="Calibri" w:eastAsia="Calibri" w:hAnsi="Calibri" w:cs="Times New Roman"/>
          <w:sz w:val="22"/>
        </w:rPr>
        <w:fldChar w:fldCharType="begin">
          <w:fldData xml:space="preserve">PEVuZE5vdGU+PENpdGU+PEF1dGhvcj5EYXZ5PC9BdXRob3I+PFllYXI+MjAxNjwvWWVhcj48UmVj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PEVuZE5vdGU+PENpdGU+PEF1dGhvcj5EYXZ5PC9BdXRob3I+PFllYXI+MjAxNjwvWWVhcj48UmVj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(Aspin, Brown, Jowsey, Yen, &amp; Leeder, 2012; Davy, Harfield, McArthur, Munn, &amp; Brown, 2016; Gibson et al., 2015; Harfield et al., 2015)</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Low health literacy, different cultural understandings of health, remoteness, poverty, overcrowding, poor sanitation, and a lack of basic household infrastructure, such as facilities for storage of medicines and access to clean water, have been linked to high levels of morbidity and mortality from infection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&lt;EndNote&gt;&lt;Cite&gt;&lt;Author&gt;Davy&lt;/Author&gt;&lt;Year&gt;2016&lt;/Year&gt;&lt;RecNum&gt;166&lt;/RecNum&gt;&lt;DisplayText&gt;(Davy et al., 2016)&lt;/DisplayText&gt;&lt;record&gt;&lt;rec-number&gt;166&lt;/rec-number&gt;&lt;foreign-keys&gt;&lt;key app="EN" db-id="ews5ve9enfwav7etdtjvztfdrftvwrf9vrsx" timestamp="1543460867"&gt;166&lt;/key&gt;&lt;/foreign-keys&gt;&lt;ref-type name="Journal Article"&gt;17&lt;/ref-type&gt;&lt;contributors&gt;&lt;authors&gt;&lt;author&gt;Davy, Carol&lt;/author&gt;&lt;author&gt;Harfield, Stephen&lt;/author&gt;&lt;author&gt;McArthur, Alexa&lt;/author&gt;&lt;author&gt;Munn, Zachary&lt;/author&gt;&lt;author&gt;Brown, Alex&lt;/author&gt;&lt;/authors&gt;&lt;/contributors&gt;&lt;titles&gt;&lt;title&gt;Access to primary health care services for Indigenous peoples: A framework synthesis&lt;/title&gt;&lt;secondary-title&gt;International Journal for Equity in Health&lt;/secondary-title&gt;&lt;/titles&gt;&lt;periodical&gt;&lt;full-title&gt;International Journal for Equity in Health&lt;/full-title&gt;&lt;/periodical&gt;&lt;pages&gt;163&lt;/pages&gt;&lt;volume&gt;15&lt;/volume&gt;&lt;number&gt;1&lt;/number&gt;&lt;dates&gt;&lt;year&gt;2016&lt;/year&gt;&lt;pub-dates&gt;&lt;date&gt;September 30&lt;/date&gt;&lt;/pub-dates&gt;&lt;/dates&gt;&lt;isbn&gt;1475-9276&lt;/isbn&gt;&lt;label&gt;Davy2016&lt;/label&gt;&lt;work-type&gt;journal article&lt;/work-type&gt;&lt;urls&gt;&lt;related-urls&gt;&lt;url&gt;https://doi.org/10.1186/s12939-016-0450-5&lt;/url&gt;&lt;/related-urls&gt;&lt;/urls&gt;&lt;electronic-resource-num&gt;10.1186/s12939-016-0450-5&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sz w:val="22"/>
        </w:rPr>
        <w:t>(Davy et al., 2016)</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Similarly, a lack of communication infrastructure, such as </w:t>
      </w:r>
      <w:r w:rsidRPr="009D683D">
        <w:rPr>
          <w:rFonts w:ascii="Calibri" w:eastAsia="Calibri" w:hAnsi="Calibri" w:cs="Times New Roman"/>
          <w:sz w:val="22"/>
        </w:rPr>
        <w:lastRenderedPageBreak/>
        <w:t xml:space="preserve">phone and internet connection, prevents access to timely health care guidance and advice, manifesting in poorer health outcomes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&lt;EndNote&gt;&lt;Cite&gt;&lt;Author&gt;Davy&lt;/Author&gt;&lt;Year&gt;2016&lt;/Year&gt;&lt;RecNum&gt;166&lt;/RecNum&gt;&lt;DisplayText&gt;(Davy et al., 2016)&lt;/DisplayText&gt;&lt;record&gt;&lt;rec-number&gt;166&lt;/rec-number&gt;&lt;foreign-keys&gt;&lt;key app="EN" db-id="ews5ve9enfwav7etdtjvztfdrftvwrf9vrsx" timestamp="1543460867"&gt;166&lt;/key&gt;&lt;/foreign-keys&gt;&lt;ref-type name="Journal Article"&gt;17&lt;/ref-type&gt;&lt;contributors&gt;&lt;authors&gt;&lt;author&gt;Davy, Carol&lt;/author&gt;&lt;author&gt;Harfield, Stephen&lt;/author&gt;&lt;author&gt;McArthur, Alexa&lt;/author&gt;&lt;author&gt;Munn, Zachary&lt;/author&gt;&lt;author&gt;Brown, Alex&lt;/author&gt;&lt;/authors&gt;&lt;/contributors&gt;&lt;titles&gt;&lt;title&gt;Access to primary health care services for Indigenous peoples: A framework synthesis&lt;/title&gt;&lt;secondary-title&gt;International Journal for Equity in Health&lt;/secondary-title&gt;&lt;/titles&gt;&lt;periodical&gt;&lt;full-title&gt;International Journal for Equity in Health&lt;/full-title&gt;&lt;/periodical&gt;&lt;pages&gt;163&lt;/pages&gt;&lt;volume&gt;15&lt;/volume&gt;&lt;number&gt;1&lt;/number&gt;&lt;dates&gt;&lt;year&gt;2016&lt;/year&gt;&lt;pub-dates&gt;&lt;date&gt;September 30&lt;/date&gt;&lt;/pub-dates&gt;&lt;/dates&gt;&lt;isbn&gt;1475-9276&lt;/isbn&gt;&lt;label&gt;Davy2016&lt;/label&gt;&lt;work-type&gt;journal article&lt;/work-type&gt;&lt;urls&gt;&lt;related-urls&gt;&lt;url&gt;https://doi.org/10.1186/s12939-016-0450-5&lt;/url&gt;&lt;/related-urls&gt;&lt;/urls&gt;&lt;electronic-resource-num&gt;10.1186/s12939-016-0450-5&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sz w:val="22"/>
        </w:rPr>
        <w:t>(Davy et al., 2016)</w:t>
      </w:r>
      <w:r w:rsidRPr="009D683D">
        <w:rPr>
          <w:rFonts w:ascii="Calibri" w:eastAsia="Calibri" w:hAnsi="Calibri" w:cs="Times New Roman"/>
          <w:sz w:val="22"/>
        </w:rPr>
        <w:fldChar w:fldCharType="end"/>
      </w:r>
      <w:r w:rsidRPr="009D683D">
        <w:rPr>
          <w:rFonts w:ascii="Calibri" w:eastAsia="Calibri" w:hAnsi="Calibri" w:cs="Times New Roman"/>
          <w:sz w:val="22"/>
        </w:rPr>
        <w:t>.</w:t>
      </w:r>
      <w:r w:rsidRPr="009D683D">
        <w:rPr>
          <w:rFonts w:ascii="Calibri" w:eastAsia="Calibri" w:hAnsi="Calibri" w:cs="Times New Roman"/>
          <w:sz w:val="24"/>
          <w:szCs w:val="24"/>
        </w:rPr>
        <w:t xml:space="preserve"> E</w:t>
      </w:r>
      <w:r w:rsidRPr="009D683D">
        <w:rPr>
          <w:rFonts w:ascii="Calibri" w:eastAsia="Calibri" w:hAnsi="Calibri" w:cs="Times New Roman"/>
          <w:sz w:val="22"/>
        </w:rPr>
        <w:t xml:space="preserve">ven in cases where such infrastructure is available, the money needed to sustain it and issues associated with sharing the phone with multiple family members and keeping mobile phones charged and functional may mean that contact between patients and health services remains problematic.  </w:t>
      </w:r>
    </w:p>
    <w:p w14:paraId="00B15F0F"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The delivery of culturally appropriate care is dependent on the health care service’s capacity to understand, respect and accommodate these social and cultural health determinants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&lt;EndNote&gt;&lt;Cite&gt;&lt;Author&gt;Browne&lt;/Author&gt;&lt;Year&gt;2009&lt;/Year&gt;&lt;RecNum&gt;197&lt;/RecNum&gt;&lt;DisplayText&gt;(Browne et al., 2009)&lt;/DisplayText&gt;&lt;record&gt;&lt;rec-number&gt;197&lt;/rec-number&gt;&lt;foreign-keys&gt;&lt;key app="EN" db-id="ews5ve9enfwav7etdtjvztfdrftvwrf9vrsx" timestamp="1543460867"&gt;197&lt;/key&gt;&lt;/foreign-keys&gt;&lt;ref-type name="Journal Article"&gt;17&lt;/ref-type&gt;&lt;contributors&gt;&lt;authors&gt;&lt;author&gt;Browne, A. J.&lt;/author&gt;&lt;author&gt;Varcoe, C.&lt;/author&gt;&lt;author&gt;Smye, V.&lt;/author&gt;&lt;author&gt;Reimer‐Kirkham, S.&lt;/author&gt;&lt;author&gt;Lynam, M. J.&lt;/author&gt;&lt;author&gt;Wong, S.&lt;/author&gt;&lt;/authors&gt;&lt;/contributors&gt;&lt;titles&gt;&lt;title&gt;Cultural safety and the challenges of translating critically oriented knowledge in practice&lt;/title&gt;&lt;secondary-title&gt;Nurs Philos&lt;/secondary-title&gt;&lt;/titles&gt;&lt;periodical&gt;&lt;full-title&gt;Nurs Philos&lt;/full-title&gt;&lt;/periodical&gt;&lt;volume&gt;10&lt;/volume&gt;&lt;dates&gt;&lt;year&gt;2009&lt;/year&gt;&lt;/dates&gt;&lt;label&gt;Browne2009&lt;/label&gt;&lt;urls&gt;&lt;related-urls&gt;&lt;url&gt;https://doi.org/10.1111/j.1466-769X.2009.00406.x&lt;/url&gt;&lt;/related-urls&gt;&lt;/urls&gt;&lt;electronic-resource-num&gt;10.1111/j.1466-769X.2009.00406.x&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(Browne et al., 2009)</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However, the majority of health services do not have the resources required to respond to the needs of minority groups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&lt;EndNote&gt;&lt;Cite&gt;&lt;Author&gt;Davy&lt;/Author&gt;&lt;Year&gt;2016&lt;/Year&gt;&lt;RecNum&gt;166&lt;/RecNum&gt;&lt;DisplayText&gt;(Davy et al., 2016)&lt;/DisplayText&gt;&lt;record&gt;&lt;rec-number&gt;166&lt;/rec-number&gt;&lt;foreign-keys&gt;&lt;key app="EN" db-id="ews5ve9enfwav7etdtjvztfdrftvwrf9vrsx" timestamp="1543460867"&gt;166&lt;/key&gt;&lt;/foreign-keys&gt;&lt;ref-type name="Journal Article"&gt;17&lt;/ref-type&gt;&lt;contributors&gt;&lt;authors&gt;&lt;author&gt;Davy, Carol&lt;/author&gt;&lt;author&gt;Harfield, Stephen&lt;/author&gt;&lt;author&gt;McArthur, Alexa&lt;/author&gt;&lt;author&gt;Munn, Zachary&lt;/author&gt;&lt;author&gt;Brown, Alex&lt;/author&gt;&lt;/authors&gt;&lt;/contributors&gt;&lt;titles&gt;&lt;title&gt;Access to primary health care services for Indigenous peoples: A framework synthesis&lt;/title&gt;&lt;secondary-title&gt;International Journal for Equity in Health&lt;/secondary-title&gt;&lt;/titles&gt;&lt;periodical&gt;&lt;full-title&gt;International Journal for Equity in Health&lt;/full-title&gt;&lt;/periodical&gt;&lt;pages&gt;163&lt;/pages&gt;&lt;volume&gt;15&lt;/volume&gt;&lt;number&gt;1&lt;/number&gt;&lt;dates&gt;&lt;year&gt;2016&lt;/year&gt;&lt;pub-dates&gt;&lt;date&gt;September 30&lt;/date&gt;&lt;/pub-dates&gt;&lt;/dates&gt;&lt;isbn&gt;1475-9276&lt;/isbn&gt;&lt;label&gt;Davy2016&lt;/label&gt;&lt;work-type&gt;journal article&lt;/work-type&gt;&lt;urls&gt;&lt;related-urls&gt;&lt;url&gt;https://doi.org/10.1186/s12939-016-0450-5&lt;/url&gt;&lt;/related-urls&gt;&lt;/urls&gt;&lt;electronic-resource-num&gt;10.1186/s12939-016-0450-5&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(Davy et al., 2016)</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These services also tend to operate within a set of socially constructed values and norms that are influenced by the biomedical model, which is at odds with the more holistic perspective of health commonly embraced by Indigenous peoples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&lt;EndNote&gt;&lt;Cite&gt;&lt;Author&gt;Olafsdottir&lt;/Author&gt;&lt;Year&gt;2013&lt;/Year&gt;&lt;RecNum&gt;200&lt;/RecNum&gt;&lt;DisplayText&gt;(Olafsdottir, 2013)&lt;/DisplayText&gt;&lt;record&gt;&lt;rec-number&gt;200&lt;/rec-number&gt;&lt;foreign-keys&gt;&lt;key app="EN" db-id="ews5ve9enfwav7etdtjvztfdrftvwrf9vrsx" timestamp="1543460867"&gt;200&lt;/key&gt;&lt;/foreign-keys&gt;&lt;ref-type name="Book Section"&gt;5&lt;/ref-type&gt;&lt;contributors&gt;&lt;authors&gt;&lt;author&gt;Olafsdottir, S.&lt;/author&gt;&lt;/authors&gt;&lt;secondary-authors&gt;&lt;author&gt;Cockerham, W. C.&lt;/author&gt;&lt;/secondary-authors&gt;&lt;/contributors&gt;&lt;titles&gt;&lt;title&gt;Social construction and health&lt;/title&gt;&lt;secondary-title&gt;Medical sociology on the move&lt;/secondary-title&gt;&lt;/titles&gt;&lt;dates&gt;&lt;year&gt;2013&lt;/year&gt;&lt;/dates&gt;&lt;pub-location&gt;Dordrecht Heidelberg&lt;/pub-location&gt;&lt;publisher&gt;Springer Science&lt;/publisher&gt;&lt;label&gt;Olafsdottir2013&lt;/label&gt;&lt;urls&gt;&lt;/urls&gt;&lt;/record&gt;&lt;/Cite&gt;&lt;/EndNote&gt;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(Olafsdottir, 2013)</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The association between culturally appropriate models of care and increased engagement from Indigenous patients in the management of their own treatment has been demonstrated, and is further strengthened when care and support services are delivered by ACCHS and Indigenous health practitioners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&lt;EndNote&gt;&lt;Cite&gt;&lt;Author&gt;Davy&lt;/Author&gt;&lt;Year&gt;2016&lt;/Year&gt;&lt;RecNum&gt;166&lt;/RecNum&gt;&lt;DisplayText&gt;(Davy et al., 2016)&lt;/DisplayText&gt;&lt;record&gt;&lt;rec-number&gt;166&lt;/rec-number&gt;&lt;foreign-keys&gt;&lt;key app="EN" db-id="ews5ve9enfwav7etdtjvztfdrftvwrf9vrsx" timestamp="1543460867"&gt;166&lt;/key&gt;&lt;/foreign-keys&gt;&lt;ref-type name="Journal Article"&gt;17&lt;/ref-type&gt;&lt;contributors&gt;&lt;authors&gt;&lt;author&gt;Davy, Carol&lt;/author&gt;&lt;author&gt;Harfield, Stephen&lt;/author&gt;&lt;author&gt;McArthur, Alexa&lt;/author&gt;&lt;author&gt;Munn, Zachary&lt;/author&gt;&lt;author&gt;Brown, Alex&lt;/author&gt;&lt;/authors&gt;&lt;/contributors&gt;&lt;titles&gt;&lt;title&gt;Access to primary health care services for Indigenous peoples: A framework synthesis&lt;/title&gt;&lt;secondary-title&gt;International Journal for Equity in Health&lt;/secondary-title&gt;&lt;/titles&gt;&lt;periodical&gt;&lt;full-title&gt;International Journal for Equity in Health&lt;/full-title&gt;&lt;/periodical&gt;&lt;pages&gt;163&lt;/pages&gt;&lt;volume&gt;15&lt;/volume&gt;&lt;number&gt;1&lt;/number&gt;&lt;dates&gt;&lt;year&gt;2016&lt;/year&gt;&lt;pub-dates&gt;&lt;date&gt;September 30&lt;/date&gt;&lt;/pub-dates&gt;&lt;/dates&gt;&lt;isbn&gt;1475-9276&lt;/isbn&gt;&lt;label&gt;Davy2016&lt;/label&gt;&lt;work-type&gt;journal article&lt;/work-type&gt;&lt;urls&gt;&lt;related-urls&gt;&lt;url&gt;https://doi.org/10.1186/s12939-016-0450-5&lt;/url&gt;&lt;/related-urls&gt;&lt;/urls&gt;&lt;electronic-resource-num&gt;10.1186/s12939-016-0450-5&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(Davy et al., 2016)</w:t>
      </w:r>
      <w:r w:rsidRPr="009D683D">
        <w:rPr>
          <w:rFonts w:ascii="Calibri" w:eastAsia="Calibri" w:hAnsi="Calibri" w:cs="Times New Roman"/>
          <w:sz w:val="22"/>
        </w:rPr>
        <w:fldChar w:fldCharType="end"/>
      </w:r>
      <w:r w:rsidRPr="009D683D">
        <w:rPr>
          <w:rFonts w:ascii="Calibri" w:eastAsia="Calibri" w:hAnsi="Calibri" w:cs="Times New Roman"/>
          <w:sz w:val="22"/>
        </w:rPr>
        <w:t>.</w:t>
      </w:r>
    </w:p>
    <w:p w14:paraId="2F987FBE"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The current Kidney Health Australia Caring for Australians with Renal Impairment (KHA-CARI) Care of Kidney Transplant Recipients Guideline includes recommendations for induction therapy, immunosuppressive medications, treatment of acute rejection, monitoring kidney allograft function, preventing and treating non-adherence, and many other post-transplant care considerations </w:t>
      </w:r>
      <w:r w:rsidRPr="009D683D">
        <w:rPr>
          <w:rFonts w:ascii="Calibri" w:eastAsia="Calibri" w:hAnsi="Calibri" w:cs="Times New Roman"/>
          <w:sz w:val="22"/>
        </w:rPr>
        <w:fldChar w:fldCharType="begin">
          <w:fldData xml:space="preserve">PEVuZE5vdGU+PENpdGU+PEF1dGhvcj5DaGFkYmFuPC9BdXRob3I+PFllYXI+MjAxMjwvWWVhcj48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PEVuZE5vdGU+PENpdGU+PEF1dGhvcj5DaGFkYmFuPC9BdXRob3I+PFllYXI+MjAxMjwvWWVhcj48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(Chadban et al., 2012)</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While this guideline is designed to address issues relevant to the care of all kidney transplant recipients in Australia and New Zealand, it does not capture any of the aforementioned social and cultural determinants that may impact Indigenous patients’ post-transplant outcomes. The Catching Some Air project and Kidney Health Australia Indigenous Community Consultations are currently underway, comprising a series of consumer consultations across Australia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&lt;EndNote&gt;&lt;Cite&gt;&lt;Author&gt;Hughes&lt;/Author&gt;&lt;Year&gt;2018&lt;/Year&gt;&lt;RecNum&gt;321&lt;/RecNum&gt;&lt;DisplayText&gt;(Hughes, Kelly, et al., 2018)&lt;/DisplayText&gt;&lt;record&gt;&lt;rec-number&gt;321&lt;/rec-number&gt;&lt;foreign-keys&gt;&lt;key app="EN" db-id="ews5ve9enfwav7etdtjvztfdrftvwrf9vrsx" timestamp="1545365373"&gt;321&lt;/key&gt;&lt;/foreign-keys&gt;&lt;ref-type name="Government Document"&gt;46&lt;/ref-type&gt;&lt;contributors&gt;&lt;authors&gt;&lt;author&gt;Hughes, J. T.&lt;/author&gt;&lt;author&gt;Kelly, J.&lt;/author&gt;&lt;author&gt;Mick-Ramsamy, L.&lt;/author&gt;&lt;author&gt;Mills, P.&lt;/author&gt;&lt;/authors&gt;&lt;/contributors&gt;&lt;titles&gt;&lt;title&gt;Summary Report, Thursday Island, Catching Some Air - Asserting Aboriginal and Torres Strait Islander Information Rights in Renal Disease&lt;/title&gt;&lt;/titles&gt;&lt;dates&gt;&lt;year&gt;2018&lt;/year&gt;&lt;/dates&gt;&lt;pub-location&gt;Darwin&lt;/pub-location&gt;&lt;publisher&gt;Menzies School of Health Research&lt;/publisher&gt;&lt;urls&gt;&lt;/urls&gt;&lt;/record&gt;&lt;/Cite&gt;&lt;/EndNote&gt;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(Hughes, Kelly, et al., 2018)</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These initiatives will help inform the inaugural KHA-CARI Guideline for the Management of CKD in Aboriginal and Torres Strait Islander Peoples to address relevant social and cultural health determinants that affect the Indigenous ESKD patient cohort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&lt;EndNote&gt;&lt;Cite&gt;&lt;Author&gt;Hughes&lt;/Author&gt;&lt;Year&gt;2018&lt;/Year&gt;&lt;RecNum&gt;321&lt;/RecNum&gt;&lt;DisplayText&gt;(Hughes, Kelly, et al., 2018)&lt;/DisplayText&gt;&lt;record&gt;&lt;rec-number&gt;321&lt;/rec-number&gt;&lt;foreign-keys&gt;&lt;key app="EN" db-id="ews5ve9enfwav7etdtjvztfdrftvwrf9vrsx" timestamp="1545365373"&gt;321&lt;/key&gt;&lt;/foreign-keys&gt;&lt;ref-type name="Government Document"&gt;46&lt;/ref-type&gt;&lt;contributors&gt;&lt;authors&gt;&lt;author&gt;Hughes, J. T.&lt;/author&gt;&lt;author&gt;Kelly, J.&lt;/author&gt;&lt;author&gt;Mick-Ramsamy, L.&lt;/author&gt;&lt;author&gt;Mills, P.&lt;/author&gt;&lt;/authors&gt;&lt;/contributors&gt;&lt;titles&gt;&lt;title&gt;Summary Report, Thursday Island, Catching Some Air - Asserting Aboriginal and Torres Strait Islander Information Rights in Renal Disease&lt;/title&gt;&lt;/titles&gt;&lt;dates&gt;&lt;year&gt;2018&lt;/year&gt;&lt;/dates&gt;&lt;pub-location&gt;Darwin&lt;/pub-location&gt;&lt;publisher&gt;Menzies School of Health Research&lt;/publisher&gt;&lt;urls&gt;&lt;/urls&gt;&lt;/record&gt;&lt;/Cite&gt;&lt;/EndNote&gt;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(Hughes, Kelly, et al., 2018)</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t>
      </w:r>
    </w:p>
    <w:p w14:paraId="086965D5"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In addition to the development of tailored ESKD management guidelines, there are a number of other areas in which post-transplant models of care can be strengthened for Indigenous kidney transplant recipients, particularly for those in rural and remote communities. </w:t>
      </w:r>
    </w:p>
    <w:p w14:paraId="4E745822" w14:textId="77777777"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Point-of-care testing</w:t>
      </w:r>
    </w:p>
    <w:p w14:paraId="6065F7F0"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A barrier to effective post-transplant services in rural and remote Indigenous communities is limited access to pathology services. Community health services and patients may be very distant from the nearest pathology service, and it may take several days for blood samples to be transported, processed and results returned, particularly if air transport is limited. Point-of-care testing (POCT) overcomes the ‘tyranny of distance’, provides a more convenient, timely and cost effective service for the patient, and increases treatment adherence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&lt;EndNote&gt;&lt;Cite&gt;&lt;Author&gt;Shephard&lt;/Author&gt;&lt;Year&gt;2003&lt;/Year&gt;&lt;RecNum&gt;339&lt;/RecNum&gt;&lt;DisplayText&gt;(Shephard, 2003)&lt;/DisplayText&gt;&lt;record&gt;&lt;rec-number&gt;339&lt;/rec-number&gt;&lt;foreign-keys&gt;&lt;key app="EN" db-id="ews5ve9enfwav7etdtjvztfdrftvwrf9vrsx" timestamp="1546383477"&gt;339&lt;/key&gt;&lt;/foreign-keys&gt;&lt;ref-type name="Journal Article"&gt;17&lt;/ref-type&gt;&lt;contributors&gt;&lt;authors&gt;&lt;author&gt;Shephard, M.&lt;/author&gt;&lt;/authors&gt;&lt;/contributors&gt;&lt;titles&gt;&lt;title&gt;Point-of-care testing in the Aborginal community&lt;/title&gt;&lt;secondary-title&gt;Australian Journal of Medical Science&lt;/secondary-title&gt;&lt;/titles&gt;&lt;periodical&gt;&lt;full-title&gt;Australian Journal of Medical Science&lt;/full-title&gt;&lt;/periodical&gt;&lt;pages&gt;10-16&lt;/pages&gt;&lt;volume&gt;24&lt;/volume&gt;&lt;dates&gt;&lt;year&gt;2003&lt;/year&gt;&lt;/dates&gt;&lt;urls&gt;&lt;/urls&gt;&lt;/record&gt;&lt;/Cite&gt;&lt;/EndNote&gt;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(Shephard, 2003)</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POCT also has other advantages specific to the Indigenous health care setting; through appropriate training, Indigenous health workers can perform POCT, thereby empowering them to take greater responsibility for the health of their own community members. For chronic care, POCT has proven to be an effective tool for improving control of chronic conditions either by reductions in HB A1c (for diabetes management) or increased time in therapeutic or target ranges for anticoagulants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&lt;EndNote&gt;&lt;Cite&gt;&lt;Author&gt;Shephard&lt;/Author&gt;&lt;Year&gt;2010&lt;/Year&gt;&lt;RecNum&gt;355&lt;/RecNum&gt;&lt;DisplayText&gt;(Shephard, 2010)&lt;/DisplayText&gt;&lt;record&gt;&lt;rec-number&gt;355&lt;/rec-number&gt;&lt;foreign-keys&gt;&lt;key app="EN" db-id="ews5ve9enfwav7etdtjvztfdrftvwrf9vrsx" timestamp="1546812073"&gt;355&lt;/key&gt;&lt;/foreign-keys&gt;&lt;ref-type name="Journal Article"&gt;17&lt;/ref-type&gt;&lt;contributors&gt;&lt;authors&gt;&lt;author&gt;Shephard, M.&lt;/author&gt;&lt;/authors&gt;&lt;/contributors&gt;&lt;titles&gt;&lt;title&gt;Point-of-care testing comes of age in Australia&lt;/title&gt;&lt;secondary-title&gt;Australian Prescriber&lt;/secondary-title&gt;&lt;/titles&gt;&lt;periodical&gt;&lt;full-title&gt;Australian Prescriber&lt;/full-title&gt;&lt;/periodical&gt;&lt;pages&gt;6-9&lt;/pages&gt;&lt;volume&gt;33&lt;/volume&gt;&lt;number&gt;1&lt;/number&gt;&lt;dates&gt;&lt;year&gt;2010&lt;/year&gt;&lt;/dates&gt;&lt;urls&gt;&lt;/urls&gt;&lt;electronic-resource-num&gt;10.18773/austprescr.2010.003&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(Shephard, 2010)</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A range of POCT tests for </w:t>
      </w:r>
      <w:r w:rsidRPr="009D683D">
        <w:rPr>
          <w:rFonts w:ascii="Calibri" w:eastAsia="Calibri" w:hAnsi="Calibri" w:cs="Times New Roman"/>
          <w:sz w:val="22"/>
        </w:rPr>
        <w:lastRenderedPageBreak/>
        <w:t>the management of chronic illness are available in remote communities, as outlined in Table 9; crucially, these do not currently include blood tacrolimus concentrations, which is a key factor in regular post-transplant monitoring.</w:t>
      </w:r>
    </w:p>
    <w:p w14:paraId="42E5A3C7" w14:textId="77777777" w:rsidR="009D683D" w:rsidRPr="009D683D" w:rsidRDefault="009D683D" w:rsidP="009D683D">
      <w:pPr>
        <w:spacing w:after="120" w:line="276" w:lineRule="auto"/>
        <w:jc w:val="both"/>
        <w:rPr>
          <w:rFonts w:ascii="Calibri" w:eastAsia="Calibri" w:hAnsi="Calibri" w:cs="Times New Roman"/>
          <w:i/>
          <w:sz w:val="22"/>
        </w:rPr>
      </w:pPr>
      <w:r w:rsidRPr="009D683D">
        <w:rPr>
          <w:rFonts w:ascii="Calibri" w:eastAsia="Calibri" w:hAnsi="Calibri" w:cs="Times New Roman"/>
          <w:i/>
          <w:sz w:val="22"/>
        </w:rPr>
        <w:t xml:space="preserve">Table 9: </w:t>
      </w:r>
      <w:r w:rsidRPr="009D683D">
        <w:rPr>
          <w:rFonts w:ascii="Calibri" w:eastAsia="Calibri" w:hAnsi="Calibri" w:cs="Times New Roman"/>
          <w:sz w:val="22"/>
        </w:rPr>
        <w:t xml:space="preserve">POCT tests for chronic care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&lt;EndNote&gt;&lt;Cite&gt;&lt;Author&gt;Shephard&lt;/Author&gt;&lt;Year&gt;2010&lt;/Year&gt;&lt;RecNum&gt;355&lt;/RecNum&gt;&lt;DisplayText&gt;(Shephard, 2010)&lt;/DisplayText&gt;&lt;record&gt;&lt;rec-number&gt;355&lt;/rec-number&gt;&lt;foreign-keys&gt;&lt;key app="EN" db-id="ews5ve9enfwav7etdtjvztfdrftvwrf9vrsx" timestamp="1546812073"&gt;355&lt;/key&gt;&lt;/foreign-keys&gt;&lt;ref-type name="Journal Article"&gt;17&lt;/ref-type&gt;&lt;contributors&gt;&lt;authors&gt;&lt;author&gt;Shephard, M.&lt;/author&gt;&lt;/authors&gt;&lt;/contributors&gt;&lt;titles&gt;&lt;title&gt;Point-of-care testing comes of age in Australia&lt;/title&gt;&lt;secondary-title&gt;Australian Prescriber&lt;/secondary-title&gt;&lt;/titles&gt;&lt;periodical&gt;&lt;full-title&gt;Australian Prescriber&lt;/full-title&gt;&lt;/periodical&gt;&lt;pages&gt;6-9&lt;/pages&gt;&lt;volume&gt;33&lt;/volume&gt;&lt;number&gt;1&lt;/number&gt;&lt;dates&gt;&lt;year&gt;2010&lt;/year&gt;&lt;/dates&gt;&lt;urls&gt;&lt;/urls&gt;&lt;electronic-resource-num&gt;10.18773/austprescr.2010.003&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(Shephard, 2010)</w:t>
      </w:r>
      <w:r w:rsidRPr="009D683D">
        <w:rPr>
          <w:rFonts w:ascii="Calibri" w:eastAsia="Calibri" w:hAnsi="Calibri" w:cs="Times New Roman"/>
          <w:sz w:val="22"/>
        </w:rPr>
        <w:fldChar w:fldCharType="end"/>
      </w:r>
      <w:r w:rsidRPr="009D683D">
        <w:rPr>
          <w:rFonts w:ascii="Calibri" w:eastAsia="Calibri" w:hAnsi="Calibri" w:cs="Times New Roman"/>
          <w:sz w:val="22"/>
        </w:rPr>
        <w:t>.</w:t>
      </w:r>
    </w:p>
    <w:tbl>
      <w:tblPr>
        <w:tblStyle w:val="ListTable312"/>
        <w:tblW w:w="0" w:type="auto"/>
        <w:jc w:val="center"/>
        <w:tblLook w:val="04A0" w:firstRow="1" w:lastRow="0" w:firstColumn="1" w:lastColumn="0" w:noHBand="0" w:noVBand="1"/>
      </w:tblPr>
      <w:tblGrid>
        <w:gridCol w:w="2807"/>
        <w:gridCol w:w="4415"/>
      </w:tblGrid>
      <w:tr w:rsidR="009D683D" w:rsidRPr="009D683D" w14:paraId="4D52C02A" w14:textId="77777777" w:rsidTr="009D683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tcPr>
          <w:p w14:paraId="7EC8F137"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Parameters</w:t>
            </w:r>
          </w:p>
        </w:tc>
        <w:tc>
          <w:tcPr>
            <w:tcW w:w="0" w:type="auto"/>
          </w:tcPr>
          <w:p w14:paraId="7DDAC8B5" w14:textId="77777777" w:rsidR="009D683D" w:rsidRPr="009D683D" w:rsidRDefault="009D683D" w:rsidP="009D683D">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Test</w:t>
            </w:r>
          </w:p>
        </w:tc>
      </w:tr>
      <w:tr w:rsidR="009D683D" w:rsidRPr="009D683D" w14:paraId="2FC5C41F" w14:textId="77777777" w:rsidTr="009D68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AA2E133" w14:textId="77777777" w:rsidR="009D683D" w:rsidRPr="009D683D" w:rsidRDefault="009D683D" w:rsidP="009D683D">
            <w:pPr>
              <w:jc w:val="both"/>
              <w:rPr>
                <w:rFonts w:ascii="Calibri" w:eastAsia="Calibri" w:hAnsi="Calibri" w:cs="Times New Roman"/>
                <w:sz w:val="22"/>
              </w:rPr>
            </w:pPr>
            <w:r w:rsidRPr="009D683D">
              <w:rPr>
                <w:rFonts w:ascii="Calibri" w:eastAsia="Calibri" w:hAnsi="Calibri" w:cs="Times New Roman"/>
                <w:sz w:val="22"/>
              </w:rPr>
              <w:t>Carbohydrate metabolism</w:t>
            </w:r>
          </w:p>
          <w:p w14:paraId="55A6487A" w14:textId="77777777" w:rsidR="009D683D" w:rsidRPr="009D683D" w:rsidRDefault="009D683D" w:rsidP="009D683D">
            <w:pPr>
              <w:jc w:val="both"/>
              <w:rPr>
                <w:rFonts w:ascii="Calibri" w:eastAsia="Calibri" w:hAnsi="Calibri" w:cs="Times New Roman"/>
                <w:sz w:val="22"/>
              </w:rPr>
            </w:pPr>
            <w:r w:rsidRPr="009D683D">
              <w:rPr>
                <w:rFonts w:ascii="Calibri" w:eastAsia="Calibri" w:hAnsi="Calibri" w:cs="Times New Roman"/>
                <w:sz w:val="22"/>
              </w:rPr>
              <w:t>Lipids</w:t>
            </w:r>
          </w:p>
        </w:tc>
        <w:tc>
          <w:tcPr>
            <w:tcW w:w="0" w:type="auto"/>
          </w:tcPr>
          <w:p w14:paraId="67376056" w14:textId="77777777" w:rsidR="009D683D" w:rsidRPr="009D683D" w:rsidRDefault="009D683D" w:rsidP="009D683D">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Glucose</w:t>
            </w:r>
          </w:p>
          <w:p w14:paraId="5277B249" w14:textId="77777777" w:rsidR="009D683D" w:rsidRPr="009D683D" w:rsidRDefault="009D683D" w:rsidP="009D683D">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Glycated haemoglobin</w:t>
            </w:r>
          </w:p>
          <w:p w14:paraId="54FF7BB3" w14:textId="77777777" w:rsidR="009D683D" w:rsidRPr="009D683D" w:rsidRDefault="009D683D" w:rsidP="009D683D">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Triglyceride</w:t>
            </w:r>
          </w:p>
          <w:p w14:paraId="6839726B" w14:textId="77777777" w:rsidR="009D683D" w:rsidRPr="009D683D" w:rsidRDefault="009D683D" w:rsidP="009D683D">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Total cholesterol</w:t>
            </w:r>
          </w:p>
          <w:p w14:paraId="7EE75E64" w14:textId="77777777" w:rsidR="009D683D" w:rsidRPr="009D683D" w:rsidRDefault="009D683D" w:rsidP="009D683D">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High-density lipoprotein cholesterol</w:t>
            </w:r>
          </w:p>
          <w:p w14:paraId="0D1D1546" w14:textId="77777777" w:rsidR="009D683D" w:rsidRPr="009D683D" w:rsidRDefault="009D683D" w:rsidP="009D683D">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Low-density lipoprotein cholesterol (calculated</w:t>
            </w:r>
          </w:p>
        </w:tc>
      </w:tr>
      <w:tr w:rsidR="009D683D" w:rsidRPr="009D683D" w14:paraId="074EEB7C" w14:textId="77777777" w:rsidTr="009D683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1019AC0" w14:textId="77777777" w:rsidR="009D683D" w:rsidRPr="009D683D" w:rsidRDefault="009D683D" w:rsidP="009D683D">
            <w:pPr>
              <w:jc w:val="both"/>
              <w:rPr>
                <w:rFonts w:ascii="Calibri" w:eastAsia="Calibri" w:hAnsi="Calibri" w:cs="Times New Roman"/>
                <w:sz w:val="22"/>
              </w:rPr>
            </w:pPr>
            <w:r w:rsidRPr="009D683D">
              <w:rPr>
                <w:rFonts w:ascii="Calibri" w:eastAsia="Calibri" w:hAnsi="Calibri" w:cs="Times New Roman"/>
                <w:sz w:val="22"/>
              </w:rPr>
              <w:t>Kidney function</w:t>
            </w:r>
          </w:p>
        </w:tc>
        <w:tc>
          <w:tcPr>
            <w:tcW w:w="0" w:type="auto"/>
          </w:tcPr>
          <w:p w14:paraId="459A8826" w14:textId="77777777" w:rsidR="009D683D" w:rsidRPr="009D683D" w:rsidRDefault="009D683D" w:rsidP="009D683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Urea</w:t>
            </w:r>
          </w:p>
          <w:p w14:paraId="5465EFD2" w14:textId="77777777" w:rsidR="009D683D" w:rsidRPr="009D683D" w:rsidRDefault="009D683D" w:rsidP="009D683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Creatine (eGFR)</w:t>
            </w:r>
          </w:p>
          <w:p w14:paraId="65AE3935" w14:textId="77777777" w:rsidR="009D683D" w:rsidRPr="009D683D" w:rsidRDefault="009D683D" w:rsidP="009D683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Urine albumin</w:t>
            </w:r>
          </w:p>
          <w:p w14:paraId="67D59200" w14:textId="77777777" w:rsidR="009D683D" w:rsidRPr="009D683D" w:rsidRDefault="009D683D" w:rsidP="009D683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Urine albumin-creatinine ratio</w:t>
            </w:r>
          </w:p>
        </w:tc>
      </w:tr>
      <w:tr w:rsidR="009D683D" w:rsidRPr="009D683D" w14:paraId="1E22B213" w14:textId="77777777" w:rsidTr="009D68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9ACB395" w14:textId="77777777" w:rsidR="009D683D" w:rsidRPr="009D683D" w:rsidRDefault="009D683D" w:rsidP="009D683D">
            <w:pPr>
              <w:jc w:val="both"/>
              <w:rPr>
                <w:rFonts w:ascii="Calibri" w:eastAsia="Calibri" w:hAnsi="Calibri" w:cs="Times New Roman"/>
                <w:sz w:val="22"/>
              </w:rPr>
            </w:pPr>
            <w:r w:rsidRPr="009D683D">
              <w:rPr>
                <w:rFonts w:ascii="Calibri" w:eastAsia="Calibri" w:hAnsi="Calibri" w:cs="Times New Roman"/>
                <w:sz w:val="22"/>
              </w:rPr>
              <w:t>Haematological/coagulation</w:t>
            </w:r>
          </w:p>
          <w:p w14:paraId="71725C87" w14:textId="77777777" w:rsidR="009D683D" w:rsidRPr="009D683D" w:rsidRDefault="009D683D" w:rsidP="009D683D">
            <w:pPr>
              <w:jc w:val="both"/>
              <w:rPr>
                <w:rFonts w:ascii="Calibri" w:eastAsia="Calibri" w:hAnsi="Calibri" w:cs="Times New Roman"/>
                <w:sz w:val="22"/>
              </w:rPr>
            </w:pPr>
            <w:r w:rsidRPr="009D683D">
              <w:rPr>
                <w:rFonts w:ascii="Calibri" w:eastAsia="Calibri" w:hAnsi="Calibri" w:cs="Times New Roman"/>
                <w:sz w:val="22"/>
              </w:rPr>
              <w:t>Liver function</w:t>
            </w:r>
          </w:p>
        </w:tc>
        <w:tc>
          <w:tcPr>
            <w:tcW w:w="0" w:type="auto"/>
          </w:tcPr>
          <w:p w14:paraId="4B549B8E" w14:textId="77777777" w:rsidR="009D683D" w:rsidRPr="009D683D" w:rsidRDefault="009D683D" w:rsidP="009D683D">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Haemoglobin</w:t>
            </w:r>
          </w:p>
          <w:p w14:paraId="07E081D0" w14:textId="77777777" w:rsidR="009D683D" w:rsidRPr="009D683D" w:rsidRDefault="009D683D" w:rsidP="009D683D">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INR</w:t>
            </w:r>
          </w:p>
          <w:p w14:paraId="4AE0B944" w14:textId="77777777" w:rsidR="009D683D" w:rsidRPr="009D683D" w:rsidRDefault="009D683D" w:rsidP="009D683D">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Total protein</w:t>
            </w:r>
          </w:p>
          <w:p w14:paraId="2A304217" w14:textId="77777777" w:rsidR="009D683D" w:rsidRPr="009D683D" w:rsidRDefault="009D683D" w:rsidP="009D683D">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Albumin</w:t>
            </w:r>
          </w:p>
          <w:p w14:paraId="186444C6" w14:textId="77777777" w:rsidR="009D683D" w:rsidRPr="009D683D" w:rsidRDefault="009D683D" w:rsidP="009D683D">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Alanine aminotransferase</w:t>
            </w:r>
          </w:p>
          <w:p w14:paraId="59AF204B" w14:textId="77777777" w:rsidR="009D683D" w:rsidRPr="009D683D" w:rsidRDefault="009D683D" w:rsidP="009D683D">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Aspartate aminotransferase</w:t>
            </w:r>
          </w:p>
          <w:p w14:paraId="2E76B836" w14:textId="77777777" w:rsidR="009D683D" w:rsidRPr="009D683D" w:rsidRDefault="009D683D" w:rsidP="009D683D">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Gamma-glutamyl transpeptidase</w:t>
            </w:r>
          </w:p>
          <w:p w14:paraId="1B85B6BA" w14:textId="77777777" w:rsidR="009D683D" w:rsidRPr="009D683D" w:rsidRDefault="009D683D" w:rsidP="009D683D">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Alkaline phosphatase</w:t>
            </w:r>
          </w:p>
          <w:p w14:paraId="73BFBF81" w14:textId="77777777" w:rsidR="009D683D" w:rsidRPr="009D683D" w:rsidRDefault="009D683D" w:rsidP="009D683D">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Bilirubin</w:t>
            </w:r>
          </w:p>
        </w:tc>
      </w:tr>
    </w:tbl>
    <w:p w14:paraId="66B79A99" w14:textId="77777777" w:rsidR="0055104B" w:rsidRDefault="0055104B" w:rsidP="009D683D">
      <w:pPr>
        <w:spacing w:before="120" w:line="276" w:lineRule="auto"/>
        <w:jc w:val="both"/>
        <w:rPr>
          <w:rFonts w:ascii="Calibri" w:eastAsia="Calibri" w:hAnsi="Calibri" w:cs="Times New Roman"/>
          <w:sz w:val="22"/>
        </w:rPr>
      </w:pPr>
    </w:p>
    <w:p w14:paraId="34164045" w14:textId="33DE0020" w:rsidR="009D683D" w:rsidRPr="009D683D" w:rsidRDefault="009D683D" w:rsidP="009D683D">
      <w:pPr>
        <w:spacing w:before="120" w:line="276" w:lineRule="auto"/>
        <w:jc w:val="both"/>
        <w:rPr>
          <w:rFonts w:ascii="Times New Roman" w:eastAsia="Times New Roman" w:hAnsi="Times New Roman" w:cs="Times New Roman"/>
          <w:sz w:val="24"/>
          <w:szCs w:val="24"/>
        </w:rPr>
      </w:pPr>
      <w:r w:rsidRPr="009D683D">
        <w:rPr>
          <w:rFonts w:ascii="Calibri" w:eastAsia="Calibri" w:hAnsi="Calibri" w:cs="Times New Roman"/>
          <w:sz w:val="22"/>
        </w:rPr>
        <w:t xml:space="preserve">The challenges faced in providing an effective POCT service in Indigenous communities are considerable. Many rural and remote Indigenous medical services experience difficult working conditions such as dust, excessive heat and/or humidity, power fluctuations, and inadequate lighting and refrigerator space, together with high rates of staff turnover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&lt;EndNote&gt;&lt;Cite&gt;&lt;Author&gt;Shephard&lt;/Author&gt;&lt;Year&gt;2013&lt;/Year&gt;&lt;RecNum&gt;340&lt;/RecNum&gt;&lt;DisplayText&gt;(Shephard, 2013)&lt;/DisplayText&gt;&lt;record&gt;&lt;rec-number&gt;340&lt;/rec-number&gt;&lt;foreign-keys&gt;&lt;key app="EN" db-id="ews5ve9enfwav7etdtjvztfdrftvwrf9vrsx" timestamp="1546383658"&gt;340&lt;/key&gt;&lt;/foreign-keys&gt;&lt;ref-type name="Journal Article"&gt;17&lt;/ref-type&gt;&lt;contributors&gt;&lt;authors&gt;&lt;author&gt;Shephard, M.&lt;/author&gt;&lt;/authors&gt;&lt;/contributors&gt;&lt;titles&gt;&lt;title&gt;Point-of-Care Testing in Australia: The Status, Practical Advantages, and Benefits of Community Resiliency Point of Care&lt;/title&gt;&lt;secondary-title&gt;Point of Care&lt;/secondary-title&gt;&lt;/titles&gt;&lt;periodical&gt;&lt;full-title&gt;Point of Care&lt;/full-title&gt;&lt;/periodical&gt;&lt;pages&gt;41-45&lt;/pages&gt;&lt;volume&gt;12&lt;/volume&gt;&lt;number&gt;1&lt;/number&gt;&lt;dates&gt;&lt;year&gt;2013&lt;/year&gt;&lt;/dates&gt;&lt;urls&gt;&lt;/urls&gt;&lt;electronic-resource-num&gt;10.1097/POC.0b013e318265f79e&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(Shephard, 2013)</w:t>
      </w:r>
      <w:r w:rsidRPr="009D683D">
        <w:rPr>
          <w:rFonts w:ascii="Calibri" w:eastAsia="Calibri" w:hAnsi="Calibri" w:cs="Times New Roman"/>
          <w:sz w:val="22"/>
        </w:rPr>
        <w:fldChar w:fldCharType="end"/>
      </w:r>
      <w:r w:rsidRPr="009D683D">
        <w:rPr>
          <w:rFonts w:ascii="Calibri" w:eastAsia="Calibri" w:hAnsi="Calibri" w:cs="Times New Roman"/>
          <w:sz w:val="22"/>
        </w:rPr>
        <w:t>. Additionally, at present there is no Medicare rebate for POCT in general practice (other than a small group of tests, such as a pregnancy test). This limits the potential uptake of POCT technology and means a thorough cost–benefit analysis is needed before making the decision to implement POCT.</w:t>
      </w:r>
      <w:r w:rsidRPr="009D683D">
        <w:rPr>
          <w:rFonts w:ascii="Times New Roman" w:eastAsia="Times New Roman" w:hAnsi="Times New Roman" w:cs="Times New Roman"/>
          <w:sz w:val="24"/>
          <w:szCs w:val="24"/>
        </w:rPr>
        <w:t xml:space="preserve"> </w:t>
      </w:r>
      <w:r w:rsidRPr="009D683D">
        <w:rPr>
          <w:rFonts w:ascii="Calibri" w:eastAsia="Times New Roman" w:hAnsi="Calibri" w:cs="Calibri"/>
          <w:sz w:val="22"/>
          <w:szCs w:val="24"/>
        </w:rPr>
        <w:t xml:space="preserve">While there are clear opportunities to potentially improve post-transplant care by harnessing POCT, the lack of a tacrolimus assay and issues concerning the reliability of total white cell count POC tests means it is currently of limited value in this context. There are also a range of issues associated with cost, health infrastructure and staff resourcing that need to be addressed to improve POCT’s availability and sustainability in rural and remote communities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&lt;EndNote&gt;&lt;Cite&gt;&lt;Author&gt;Shephard&lt;/Author&gt;&lt;Year&gt;2013&lt;/Year&gt;&lt;RecNum&gt;340&lt;/RecNum&gt;&lt;DisplayText&gt;(Shephard, 2013)&lt;/DisplayText&gt;&lt;record&gt;&lt;rec-number&gt;340&lt;/rec-number&gt;&lt;foreign-keys&gt;&lt;key app="EN" db-id="ews5ve9enfwav7etdtjvztfdrftvwrf9vrsx" timestamp="1546383658"&gt;340&lt;/key&gt;&lt;/foreign-keys&gt;&lt;ref-type name="Journal Article"&gt;17&lt;/ref-type&gt;&lt;contributors&gt;&lt;authors&gt;&lt;author&gt;Shephard, M.&lt;/author&gt;&lt;/authors&gt;&lt;/contributors&gt;&lt;titles&gt;&lt;title&gt;Point-of-Care Testing in Australia: The Status, Practical Advantages, and Benefits of Community Resiliency Point of Care&lt;/title&gt;&lt;secondary-title&gt;Point of Care&lt;/secondary-title&gt;&lt;/titles&gt;&lt;periodical&gt;&lt;full-title&gt;Point of Care&lt;/full-title&gt;&lt;/periodical&gt;&lt;pages&gt;41-45&lt;/pages&gt;&lt;volume&gt;12&lt;/volume&gt;&lt;number&gt;1&lt;/number&gt;&lt;dates&gt;&lt;year&gt;2013&lt;/year&gt;&lt;/dates&gt;&lt;urls&gt;&lt;/urls&gt;&lt;electronic-resource-num&gt;10.1097/POC.0b013e318265f79e&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(Shephard, 2013)</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t>
      </w:r>
    </w:p>
    <w:p w14:paraId="54AC67D7" w14:textId="77777777"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Engaging ACCHS and Primary Care</w:t>
      </w:r>
    </w:p>
    <w:p w14:paraId="75187599" w14:textId="77777777" w:rsidR="009D683D" w:rsidRPr="009D683D" w:rsidRDefault="009D683D" w:rsidP="009D683D">
      <w:pPr>
        <w:spacing w:line="276" w:lineRule="auto"/>
        <w:jc w:val="both"/>
        <w:rPr>
          <w:rFonts w:ascii="Calibri" w:eastAsia="Calibri" w:hAnsi="Calibri" w:cs="Times New Roman"/>
          <w:sz w:val="22"/>
          <w:szCs w:val="24"/>
        </w:rPr>
      </w:pPr>
      <w:r w:rsidRPr="009D683D">
        <w:rPr>
          <w:rFonts w:ascii="Calibri" w:eastAsia="Calibri" w:hAnsi="Calibri" w:cs="Times New Roman"/>
          <w:sz w:val="22"/>
          <w:szCs w:val="24"/>
        </w:rPr>
        <w:t xml:space="preserve">ACCHS are run by an Indigenous Board and deliver a range of services, including CKD prevention, detection and education, within a culturally sensitive health model that promotes health, treats illness, fosters community development, and provides educational resources for health professionals </w:t>
      </w:r>
      <w:r w:rsidRPr="009D683D">
        <w:rPr>
          <w:rFonts w:ascii="Calibri" w:eastAsia="Calibri" w:hAnsi="Calibri" w:cs="Times New Roman"/>
          <w:sz w:val="22"/>
          <w:szCs w:val="24"/>
        </w:rPr>
        <w:fldChar w:fldCharType="begin"/>
      </w:r>
      <w:r w:rsidRPr="009D683D">
        <w:rPr>
          <w:rFonts w:ascii="Calibri" w:eastAsia="Calibri" w:hAnsi="Calibri" w:cs="Times New Roman"/>
          <w:sz w:val="22"/>
          <w:szCs w:val="24"/>
        </w:rPr>
        <w:instrText xml:space="preserve"> ADDIN EN.CITE &lt;EndNote&gt;&lt;Cite&gt;&lt;Author&gt;Panaretto&lt;/Author&gt;&lt;Year&gt;2014&lt;/Year&gt;&lt;RecNum&gt;336&lt;/RecNum&gt;&lt;DisplayText&gt;(Panaretto, Wenitong, Button, &amp;amp; Ring, 2014)&lt;/DisplayText&gt;&lt;record&gt;&lt;rec-number&gt;336&lt;/rec-number&gt;&lt;foreign-keys&gt;&lt;key app="EN" db-id="ews5ve9enfwav7etdtjvztfdrftvwrf9vrsx" timestamp="1546382923"&gt;336&lt;/key&gt;&lt;/foreign-keys&gt;&lt;ref-type name="Journal Article"&gt;17&lt;/ref-type&gt;&lt;contributors&gt;&lt;authors&gt;&lt;author&gt;Panaretto, K. S.&lt;/author&gt;&lt;author&gt;Wenitong, M.&lt;/author&gt;&lt;author&gt;Button, S.&lt;/author&gt;&lt;author&gt;Ring, I. T.&lt;/author&gt;&lt;/authors&gt;&lt;/contributors&gt;&lt;titles&gt;&lt;title&gt;Aboriginal community controlled health services: leading the way in primary care&lt;/title&gt;&lt;secondary-title&gt;Med J Aust&lt;/secondary-title&gt;&lt;/titles&gt;&lt;periodical&gt;&lt;full-title&gt;Med J Aust&lt;/full-title&gt;&lt;/periodical&gt;&lt;pages&gt;649-652&lt;/pages&gt;&lt;volume&gt;200&lt;/volume&gt;&lt;number&gt;11&lt;/number&gt;&lt;dates&gt;&lt;year&gt;2014&lt;/year&gt;&lt;/dates&gt;&lt;urls&gt;&lt;/urls&gt;&lt;electronic-resource-num&gt;10.5694/mja13.00005 &lt;/electronic-resource-num&gt;&lt;/record&gt;&lt;/Cite&gt;&lt;/EndNote&gt;</w:instrText>
      </w:r>
      <w:r w:rsidRPr="009D683D">
        <w:rPr>
          <w:rFonts w:ascii="Calibri" w:eastAsia="Calibri" w:hAnsi="Calibri" w:cs="Times New Roman"/>
          <w:sz w:val="22"/>
          <w:szCs w:val="24"/>
        </w:rPr>
        <w:fldChar w:fldCharType="separate"/>
      </w:r>
      <w:r w:rsidRPr="009D683D">
        <w:rPr>
          <w:rFonts w:ascii="Calibri" w:eastAsia="Calibri" w:hAnsi="Calibri" w:cs="Times New Roman"/>
          <w:noProof/>
          <w:sz w:val="22"/>
          <w:szCs w:val="24"/>
        </w:rPr>
        <w:t>(Panaretto, Wenitong, Button, &amp; Ring, 2014)</w:t>
      </w:r>
      <w:r w:rsidRPr="009D683D">
        <w:rPr>
          <w:rFonts w:ascii="Calibri" w:eastAsia="Calibri" w:hAnsi="Calibri" w:cs="Times New Roman"/>
          <w:sz w:val="22"/>
          <w:szCs w:val="24"/>
        </w:rPr>
        <w:fldChar w:fldCharType="end"/>
      </w:r>
      <w:r w:rsidRPr="009D683D">
        <w:rPr>
          <w:rFonts w:ascii="Calibri" w:eastAsia="Calibri" w:hAnsi="Calibri" w:cs="Times New Roman"/>
          <w:sz w:val="22"/>
          <w:szCs w:val="24"/>
        </w:rPr>
        <w:t xml:space="preserve">. Many Indigenous patients place great trust in ACCHS </w:t>
      </w:r>
      <w:r w:rsidRPr="009D683D">
        <w:rPr>
          <w:rFonts w:ascii="Calibri" w:eastAsia="Calibri" w:hAnsi="Calibri" w:cs="Times New Roman"/>
          <w:sz w:val="22"/>
          <w:szCs w:val="24"/>
        </w:rPr>
        <w:fldChar w:fldCharType="begin">
          <w:fldData xml:space="preserve">PEVuZE5vdGU+PENpdGU+PEF1dGhvcj5CYWJhPC9BdXRob3I+PFllYXI+MjAxNDwvWWVhcj48UmVj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</w:fldData>
        </w:fldChar>
      </w:r>
      <w:r w:rsidRPr="009D683D">
        <w:rPr>
          <w:rFonts w:ascii="Calibri" w:eastAsia="Calibri" w:hAnsi="Calibri" w:cs="Times New Roman"/>
          <w:sz w:val="22"/>
          <w:szCs w:val="24"/>
        </w:rPr>
        <w:instrText xml:space="preserve"> ADDIN EN.CITE </w:instrText>
      </w:r>
      <w:r w:rsidRPr="009D683D">
        <w:rPr>
          <w:rFonts w:ascii="Calibri" w:eastAsia="Calibri" w:hAnsi="Calibri" w:cs="Times New Roman"/>
          <w:sz w:val="22"/>
          <w:szCs w:val="24"/>
        </w:rPr>
        <w:fldChar w:fldCharType="begin">
          <w:fldData xml:space="preserve">PEVuZE5vdGU+PENpdGU+PEF1dGhvcj5CYWJhPC9BdXRob3I+PFllYXI+MjAxNDwvWWVhcj48UmVj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</w:fldData>
        </w:fldChar>
      </w:r>
      <w:r w:rsidRPr="009D683D">
        <w:rPr>
          <w:rFonts w:ascii="Calibri" w:eastAsia="Calibri" w:hAnsi="Calibri" w:cs="Times New Roman"/>
          <w:sz w:val="22"/>
          <w:szCs w:val="24"/>
        </w:rPr>
        <w:instrText xml:space="preserve"> ADDIN EN.CITE.DATA </w:instrText>
      </w:r>
      <w:r w:rsidRPr="009D683D">
        <w:rPr>
          <w:rFonts w:ascii="Calibri" w:eastAsia="Calibri" w:hAnsi="Calibri" w:cs="Times New Roman"/>
          <w:sz w:val="22"/>
          <w:szCs w:val="24"/>
        </w:rPr>
      </w:r>
      <w:r w:rsidRPr="009D683D">
        <w:rPr>
          <w:rFonts w:ascii="Calibri" w:eastAsia="Calibri" w:hAnsi="Calibri" w:cs="Times New Roman"/>
          <w:sz w:val="22"/>
          <w:szCs w:val="24"/>
        </w:rPr>
        <w:fldChar w:fldCharType="end"/>
      </w:r>
      <w:r w:rsidRPr="009D683D">
        <w:rPr>
          <w:rFonts w:ascii="Calibri" w:eastAsia="Calibri" w:hAnsi="Calibri" w:cs="Times New Roman"/>
          <w:sz w:val="22"/>
          <w:szCs w:val="24"/>
        </w:rPr>
      </w:r>
      <w:r w:rsidRPr="009D683D">
        <w:rPr>
          <w:rFonts w:ascii="Calibri" w:eastAsia="Calibri" w:hAnsi="Calibri" w:cs="Times New Roman"/>
          <w:sz w:val="22"/>
          <w:szCs w:val="24"/>
        </w:rPr>
        <w:fldChar w:fldCharType="separate"/>
      </w:r>
      <w:r w:rsidRPr="009D683D">
        <w:rPr>
          <w:rFonts w:ascii="Calibri" w:eastAsia="Calibri" w:hAnsi="Calibri" w:cs="Times New Roman"/>
          <w:noProof/>
          <w:sz w:val="22"/>
          <w:szCs w:val="24"/>
        </w:rPr>
        <w:t>(Baba, Brolan, &amp; Hill, 2014)</w:t>
      </w:r>
      <w:r w:rsidRPr="009D683D">
        <w:rPr>
          <w:rFonts w:ascii="Calibri" w:eastAsia="Calibri" w:hAnsi="Calibri" w:cs="Times New Roman"/>
          <w:sz w:val="22"/>
          <w:szCs w:val="24"/>
        </w:rPr>
        <w:fldChar w:fldCharType="end"/>
      </w:r>
      <w:r w:rsidRPr="009D683D">
        <w:rPr>
          <w:rFonts w:ascii="Calibri" w:eastAsia="Calibri" w:hAnsi="Calibri" w:cs="Times New Roman"/>
          <w:sz w:val="22"/>
          <w:szCs w:val="24"/>
        </w:rPr>
        <w:t xml:space="preserve">, and establishing stronger partnerships and improved coordination between </w:t>
      </w:r>
      <w:proofErr w:type="spellStart"/>
      <w:r w:rsidRPr="009D683D">
        <w:rPr>
          <w:rFonts w:ascii="Calibri" w:eastAsia="Calibri" w:hAnsi="Calibri" w:cs="Times New Roman"/>
          <w:sz w:val="22"/>
          <w:szCs w:val="24"/>
        </w:rPr>
        <w:t>renal</w:t>
      </w:r>
      <w:proofErr w:type="spellEnd"/>
      <w:r w:rsidRPr="009D683D">
        <w:rPr>
          <w:rFonts w:ascii="Calibri" w:eastAsia="Calibri" w:hAnsi="Calibri" w:cs="Times New Roman"/>
          <w:sz w:val="22"/>
          <w:szCs w:val="24"/>
        </w:rPr>
        <w:t xml:space="preserve"> units, transplant centres and ACCHS would help to facilitate the delivery of culturally and clinically safe post-transplant care to Indigenous patients and communities. Through Primary </w:t>
      </w:r>
      <w:r w:rsidRPr="009D683D">
        <w:rPr>
          <w:rFonts w:ascii="Calibri" w:eastAsia="Calibri" w:hAnsi="Calibri" w:cs="Times New Roman"/>
          <w:sz w:val="22"/>
          <w:szCs w:val="24"/>
        </w:rPr>
        <w:lastRenderedPageBreak/>
        <w:t xml:space="preserve">Health Networks (PHNs), </w:t>
      </w:r>
      <w:proofErr w:type="spellStart"/>
      <w:r w:rsidRPr="009D683D">
        <w:rPr>
          <w:rFonts w:ascii="Calibri" w:eastAsia="Calibri" w:hAnsi="Calibri" w:cs="Times New Roman"/>
          <w:sz w:val="22"/>
          <w:szCs w:val="24"/>
        </w:rPr>
        <w:t>renal</w:t>
      </w:r>
      <w:proofErr w:type="spellEnd"/>
      <w:r w:rsidRPr="009D683D">
        <w:rPr>
          <w:rFonts w:ascii="Calibri" w:eastAsia="Calibri" w:hAnsi="Calibri" w:cs="Times New Roman"/>
          <w:sz w:val="22"/>
          <w:szCs w:val="24"/>
        </w:rPr>
        <w:t xml:space="preserve"> units should also commit to regular liaison with primary care providers more broadly, including government and mainstream GPs, to ensure post-transplant support and monitoring continues after patients have returned to their community. </w:t>
      </w:r>
    </w:p>
    <w:p w14:paraId="46646E43" w14:textId="77777777" w:rsidR="009D683D" w:rsidRPr="009D683D" w:rsidRDefault="009D683D" w:rsidP="009D683D">
      <w:pPr>
        <w:spacing w:line="276" w:lineRule="auto"/>
        <w:jc w:val="both"/>
        <w:rPr>
          <w:rFonts w:ascii="Calibri" w:eastAsia="Calibri" w:hAnsi="Calibri" w:cs="Times New Roman"/>
          <w:sz w:val="22"/>
          <w:szCs w:val="24"/>
        </w:rPr>
      </w:pPr>
      <w:r w:rsidRPr="009D683D">
        <w:rPr>
          <w:rFonts w:ascii="Calibri" w:eastAsia="Calibri" w:hAnsi="Calibri" w:cs="Times New Roman"/>
          <w:sz w:val="22"/>
          <w:szCs w:val="24"/>
        </w:rPr>
        <w:t xml:space="preserve">In communities where ACCHS are not available, telehealth options should be explored so that patients can still communicate with trusted ACCHS practitioners, either via telephone or videoconferencing. These strategies will help to redress the ongoing disadvantages faced by Indigenous patients within mainstream health care settings, which dominate funding, coverage and delivery of complex treatments </w:t>
      </w:r>
      <w:r w:rsidRPr="009D683D">
        <w:rPr>
          <w:rFonts w:ascii="Calibri" w:eastAsia="Calibri" w:hAnsi="Calibri" w:cs="Times New Roman"/>
          <w:sz w:val="22"/>
          <w:szCs w:val="24"/>
        </w:rPr>
        <w:fldChar w:fldCharType="begin"/>
      </w:r>
      <w:r w:rsidRPr="009D683D">
        <w:rPr>
          <w:rFonts w:ascii="Calibri" w:eastAsia="Calibri" w:hAnsi="Calibri" w:cs="Times New Roman"/>
          <w:sz w:val="22"/>
          <w:szCs w:val="24"/>
        </w:rPr>
        <w:instrText xml:space="preserve"> ADDIN EN.CITE &lt;EndNote&gt;&lt;Cite&gt;&lt;Author&gt;Chapman&lt;/Author&gt;&lt;Year&gt;2005&lt;/Year&gt;&lt;RecNum&gt;337&lt;/RecNum&gt;&lt;DisplayText&gt;(Chapman &amp;amp; Berggren, 2005)&lt;/DisplayText&gt;&lt;record&gt;&lt;rec-number&gt;337&lt;/rec-number&gt;&lt;foreign-keys&gt;&lt;key app="EN" db-id="ews5ve9enfwav7etdtjvztfdrftvwrf9vrsx" timestamp="1546382996"&gt;337&lt;/key&gt;&lt;/foreign-keys&gt;&lt;ref-type name="Journal Article"&gt;17&lt;/ref-type&gt;&lt;contributors&gt;&lt;authors&gt;&lt;author&gt;Chapman, R. R.&lt;/author&gt;&lt;author&gt;Berggren, J. R.&lt;/author&gt;&lt;/authors&gt;&lt;/contributors&gt;&lt;auth-address&gt;University of Washington, Seattle, WA 98195-3100, USA. rachelrchapman@msn.com&lt;/auth-address&gt;&lt;titles&gt;&lt;title&gt;Radical contextualization: contributions to an anthropology of racial/ethnic health disparities&lt;/title&gt;&lt;secondary-title&gt;Health (London)&lt;/secondary-title&gt;&lt;/titles&gt;&lt;periodical&gt;&lt;full-title&gt;Health (London)&lt;/full-title&gt;&lt;/periodical&gt;&lt;pages&gt;145-67&lt;/pages&gt;&lt;volume&gt;9&lt;/volume&gt;&lt;number&gt;2&lt;/number&gt;&lt;edition&gt;2005/03/25&lt;/edition&gt;&lt;keywords&gt;&lt;keyword&gt;*Anthropology&lt;/keyword&gt;&lt;keyword&gt;*Continental Population Groups&lt;/keyword&gt;&lt;keyword&gt;*Ethnic Groups&lt;/keyword&gt;&lt;keyword&gt;*Health Status Indicators&lt;/keyword&gt;&lt;keyword&gt;Humans&lt;/keyword&gt;&lt;keyword&gt;*Social Justice&lt;/keyword&gt;&lt;keyword&gt;United States/epidemiology&lt;/keyword&gt;&lt;/keywords&gt;&lt;dates&gt;&lt;year&gt;2005&lt;/year&gt;&lt;pub-dates&gt;&lt;date&gt;Apr&lt;/date&gt;&lt;/pub-dates&gt;&lt;/dates&gt;&lt;isbn&gt;1363-4593 (Print)&amp;#xD;1363-4593 (Linking)&lt;/isbn&gt;&lt;accession-num&gt;15788431&lt;/accession-num&gt;&lt;urls&gt;&lt;related-urls&gt;&lt;url&gt;https://www.ncbi.nlm.nih.gov/pubmed/15788431&lt;/url&gt;&lt;/related-urls&gt;&lt;/urls&gt;&lt;electronic-resource-num&gt;10.1177/1363459305050583&lt;/electronic-resource-num&gt;&lt;/record&gt;&lt;/Cite&gt;&lt;/EndNote&gt;</w:instrText>
      </w:r>
      <w:r w:rsidRPr="009D683D">
        <w:rPr>
          <w:rFonts w:ascii="Calibri" w:eastAsia="Calibri" w:hAnsi="Calibri" w:cs="Times New Roman"/>
          <w:sz w:val="22"/>
          <w:szCs w:val="24"/>
        </w:rPr>
        <w:fldChar w:fldCharType="separate"/>
      </w:r>
      <w:r w:rsidRPr="009D683D">
        <w:rPr>
          <w:rFonts w:ascii="Calibri" w:eastAsia="Calibri" w:hAnsi="Calibri" w:cs="Times New Roman"/>
          <w:noProof/>
          <w:sz w:val="22"/>
          <w:szCs w:val="24"/>
        </w:rPr>
        <w:t>(Chapman &amp; Berggren, 2005)</w:t>
      </w:r>
      <w:r w:rsidRPr="009D683D">
        <w:rPr>
          <w:rFonts w:ascii="Calibri" w:eastAsia="Calibri" w:hAnsi="Calibri" w:cs="Times New Roman"/>
          <w:sz w:val="22"/>
          <w:szCs w:val="24"/>
        </w:rPr>
        <w:fldChar w:fldCharType="end"/>
      </w:r>
      <w:r w:rsidRPr="009D683D">
        <w:rPr>
          <w:rFonts w:ascii="Calibri" w:eastAsia="Calibri" w:hAnsi="Calibri" w:cs="Times New Roman"/>
          <w:sz w:val="22"/>
          <w:szCs w:val="24"/>
        </w:rPr>
        <w:t xml:space="preserve">. </w:t>
      </w:r>
    </w:p>
    <w:p w14:paraId="15E6C799" w14:textId="77777777"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proofErr w:type="spellStart"/>
      <w:r w:rsidRPr="009D683D">
        <w:rPr>
          <w:rFonts w:ascii="Calibri Light" w:eastAsia="Times New Roman" w:hAnsi="Calibri Light" w:cs="Times New Roman"/>
          <w:i/>
          <w:iCs/>
          <w:sz w:val="22"/>
        </w:rPr>
        <w:t>Telenephrology</w:t>
      </w:r>
      <w:proofErr w:type="spellEnd"/>
      <w:r w:rsidRPr="009D683D">
        <w:rPr>
          <w:rFonts w:ascii="Calibri Light" w:eastAsia="Times New Roman" w:hAnsi="Calibri Light" w:cs="Times New Roman"/>
          <w:i/>
          <w:iCs/>
          <w:sz w:val="22"/>
        </w:rPr>
        <w:t xml:space="preserve"> and </w:t>
      </w:r>
      <w:proofErr w:type="spellStart"/>
      <w:r w:rsidRPr="009D683D">
        <w:rPr>
          <w:rFonts w:ascii="Calibri Light" w:eastAsia="Times New Roman" w:hAnsi="Calibri Light" w:cs="Times New Roman"/>
          <w:i/>
          <w:iCs/>
          <w:sz w:val="22"/>
        </w:rPr>
        <w:t>telepharmacy</w:t>
      </w:r>
      <w:proofErr w:type="spellEnd"/>
    </w:p>
    <w:p w14:paraId="51840874"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Videoconferencing enables health care professionals to overcome the tyranny of distance, and nephrologists throughout Australia are now using ‘</w:t>
      </w:r>
      <w:proofErr w:type="spellStart"/>
      <w:r w:rsidRPr="009D683D">
        <w:rPr>
          <w:rFonts w:ascii="Calibri" w:eastAsia="Calibri" w:hAnsi="Calibri" w:cs="Times New Roman"/>
          <w:sz w:val="22"/>
        </w:rPr>
        <w:t>telenephrology</w:t>
      </w:r>
      <w:proofErr w:type="spellEnd"/>
      <w:r w:rsidRPr="009D683D">
        <w:rPr>
          <w:rFonts w:ascii="Calibri" w:eastAsia="Calibri" w:hAnsi="Calibri" w:cs="Times New Roman"/>
          <w:sz w:val="22"/>
        </w:rPr>
        <w:t xml:space="preserve">’ to manage remote patients with ESKD (either direct to patient, or with “far end” support from clinic nursing or medical staff). Recent improvements in internet connections to remote areas, and the inclusion of telehealth among Medicare-funded health care services, has enabled the expansion of videoconferencing-based </w:t>
      </w:r>
      <w:proofErr w:type="spellStart"/>
      <w:r w:rsidRPr="009D683D">
        <w:rPr>
          <w:rFonts w:ascii="Calibri" w:eastAsia="Calibri" w:hAnsi="Calibri" w:cs="Times New Roman"/>
          <w:sz w:val="22"/>
        </w:rPr>
        <w:t>telenephrology</w:t>
      </w:r>
      <w:proofErr w:type="spellEnd"/>
      <w:r w:rsidRPr="009D683D">
        <w:rPr>
          <w:rFonts w:ascii="Calibri" w:eastAsia="Calibri" w:hAnsi="Calibri" w:cs="Times New Roman"/>
          <w:sz w:val="22"/>
        </w:rPr>
        <w:t xml:space="preserve">. This is proving particularly beneficial in Northern Australia, where distances between major health care centres and communities are vast </w:t>
      </w:r>
      <w:r w:rsidRPr="009D683D">
        <w:rPr>
          <w:rFonts w:ascii="Calibri" w:eastAsia="Calibri" w:hAnsi="Calibri" w:cs="Times New Roman"/>
          <w:sz w:val="22"/>
        </w:rPr>
        <w:fldChar w:fldCharType="begin">
          <w:fldData xml:space="preserve">PEVuZE5vdGU+PENpdGU+PEF1dGhvcj5Sb2hhdGdpPC9BdXRob3I+PFllYXI+MjAxNzwvWWVhcj48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=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PEVuZE5vdGU+PENpdGU+PEF1dGhvcj5Sb2hhdGdpPC9BdXRob3I+PFllYXI+MjAxNzwvWWVhcj48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=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(Rohatgi, Ross, &amp; Majoni, 2017)</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A retrospective audit of paediatric videoconferencing-based </w:t>
      </w:r>
      <w:proofErr w:type="spellStart"/>
      <w:r w:rsidRPr="009D683D">
        <w:rPr>
          <w:rFonts w:ascii="Calibri" w:eastAsia="Calibri" w:hAnsi="Calibri" w:cs="Times New Roman"/>
          <w:sz w:val="22"/>
        </w:rPr>
        <w:t>telenephrology</w:t>
      </w:r>
      <w:proofErr w:type="spellEnd"/>
      <w:r w:rsidRPr="009D683D">
        <w:rPr>
          <w:rFonts w:ascii="Calibri" w:eastAsia="Calibri" w:hAnsi="Calibri" w:cs="Times New Roman"/>
          <w:sz w:val="22"/>
        </w:rPr>
        <w:t xml:space="preserve"> in Queensland over a 10-year period (2004-2013) found that </w:t>
      </w:r>
      <w:proofErr w:type="spellStart"/>
      <w:r w:rsidRPr="009D683D">
        <w:rPr>
          <w:rFonts w:ascii="Calibri" w:eastAsia="Calibri" w:hAnsi="Calibri" w:cs="Times New Roman"/>
          <w:sz w:val="22"/>
        </w:rPr>
        <w:t>telenephrology</w:t>
      </w:r>
      <w:proofErr w:type="spellEnd"/>
      <w:r w:rsidRPr="009D683D">
        <w:rPr>
          <w:rFonts w:ascii="Calibri" w:eastAsia="Calibri" w:hAnsi="Calibri" w:cs="Times New Roman"/>
          <w:sz w:val="22"/>
        </w:rPr>
        <w:t xml:space="preserve"> services provided patients and their families with improved access to information and treatment support, and regional medical teams benefited from additional educational opportunities </w:t>
      </w:r>
      <w:r w:rsidRPr="009D683D">
        <w:rPr>
          <w:rFonts w:ascii="Calibri" w:eastAsia="Calibri" w:hAnsi="Calibri" w:cs="Times New Roman"/>
          <w:sz w:val="22"/>
        </w:rPr>
        <w:fldChar w:fldCharType="begin">
          <w:fldData xml:space="preserve">PEVuZE5vdGU+PENpdGU+PEF1dGhvcj5Sb2hhdGdpPC9BdXRob3I+PFllYXI+MjAxNzwvWWVhcj48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PEVuZE5vdGU+PENpdGU+PEF1dGhvcj5Sb2hhdGdpPC9BdXRob3I+PFllYXI+MjAxNzwvWWVhcj48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(Rohatgi et al., 2017)</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The use of </w:t>
      </w:r>
      <w:proofErr w:type="spellStart"/>
      <w:r w:rsidRPr="009D683D">
        <w:rPr>
          <w:rFonts w:ascii="Calibri" w:eastAsia="Calibri" w:hAnsi="Calibri" w:cs="Times New Roman"/>
          <w:sz w:val="22"/>
        </w:rPr>
        <w:t>telenephrology</w:t>
      </w:r>
      <w:proofErr w:type="spellEnd"/>
      <w:r w:rsidRPr="009D683D">
        <w:rPr>
          <w:rFonts w:ascii="Calibri" w:eastAsia="Calibri" w:hAnsi="Calibri" w:cs="Times New Roman"/>
          <w:sz w:val="22"/>
        </w:rPr>
        <w:t xml:space="preserve"> also led to a cost saving of $31,837 in 2013, equating to $505 saved per consultation </w:t>
      </w:r>
      <w:r w:rsidRPr="009D683D">
        <w:rPr>
          <w:rFonts w:ascii="Calibri" w:eastAsia="Calibri" w:hAnsi="Calibri" w:cs="Times New Roman"/>
          <w:sz w:val="22"/>
        </w:rPr>
        <w:fldChar w:fldCharType="begin">
          <w:fldData xml:space="preserve">PEVuZE5vdGU+PENpdGU+PEF1dGhvcj5Sb2hhdGdpPC9BdXRob3I+PFllYXI+MjAxNzwvWWVhcj48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PEVuZE5vdGU+PENpdGU+PEF1dGhvcj5Sb2hhdGdpPC9BdXRob3I+PFllYXI+MjAxNzwvWWVhcj48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(Rohatgi et al., 2017)</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t>
      </w:r>
    </w:p>
    <w:p w14:paraId="51453C1B"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Similarly, patients in rural and remote areas have reduced access to prescribed and non-prescribed medicines, advice about the use of these medicines, and professional pharmacy services in general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&lt;EndNote&gt;&lt;Cite&gt;&lt;Author&gt;Poudel&lt;/Author&gt;&lt;Year&gt;2016&lt;/Year&gt;&lt;RecNum&gt;341&lt;/RecNum&gt;&lt;DisplayText&gt;(Poudel &amp;amp; Nissen, 2016)&lt;/DisplayText&gt;&lt;record&gt;&lt;rec-number&gt;341&lt;/rec-number&gt;&lt;foreign-keys&gt;&lt;key app="EN" db-id="ews5ve9enfwav7etdtjvztfdrftvwrf9vrsx" timestamp="1546383781"&gt;341&lt;/key&gt;&lt;/foreign-keys&gt;&lt;ref-type name="Book"&gt;6&lt;/ref-type&gt;&lt;contributors&gt;&lt;authors&gt;&lt;author&gt;Poudel, Arjun.&lt;/author&gt;&lt;author&gt;Nissen, Lisa.&lt;/author&gt;&lt;/authors&gt;&lt;/contributors&gt;&lt;titles&gt;&lt;title&gt;Telepharmacy: a pharmacist’s perspective on the clinical benefits and challenges&lt;/title&gt;&lt;alt-title&gt;Integrated Pharmacy Research and Practice&lt;/alt-title&gt;&lt;/titles&gt;&lt;pages&gt;75-82&lt;/pages&gt;&lt;volume&gt;5&lt;/volume&gt;&lt;dates&gt;&lt;year&gt;2016&lt;/year&gt;&lt;/dates&gt;&lt;urls&gt;&lt;/urls&gt;&lt;electronic-resource-num&gt;10.2147/IPRP.S101685&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(Poudel &amp; Nissen, 2016)</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t>
      </w:r>
      <w:proofErr w:type="spellStart"/>
      <w:r w:rsidRPr="009D683D">
        <w:rPr>
          <w:rFonts w:ascii="Calibri" w:eastAsia="Calibri" w:hAnsi="Calibri" w:cs="Times New Roman"/>
          <w:sz w:val="22"/>
        </w:rPr>
        <w:t>Telepharmacy</w:t>
      </w:r>
      <w:proofErr w:type="spellEnd"/>
      <w:r w:rsidRPr="009D683D">
        <w:rPr>
          <w:rFonts w:ascii="Calibri" w:eastAsia="Calibri" w:hAnsi="Calibri" w:cs="Times New Roman"/>
          <w:sz w:val="22"/>
        </w:rPr>
        <w:t xml:space="preserve"> involves the provision of pharmaceutical care through the use of telecommunications and information technologies to patients at a distant location, and is already being rolled out in remote Queensland communities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&lt;EndNote&gt;&lt;Cite&gt;&lt;Author&gt;Poulson&lt;/Author&gt;&lt;Year&gt;2010&lt;/Year&gt;&lt;RecNum&gt;342&lt;/RecNum&gt;&lt;DisplayText&gt;(Poulson, Nissen, &amp;amp; Coombes, 2010)&lt;/DisplayText&gt;&lt;record&gt;&lt;rec-number&gt;342&lt;/rec-number&gt;&lt;foreign-keys&gt;&lt;key app="EN" db-id="ews5ve9enfwav7etdtjvztfdrftvwrf9vrsx" timestamp="1546383857"&gt;342&lt;/key&gt;&lt;/foreign-keys&gt;&lt;ref-type name="Journal Article"&gt;17&lt;/ref-type&gt;&lt;contributors&gt;&lt;authors&gt;&lt;author&gt;Poulson, L. K.&lt;/author&gt;&lt;author&gt;Nissen, L.&lt;/author&gt;&lt;author&gt;Coombes, I.&lt;/author&gt;&lt;/authors&gt;&lt;/contributors&gt;&lt;auth-address&gt;Pharmacy Department, Toowoomba Hospital, Toowoomba, Queensland, Australia. louise_poulson@health.qld.gov.au&lt;/auth-address&gt;&lt;titles&gt;&lt;title&gt;Pharmaceutical review using telemedicine--a before and after feasibility study&lt;/title&gt;&lt;secondary-title&gt;J Telemed Telecare&lt;/secondary-title&gt;&lt;/titles&gt;&lt;periodical&gt;&lt;full-title&gt;J Telemed Telecare&lt;/full-title&gt;&lt;/periodical&gt;&lt;pages&gt;95-9&lt;/pages&gt;&lt;volume&gt;16&lt;/volume&gt;&lt;number&gt;2&lt;/number&gt;&lt;edition&gt;2010/02/09&lt;/edition&gt;&lt;keywords&gt;&lt;keyword&gt;Aged&lt;/keyword&gt;&lt;keyword&gt;Community Pharmacy Services/*standards&lt;/keyword&gt;&lt;keyword&gt;Drug Prescriptions/*standards&lt;/keyword&gt;&lt;keyword&gt;Feasibility Studies&lt;/keyword&gt;&lt;keyword&gt;Female&lt;/keyword&gt;&lt;keyword&gt;Humans&lt;/keyword&gt;&lt;keyword&gt;Male&lt;/keyword&gt;&lt;keyword&gt;Patient Satisfaction&lt;/keyword&gt;&lt;keyword&gt;Practice Patterns, Physicians&amp;apos;&lt;/keyword&gt;&lt;keyword&gt;Queensland&lt;/keyword&gt;&lt;keyword&gt;Remote Consultation&lt;/keyword&gt;&lt;keyword&gt;Rural Health Services/*standards&lt;/keyword&gt;&lt;keyword&gt;*Telemedicine&lt;/keyword&gt;&lt;/keywords&gt;&lt;dates&gt;&lt;year&gt;2010&lt;/year&gt;&lt;/dates&gt;&lt;isbn&gt;1758-1109 (Electronic)&amp;#xD;1357-633X (Linking)&lt;/isbn&gt;&lt;accession-num&gt;20139138&lt;/accession-num&gt;&lt;urls&gt;&lt;related-urls&gt;&lt;url&gt;https://www.ncbi.nlm.nih.gov/pubmed/20139138&lt;/url&gt;&lt;/related-urls&gt;&lt;/urls&gt;&lt;electronic-resource-num&gt;10.1258/jtt.2009.090716&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(Poulson, Nissen, &amp; Coombes, 2010)</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In 2013, Queensland Health established the CKD Pharmacist initiative, which provides </w:t>
      </w:r>
      <w:proofErr w:type="spellStart"/>
      <w:r w:rsidRPr="009D683D">
        <w:rPr>
          <w:rFonts w:ascii="Calibri" w:eastAsia="Calibri" w:hAnsi="Calibri" w:cs="Times New Roman"/>
          <w:sz w:val="22"/>
        </w:rPr>
        <w:t>telepharmacy</w:t>
      </w:r>
      <w:proofErr w:type="spellEnd"/>
      <w:r w:rsidRPr="009D683D">
        <w:rPr>
          <w:rFonts w:ascii="Calibri" w:eastAsia="Calibri" w:hAnsi="Calibri" w:cs="Times New Roman"/>
          <w:sz w:val="22"/>
        </w:rPr>
        <w:t xml:space="preserve"> services to CKD patients living in rural and remote areas within the Cairns Hospital and Hinterland Health Service and the Torres and Cape Hospital and Health Service areas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&lt;EndNote&gt;&lt;Cite&gt;&lt;Author&gt;Johnstone&lt;/Author&gt;&lt;Year&gt;2017&lt;/Year&gt;&lt;RecNum&gt;343&lt;/RecNum&gt;&lt;DisplayText&gt;(Johnstone, 2017)&lt;/DisplayText&gt;&lt;record&gt;&lt;rec-number&gt;343&lt;/rec-number&gt;&lt;foreign-keys&gt;&lt;key app="EN" db-id="ews5ve9enfwav7etdtjvztfdrftvwrf9vrsx" timestamp="1546383986"&gt;343&lt;/key&gt;&lt;/foreign-keys&gt;&lt;ref-type name="Conference Paper"&gt;47&lt;/ref-type&gt;&lt;contributors&gt;&lt;authors&gt;&lt;author&gt;Johnstone, L.&lt;/author&gt;&lt;/authors&gt;&lt;/contributors&gt;&lt;titles&gt;&lt;title&gt;Telepharmacy and chronic kidney disease - a Making Tracks investment strategy&lt;/title&gt;&lt;secondary-title&gt;14th National Rural Health Conference&lt;/secondary-title&gt;&lt;/titles&gt;&lt;dates&gt;&lt;year&gt;2017&lt;/year&gt;&lt;/dates&gt;&lt;pub-location&gt;Cairns, Queensland&lt;/pub-location&gt;&lt;urls&gt;&lt;/urls&gt;&lt;/record&gt;&lt;/Cite&gt;&lt;/EndNote&gt;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(Johnstone, 2017)</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The service is delivered by a clinical nurse, clinical pharmacist and administration officer, all of whom are based at the Cairns Hospital Renal Unit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&lt;EndNote&gt;&lt;Cite&gt;&lt;Author&gt;Johnstone&lt;/Author&gt;&lt;Year&gt;2017&lt;/Year&gt;&lt;RecNum&gt;343&lt;/RecNum&gt;&lt;DisplayText&gt;(Johnstone, 2017)&lt;/DisplayText&gt;&lt;record&gt;&lt;rec-number&gt;343&lt;/rec-number&gt;&lt;foreign-keys&gt;&lt;key app="EN" db-id="ews5ve9enfwav7etdtjvztfdrftvwrf9vrsx" timestamp="1546383986"&gt;343&lt;/key&gt;&lt;/foreign-keys&gt;&lt;ref-type name="Conference Paper"&gt;47&lt;/ref-type&gt;&lt;contributors&gt;&lt;authors&gt;&lt;author&gt;Johnstone, L.&lt;/author&gt;&lt;/authors&gt;&lt;/contributors&gt;&lt;titles&gt;&lt;title&gt;Telepharmacy and chronic kidney disease - a Making Tracks investment strategy&lt;/title&gt;&lt;secondary-title&gt;14th National Rural Health Conference&lt;/secondary-title&gt;&lt;/titles&gt;&lt;dates&gt;&lt;year&gt;2017&lt;/year&gt;&lt;/dates&gt;&lt;pub-location&gt;Cairns, Queensland&lt;/pub-location&gt;&lt;urls&gt;&lt;/urls&gt;&lt;/record&gt;&lt;/Cite&gt;&lt;/EndNote&gt;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(Johnstone, 2017)</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The aims of the renal </w:t>
      </w:r>
      <w:proofErr w:type="spellStart"/>
      <w:r w:rsidRPr="009D683D">
        <w:rPr>
          <w:rFonts w:ascii="Calibri" w:eastAsia="Calibri" w:hAnsi="Calibri" w:cs="Times New Roman"/>
          <w:sz w:val="22"/>
        </w:rPr>
        <w:t>telepharmacy</w:t>
      </w:r>
      <w:proofErr w:type="spellEnd"/>
      <w:r w:rsidRPr="009D683D">
        <w:rPr>
          <w:rFonts w:ascii="Calibri" w:eastAsia="Calibri" w:hAnsi="Calibri" w:cs="Times New Roman"/>
          <w:sz w:val="22"/>
        </w:rPr>
        <w:t xml:space="preserve"> service include:</w:t>
      </w:r>
    </w:p>
    <w:p w14:paraId="681FBC36" w14:textId="77777777" w:rsidR="009D683D" w:rsidRPr="009D683D" w:rsidRDefault="009D683D" w:rsidP="00782640">
      <w:pPr>
        <w:numPr>
          <w:ilvl w:val="0"/>
          <w:numId w:val="30"/>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Increasing access to a clinical pharmacy service for geographically isolated clients.</w:t>
      </w:r>
    </w:p>
    <w:p w14:paraId="24844CBE" w14:textId="77777777" w:rsidR="009D683D" w:rsidRPr="009D683D" w:rsidRDefault="009D683D" w:rsidP="00782640">
      <w:pPr>
        <w:numPr>
          <w:ilvl w:val="0"/>
          <w:numId w:val="30"/>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Contributing to reducing the burden of chronic disease by using an intensive case management approach to support patients in self-managing their condition by adhering to medication management regimes, preventing secondary complications by improving access to screening and routine tests, and delaying the progression of CKD and the need for RRT.</w:t>
      </w:r>
    </w:p>
    <w:p w14:paraId="0280E8CC" w14:textId="77777777" w:rsidR="009D683D" w:rsidRPr="009D683D" w:rsidRDefault="009D683D" w:rsidP="00782640">
      <w:pPr>
        <w:numPr>
          <w:ilvl w:val="0"/>
          <w:numId w:val="30"/>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Improving clinical outcomes from hospitals and hospital-related services by delivering tailored and community-based CKD management education, and preparing patients for RRT.</w:t>
      </w:r>
    </w:p>
    <w:p w14:paraId="266F906F" w14:textId="77777777" w:rsidR="009D683D" w:rsidRPr="009D683D" w:rsidRDefault="009D683D" w:rsidP="00782640">
      <w:pPr>
        <w:numPr>
          <w:ilvl w:val="0"/>
          <w:numId w:val="30"/>
        </w:numPr>
        <w:spacing w:line="276" w:lineRule="auto"/>
        <w:ind w:left="714" w:hanging="357"/>
        <w:jc w:val="both"/>
        <w:rPr>
          <w:rFonts w:ascii="Calibri" w:eastAsia="Calibri" w:hAnsi="Calibri" w:cs="Times New Roman"/>
          <w:sz w:val="22"/>
        </w:rPr>
      </w:pPr>
      <w:r w:rsidRPr="009D683D">
        <w:rPr>
          <w:rFonts w:ascii="Calibri" w:eastAsia="Calibri" w:hAnsi="Calibri" w:cs="Times New Roman"/>
          <w:sz w:val="22"/>
        </w:rPr>
        <w:t xml:space="preserve">Reducing preventable hospitalisation rates for Indigenous people with CKD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&lt;EndNote&gt;&lt;Cite&gt;&lt;Author&gt;Johnstone&lt;/Author&gt;&lt;Year&gt;2017&lt;/Year&gt;&lt;RecNum&gt;343&lt;/RecNum&gt;&lt;DisplayText&gt;(Johnstone, 2017)&lt;/DisplayText&gt;&lt;record&gt;&lt;rec-number&gt;343&lt;/rec-number&gt;&lt;foreign-keys&gt;&lt;key app="EN" db-id="ews5ve9enfwav7etdtjvztfdrftvwrf9vrsx" timestamp="1546383986"&gt;343&lt;/key&gt;&lt;/foreign-keys&gt;&lt;ref-type name="Conference Paper"&gt;47&lt;/ref-type&gt;&lt;contributors&gt;&lt;authors&gt;&lt;author&gt;Johnstone, L.&lt;/author&gt;&lt;/authors&gt;&lt;/contributors&gt;&lt;titles&gt;&lt;title&gt;Telepharmacy and chronic kidney disease - a Making Tracks investment strategy&lt;/title&gt;&lt;secondary-title&gt;14th National Rural Health Conference&lt;/secondary-title&gt;&lt;/titles&gt;&lt;dates&gt;&lt;year&gt;2017&lt;/year&gt;&lt;/dates&gt;&lt;pub-location&gt;Cairns, Queensland&lt;/pub-location&gt;&lt;urls&gt;&lt;/urls&gt;&lt;/record&gt;&lt;/Cite&gt;&lt;/EndNote&gt;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(Johnstone, 2017)</w:t>
      </w:r>
      <w:r w:rsidRPr="009D683D">
        <w:rPr>
          <w:rFonts w:ascii="Calibri" w:eastAsia="Calibri" w:hAnsi="Calibri" w:cs="Times New Roman"/>
          <w:sz w:val="22"/>
        </w:rPr>
        <w:fldChar w:fldCharType="end"/>
      </w:r>
      <w:r w:rsidRPr="009D683D">
        <w:rPr>
          <w:rFonts w:ascii="Calibri" w:eastAsia="Calibri" w:hAnsi="Calibri" w:cs="Times New Roman"/>
          <w:sz w:val="22"/>
        </w:rPr>
        <w:t>.</w:t>
      </w:r>
    </w:p>
    <w:p w14:paraId="2104C041"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The CKD Pharmacist Telehealth Service has had continual growth since its commencement, with demand for the service rising year on year resulting in more patients receiving interventions related to their medication management regimes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&lt;EndNote&gt;&lt;Cite&gt;&lt;Author&gt;Johnstone&lt;/Author&gt;&lt;Year&gt;2017&lt;/Year&gt;&lt;RecNum&gt;343&lt;/RecNum&gt;&lt;DisplayText&gt;(Johnstone, 2017)&lt;/DisplayText&gt;&lt;record&gt;&lt;rec-number&gt;343&lt;/rec-number&gt;&lt;foreign-keys&gt;&lt;key app="EN" db-id="ews5ve9enfwav7etdtjvztfdrftvwrf9vrsx" timestamp="1546383986"&gt;343&lt;/key&gt;&lt;/foreign-keys&gt;&lt;ref-type name="Conference Paper"&gt;47&lt;/ref-type&gt;&lt;contributors&gt;&lt;authors&gt;&lt;author&gt;Johnstone, L.&lt;/author&gt;&lt;/authors&gt;&lt;/contributors&gt;&lt;titles&gt;&lt;title&gt;Telepharmacy and chronic kidney disease - a Making Tracks investment strategy&lt;/title&gt;&lt;secondary-title&gt;14th National Rural Health Conference&lt;/secondary-title&gt;&lt;/titles&gt;&lt;dates&gt;&lt;year&gt;2017&lt;/year&gt;&lt;/dates&gt;&lt;pub-location&gt;Cairns, Queensland&lt;/pub-location&gt;&lt;urls&gt;&lt;/urls&gt;&lt;/record&gt;&lt;/Cite&gt;&lt;/EndNote&gt;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(Johnstone, 2017)</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Patient survey results suggest that the </w:t>
      </w:r>
      <w:r w:rsidRPr="009D683D">
        <w:rPr>
          <w:rFonts w:ascii="Calibri" w:eastAsia="Calibri" w:hAnsi="Calibri" w:cs="Times New Roman"/>
          <w:sz w:val="22"/>
        </w:rPr>
        <w:lastRenderedPageBreak/>
        <w:t xml:space="preserve">service has reduced the disruption and cost associated with travelling to tertiary health services for face-to-face appointments, and that most patients felt more comfortable receiving </w:t>
      </w:r>
      <w:proofErr w:type="spellStart"/>
      <w:r w:rsidRPr="009D683D">
        <w:rPr>
          <w:rFonts w:ascii="Calibri" w:eastAsia="Calibri" w:hAnsi="Calibri" w:cs="Times New Roman"/>
          <w:sz w:val="22"/>
        </w:rPr>
        <w:t>telepharmacy</w:t>
      </w:r>
      <w:proofErr w:type="spellEnd"/>
      <w:r w:rsidRPr="009D683D">
        <w:rPr>
          <w:rFonts w:ascii="Calibri" w:eastAsia="Calibri" w:hAnsi="Calibri" w:cs="Times New Roman"/>
          <w:sz w:val="22"/>
        </w:rPr>
        <w:t xml:space="preserve"> services in their community with familiar doctors, nurses or health care workers on hand to provide support if needed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&lt;EndNote&gt;&lt;Cite&gt;&lt;Author&gt;Johnstone&lt;/Author&gt;&lt;Year&gt;2017&lt;/Year&gt;&lt;RecNum&gt;343&lt;/RecNum&gt;&lt;DisplayText&gt;(Johnstone, 2017)&lt;/DisplayText&gt;&lt;record&gt;&lt;rec-number&gt;343&lt;/rec-number&gt;&lt;foreign-keys&gt;&lt;key app="EN" db-id="ews5ve9enfwav7etdtjvztfdrftvwrf9vrsx" timestamp="1546383986"&gt;343&lt;/key&gt;&lt;/foreign-keys&gt;&lt;ref-type name="Conference Paper"&gt;47&lt;/ref-type&gt;&lt;contributors&gt;&lt;authors&gt;&lt;author&gt;Johnstone, L.&lt;/author&gt;&lt;/authors&gt;&lt;/contributors&gt;&lt;titles&gt;&lt;title&gt;Telepharmacy and chronic kidney disease - a Making Tracks investment strategy&lt;/title&gt;&lt;secondary-title&gt;14th National Rural Health Conference&lt;/secondary-title&gt;&lt;/titles&gt;&lt;dates&gt;&lt;year&gt;2017&lt;/year&gt;&lt;/dates&gt;&lt;pub-location&gt;Cairns, Queensland&lt;/pub-location&gt;&lt;urls&gt;&lt;/urls&gt;&lt;/record&gt;&lt;/Cite&gt;&lt;/EndNote&gt;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(Johnstone, 2017)</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t>
      </w:r>
    </w:p>
    <w:p w14:paraId="4E50447F"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The current uptake of telehealth to deliver nephrology and pharmacy services is not clear, but anecdotal evidence suggests that the use of telehealth initiatives has been very limited in both pre-transplant assessment and post-transplant management contexts. While some telehealth models have reportedly enhanced the provision of medical services to ESKD patients and are likely applicable to the Indigenous kidney transplant recipient population, their long-term viability as post-transplant models of care is dependent on the availability of appropriate infrastructure and a stable funding source. </w:t>
      </w:r>
    </w:p>
    <w:p w14:paraId="78608F87" w14:textId="77777777" w:rsidR="009D683D" w:rsidRPr="009D683D" w:rsidRDefault="009D683D" w:rsidP="009D683D">
      <w:pPr>
        <w:keepNext/>
        <w:keepLines/>
        <w:numPr>
          <w:ilvl w:val="2"/>
          <w:numId w:val="0"/>
        </w:numPr>
        <w:spacing w:before="40" w:after="0"/>
        <w:ind w:left="720" w:hanging="720"/>
        <w:outlineLvl w:val="2"/>
        <w:rPr>
          <w:rFonts w:ascii="Calibri Light" w:eastAsia="Times New Roman" w:hAnsi="Calibri Light" w:cs="Times New Roman"/>
          <w:sz w:val="24"/>
          <w:szCs w:val="24"/>
        </w:rPr>
      </w:pPr>
      <w:bookmarkStart w:id="54" w:name="_Toc2585815"/>
      <w:r w:rsidRPr="009D683D">
        <w:rPr>
          <w:rFonts w:ascii="Calibri Light" w:eastAsia="Times New Roman" w:hAnsi="Calibri Light" w:cs="Times New Roman"/>
          <w:sz w:val="24"/>
          <w:szCs w:val="24"/>
        </w:rPr>
        <w:t>Immunosuppression</w:t>
      </w:r>
      <w:bookmarkEnd w:id="54"/>
    </w:p>
    <w:p w14:paraId="2B6F349E"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Kidney transplant rejection occurs when a patient’s body recognises that a transplant kidney is not ‘its own’ and subsequently attacks the new kidney. Rejection is more prevalent among Indigenous kidney transplant recipients compared to non-Indigenous recipients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&lt;EndNote&gt;&lt;Cite&gt;&lt;Author&gt;Rogers&lt;/Author&gt;&lt;Year&gt;2006&lt;/Year&gt;&lt;RecNum&gt;72&lt;/RecNum&gt;&lt;DisplayText&gt;(Rogers et al., 2006)&lt;/DisplayText&gt;&lt;record&gt;&lt;rec-number&gt;72&lt;/rec-number&gt;&lt;foreign-keys&gt;&lt;key app="EN" db-id="ews5ve9enfwav7etdtjvztfdrftvwrf9vrsx" timestamp="1543209419"&gt;72&lt;/key&gt;&lt;/foreign-keys&gt;&lt;ref-type name="Journal Article"&gt;17&lt;/ref-type&gt;&lt;contributors&gt;&lt;authors&gt;&lt;author&gt;Rogers, N. M.&lt;/author&gt;&lt;author&gt;Lawton, P. D.&lt;/author&gt;&lt;author&gt;Jose, M. D.&lt;/author&gt;&lt;/authors&gt;&lt;/contributors&gt;&lt;titles&gt;&lt;title&gt;Kidney transplant outcomes in the Indigenous population in the Northern Territory of Australia&lt;/title&gt;&lt;secondary-title&gt;Transplantation&lt;/secondary-title&gt;&lt;/titles&gt;&lt;periodical&gt;&lt;full-title&gt;Transplantation&lt;/full-title&gt;&lt;/periodical&gt;&lt;volume&gt;82&lt;/volume&gt;&lt;dates&gt;&lt;year&gt;2006&lt;/year&gt;&lt;/dates&gt;&lt;label&gt;Rogers2006&lt;/label&gt;&lt;urls&gt;&lt;related-urls&gt;&lt;url&gt;https://doi.org/10.1097/01.tp.0000232439.88527.49&lt;/url&gt;&lt;/related-urls&gt;&lt;/urls&gt;&lt;electronic-resource-num&gt;10.1097/01.tp.0000232439.88527.49&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(Rogers et al., 2006)</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In part, this reflects differences between the donor and recipient populations, which lead to lesser levels of immunological ‘matching’. Immunosuppressive medications comprise an essential component of post-transplant care, allowing the transplantation of a kidney from a genetically non-identical person. The optimal level of immunosuppression in kidney transplant recipients is a delicate balance between the benefit of preventing rejection and the harm of adverse effects. Following transplantation, patients require immunosuppressive medication for the duration of transplant function. Critical to this is intake of multiple different medications several times every day. A key side effect is susceptibility to infection and other complications (particularly cancer). </w:t>
      </w:r>
    </w:p>
    <w:p w14:paraId="64424D90"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Graft and patient survival rates of over 80% at 5 years depending on the donor source (i.e. living or deceased) are reported worldwide, however, international differences have been identified with long-term adjusted graft failure risk significantly higher in the United States compared to Australia, New Zealand and the United Kingdom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&lt;EndNote&gt;&lt;Cite&gt;&lt;Author&gt;Merion&lt;/Author&gt;&lt;Year&gt;2018&lt;/Year&gt;&lt;RecNum&gt;356&lt;/RecNum&gt;&lt;DisplayText&gt;(Merion et al., 2018)&lt;/DisplayText&gt;&lt;record&gt;&lt;rec-number&gt;356&lt;/rec-number&gt;&lt;foreign-keys&gt;&lt;key app="EN" db-id="ews5ve9enfwav7etdtjvztfdrftvwrf9vrsx" timestamp="1546821333"&gt;356&lt;/key&gt;&lt;/foreign-keys&gt;&lt;ref-type name="Journal Article"&gt;17&lt;/ref-type&gt;&lt;contributors&gt;&lt;authors&gt;&lt;author&gt;Merion, R. M.&lt;/author&gt;&lt;author&gt;Goodrich, N. P.&lt;/author&gt;&lt;author&gt;Johnson, R. J.&lt;/author&gt;&lt;author&gt;McDonald, S. P.&lt;/author&gt;&lt;author&gt;Russ, G. R.&lt;/author&gt;&lt;author&gt;Gillespie, B. W.&lt;/author&gt;&lt;author&gt;Collett, D.&lt;/author&gt;&lt;/authors&gt;&lt;/contributors&gt;&lt;auth-address&gt;Arbor Research Collaborative for Health, Ann Arbor, MI, USA.&amp;#xD;University of Michigan, Ann Arbor, MI, USA.&amp;#xD;National Health Service Blood and Transplant, Bristol, UK.&amp;#xD;Australia and New Zealand Dialysis and Transplant Registry, South Australia Health and Medical Research Institute, Adelaide, Australia.&amp;#xD;University of Adelaide, Adelaide, Australia.&lt;/auth-address&gt;&lt;titles&gt;&lt;title&gt;Kidney transplant graft outcomes in 379 257 recipients on 3 continents&lt;/title&gt;&lt;secondary-title&gt;Am J Transplant&lt;/secondary-title&gt;&lt;/titles&gt;&lt;periodical&gt;&lt;full-title&gt;Am J Transplant&lt;/full-title&gt;&lt;/periodical&gt;&lt;pages&gt;1914-1923&lt;/pages&gt;&lt;volume&gt;18&lt;/volume&gt;&lt;number&gt;8&lt;/number&gt;&lt;edition&gt;2018/03/25&lt;/edition&gt;&lt;keywords&gt;&lt;keyword&gt;Scientific Registry of Transplant Recipients (SRTR)&lt;/keyword&gt;&lt;keyword&gt;clinical research/practice&lt;/keyword&gt;&lt;keyword&gt;graft survival&lt;/keyword&gt;&lt;keyword&gt;kidney disease&lt;/keyword&gt;&lt;keyword&gt;kidney transplantation/nephrology&lt;/keyword&gt;&lt;keyword&gt;rejection&lt;/keyword&gt;&lt;/keywords&gt;&lt;dates&gt;&lt;year&gt;2018&lt;/year&gt;&lt;pub-dates&gt;&lt;date&gt;Aug&lt;/date&gt;&lt;/pub-dates&gt;&lt;/dates&gt;&lt;isbn&gt;1600-6143 (Electronic)&amp;#xD;1600-6135 (Linking)&lt;/isbn&gt;&lt;accession-num&gt;29573328&lt;/accession-num&gt;&lt;urls&gt;&lt;related-urls&gt;&lt;url&gt;https://www.ncbi.nlm.nih.gov/pubmed/29573328&lt;/url&gt;&lt;/related-urls&gt;&lt;/urls&gt;&lt;electronic-resource-num&gt;10.1111/ajt.14694&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sz w:val="22"/>
        </w:rPr>
        <w:t>(Merion et al., 2018)</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Despite Australia having one of the best kidney transplant systems in the world, Indigenous recipients typically do not experience the same benefits, with graft survival rates of around 71% at 5 years post-transplant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&lt;EndNote&gt;&lt;Cite&gt;&lt;Author&gt;ANZDATA&lt;/Author&gt;&lt;Year&gt;2017&lt;/Year&gt;&lt;RecNum&gt;325&lt;/RecNum&gt;&lt;DisplayText&gt;(ANZDATA, 2017)&lt;/DisplayText&gt;&lt;record&gt;&lt;rec-number&gt;325&lt;/rec-number&gt;&lt;foreign-keys&gt;&lt;key app="EN" db-id="ews5ve9enfwav7etdtjvztfdrftvwrf9vrsx" timestamp="1545620306"&gt;325&lt;/key&gt;&lt;/foreign-keys&gt;&lt;ref-type name="Government Document"&gt;46&lt;/ref-type&gt;&lt;contributors&gt;&lt;authors&gt;&lt;author&gt;ANZDATA&lt;/author&gt;&lt;/authors&gt;&lt;/contributors&gt;&lt;titles&gt;&lt;title&gt;Chapter 10: ESKD in Indigenous Peoples of Australia and Aotearoa/New Zealand&lt;/title&gt;&lt;/titles&gt;&lt;dates&gt;&lt;year&gt;2017&lt;/year&gt;&lt;/dates&gt;&lt;pub-location&gt;Adelaide, Australia&lt;/pub-location&gt;&lt;publisher&gt;ANZDATA Registry&lt;/publisher&gt;&lt;urls&gt;&lt;related-urls&gt;&lt;url&gt;http://www.anzdata.org.au/anzdata/AnzdataReport/40thReport/c10_indigenous_2016_v1.0_20181008.pdf&lt;/url&gt;&lt;/related-urls&gt;&lt;/urls&gt;&lt;access-date&gt;7 January 2019&lt;/access-date&gt;&lt;/record&gt;&lt;/Cite&gt;&lt;/EndNote&gt;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(ANZDATA, 2018)</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and substantially increased mortality rates, as shown in Figures 8 and 9. </w:t>
      </w:r>
    </w:p>
    <w:p w14:paraId="5EA6880B" w14:textId="77777777" w:rsidR="009D683D" w:rsidRPr="009D683D" w:rsidRDefault="009D683D" w:rsidP="009D683D">
      <w:pPr>
        <w:keepNext/>
        <w:spacing w:after="120" w:line="276" w:lineRule="auto"/>
        <w:jc w:val="both"/>
        <w:rPr>
          <w:rFonts w:ascii="Calibri" w:eastAsia="Calibri" w:hAnsi="Calibri" w:cs="Times New Roman"/>
          <w:sz w:val="22"/>
        </w:rPr>
      </w:pPr>
      <w:r w:rsidRPr="009D683D">
        <w:rPr>
          <w:rFonts w:ascii="Calibri" w:eastAsia="Calibri" w:hAnsi="Calibri" w:cs="Times New Roman"/>
          <w:i/>
          <w:sz w:val="22"/>
        </w:rPr>
        <w:lastRenderedPageBreak/>
        <w:t>Figure 8</w:t>
      </w:r>
      <w:r w:rsidRPr="009D683D">
        <w:rPr>
          <w:rFonts w:ascii="Calibri" w:eastAsia="Calibri" w:hAnsi="Calibri" w:cs="Times New Roman"/>
          <w:sz w:val="22"/>
        </w:rPr>
        <w:t xml:space="preserve">: Primary deceased donor graft patient survival 2008-2017 – Australia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&lt;EndNote&gt;&lt;Cite&gt;&lt;Author&gt;ANZDATA&lt;/Author&gt;&lt;Year&gt;2017&lt;/Year&gt;&lt;RecNum&gt;325&lt;/RecNum&gt;&lt;DisplayText&gt;(ANZDATA, 2017)&lt;/DisplayText&gt;&lt;record&gt;&lt;rec-number&gt;325&lt;/rec-number&gt;&lt;foreign-keys&gt;&lt;key app="EN" db-id="ews5ve9enfwav7etdtjvztfdrftvwrf9vrsx" timestamp="1545620306"&gt;325&lt;/key&gt;&lt;/foreign-keys&gt;&lt;ref-type name="Government Document"&gt;46&lt;/ref-type&gt;&lt;contributors&gt;&lt;authors&gt;&lt;author&gt;ANZDATA&lt;/author&gt;&lt;/authors&gt;&lt;/contributors&gt;&lt;titles&gt;&lt;title&gt;Chapter 10: ESKD in Indigenous Peoples of Australia and Aotearoa/New Zealand&lt;/title&gt;&lt;/titles&gt;&lt;dates&gt;&lt;year&gt;2017&lt;/year&gt;&lt;/dates&gt;&lt;pub-location&gt;Adelaide, Australia&lt;/pub-location&gt;&lt;publisher&gt;ANZDATA Registry&lt;/publisher&gt;&lt;urls&gt;&lt;related-urls&gt;&lt;url&gt;http://www.anzdata.org.au/anzdata/AnzdataReport/40thReport/c10_indigenous_2016_v1.0_20181008.pdf&lt;/url&gt;&lt;/related-urls&gt;&lt;/urls&gt;&lt;access-date&gt;7 January 2019&lt;/access-date&gt;&lt;/record&gt;&lt;/Cite&gt;&lt;/EndNote&gt;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(ANZDATA, 2018)</w:t>
      </w:r>
      <w:r w:rsidRPr="009D683D">
        <w:rPr>
          <w:rFonts w:ascii="Calibri" w:eastAsia="Calibri" w:hAnsi="Calibri" w:cs="Times New Roman"/>
          <w:sz w:val="22"/>
        </w:rPr>
        <w:fldChar w:fldCharType="end"/>
      </w:r>
      <w:r w:rsidRPr="009D683D">
        <w:rPr>
          <w:rFonts w:ascii="Calibri" w:eastAsia="Calibri" w:hAnsi="Calibri" w:cs="Times New Roman"/>
          <w:sz w:val="22"/>
        </w:rPr>
        <w:t>.</w:t>
      </w:r>
    </w:p>
    <w:p w14:paraId="35BDFC11" w14:textId="77777777" w:rsidR="009D683D" w:rsidRPr="009D683D" w:rsidRDefault="009D683D" w:rsidP="009D683D">
      <w:pPr>
        <w:spacing w:line="276" w:lineRule="auto"/>
        <w:jc w:val="center"/>
        <w:rPr>
          <w:rFonts w:ascii="Calibri" w:eastAsia="Calibri" w:hAnsi="Calibri" w:cs="Times New Roman"/>
          <w:sz w:val="22"/>
        </w:rPr>
      </w:pPr>
      <w:r w:rsidRPr="009D683D">
        <w:rPr>
          <w:rFonts w:ascii="Calibri" w:eastAsia="Calibri" w:hAnsi="Calibri" w:cs="Times New Roman"/>
          <w:noProof/>
          <w:sz w:val="22"/>
          <w:lang w:eastAsia="en-AU"/>
        </w:rPr>
        <w:drawing>
          <wp:inline distT="0" distB="0" distL="0" distR="0" wp14:anchorId="7F85B2C0" wp14:editId="47FD4585">
            <wp:extent cx="3877200" cy="2818800"/>
            <wp:effectExtent l="0" t="0" r="9525" b="635"/>
            <wp:docPr id="113" name="Picture 113" descr="Graph showing poorer donor graft patient survival for Indigenous verses non-Indigenous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877200" cy="2818800"/>
                    </a:xfrm>
                    <a:prstGeom prst="rect">
                      <a:avLst/>
                    </a:prstGeom>
                  </pic:spPr>
                </pic:pic>
              </a:graphicData>
            </a:graphic>
          </wp:inline>
        </w:drawing>
      </w:r>
    </w:p>
    <w:p w14:paraId="547BEB7F" w14:textId="77777777" w:rsidR="009D683D" w:rsidRPr="009D683D" w:rsidRDefault="009D683D" w:rsidP="009D683D">
      <w:pPr>
        <w:spacing w:after="120" w:line="276" w:lineRule="auto"/>
        <w:jc w:val="both"/>
        <w:rPr>
          <w:rFonts w:ascii="Calibri" w:eastAsia="Calibri" w:hAnsi="Calibri" w:cs="Times New Roman"/>
          <w:sz w:val="22"/>
        </w:rPr>
      </w:pPr>
      <w:r w:rsidRPr="009D683D">
        <w:rPr>
          <w:rFonts w:ascii="Calibri" w:eastAsia="Calibri" w:hAnsi="Calibri" w:cs="Times New Roman"/>
          <w:i/>
          <w:sz w:val="22"/>
        </w:rPr>
        <w:t>Figure 9</w:t>
      </w:r>
      <w:r w:rsidRPr="009D683D">
        <w:rPr>
          <w:rFonts w:ascii="Calibri" w:eastAsia="Calibri" w:hAnsi="Calibri" w:cs="Times New Roman"/>
          <w:sz w:val="22"/>
        </w:rPr>
        <w:t xml:space="preserve">: Primary deceased donor overall graft survival 2008-2017 – Australia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&lt;EndNote&gt;&lt;Cite&gt;&lt;Author&gt;ANZDATA&lt;/Author&gt;&lt;Year&gt;2017&lt;/Year&gt;&lt;RecNum&gt;325&lt;/RecNum&gt;&lt;DisplayText&gt;(ANZDATA, 2017)&lt;/DisplayText&gt;&lt;record&gt;&lt;rec-number&gt;325&lt;/rec-number&gt;&lt;foreign-keys&gt;&lt;key app="EN" db-id="ews5ve9enfwav7etdtjvztfdrftvwrf9vrsx" timestamp="1545620306"&gt;325&lt;/key&gt;&lt;/foreign-keys&gt;&lt;ref-type name="Government Document"&gt;46&lt;/ref-type&gt;&lt;contributors&gt;&lt;authors&gt;&lt;author&gt;ANZDATA&lt;/author&gt;&lt;/authors&gt;&lt;/contributors&gt;&lt;titles&gt;&lt;title&gt;Chapter 10: ESKD in Indigenous Peoples of Australia and Aotearoa/New Zealand&lt;/title&gt;&lt;/titles&gt;&lt;dates&gt;&lt;year&gt;2017&lt;/year&gt;&lt;/dates&gt;&lt;pub-location&gt;Adelaide, Australia&lt;/pub-location&gt;&lt;publisher&gt;ANZDATA Registry&lt;/publisher&gt;&lt;urls&gt;&lt;related-urls&gt;&lt;url&gt;http://www.anzdata.org.au/anzdata/AnzdataReport/40thReport/c10_indigenous_2016_v1.0_20181008.pdf&lt;/url&gt;&lt;/related-urls&gt;&lt;/urls&gt;&lt;access-date&gt;7 January 2019&lt;/access-date&gt;&lt;/record&gt;&lt;/Cite&gt;&lt;/EndNote&gt;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(ANZDATA, 2018)</w:t>
      </w:r>
      <w:r w:rsidRPr="009D683D">
        <w:rPr>
          <w:rFonts w:ascii="Calibri" w:eastAsia="Calibri" w:hAnsi="Calibri" w:cs="Times New Roman"/>
          <w:sz w:val="22"/>
        </w:rPr>
        <w:fldChar w:fldCharType="end"/>
      </w:r>
      <w:r w:rsidRPr="009D683D">
        <w:rPr>
          <w:rFonts w:ascii="Calibri" w:eastAsia="Calibri" w:hAnsi="Calibri" w:cs="Times New Roman"/>
          <w:sz w:val="22"/>
        </w:rPr>
        <w:t>.</w:t>
      </w:r>
    </w:p>
    <w:p w14:paraId="31064061" w14:textId="77777777" w:rsidR="009D683D" w:rsidRPr="009D683D" w:rsidRDefault="009D683D" w:rsidP="009D683D">
      <w:pPr>
        <w:spacing w:line="276" w:lineRule="auto"/>
        <w:jc w:val="center"/>
        <w:rPr>
          <w:rFonts w:ascii="Calibri" w:eastAsia="Calibri" w:hAnsi="Calibri" w:cs="Times New Roman"/>
          <w:sz w:val="22"/>
        </w:rPr>
      </w:pPr>
      <w:r w:rsidRPr="009D683D">
        <w:rPr>
          <w:rFonts w:ascii="Calibri" w:eastAsia="Calibri" w:hAnsi="Calibri" w:cs="Times New Roman"/>
          <w:noProof/>
          <w:sz w:val="22"/>
          <w:lang w:eastAsia="en-AU"/>
        </w:rPr>
        <w:drawing>
          <wp:inline distT="0" distB="0" distL="0" distR="0" wp14:anchorId="4BABDBAB" wp14:editId="719533CE">
            <wp:extent cx="3877200" cy="2818800"/>
            <wp:effectExtent l="0" t="0" r="9525" b="635"/>
            <wp:docPr id="114" name="Picture 114" descr="Graph showing poorer deceased donor graft patient survival for Indigenous verses non-Indigenous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877200" cy="2818800"/>
                    </a:xfrm>
                    <a:prstGeom prst="rect">
                      <a:avLst/>
                    </a:prstGeom>
                  </pic:spPr>
                </pic:pic>
              </a:graphicData>
            </a:graphic>
          </wp:inline>
        </w:drawing>
      </w:r>
    </w:p>
    <w:p w14:paraId="57E08987"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Indigenous recipients’ increased rate of rejection is commonly attributed to greater human leukocyte antigen (HLA) mismatching, greater sensitisation and longer waiting time from the start of dialysis treatment. The leading cause of death among Indigenous kidney transplant recipients is infection </w:t>
      </w:r>
      <w:r w:rsidRPr="009D683D">
        <w:rPr>
          <w:rFonts w:ascii="Calibri" w:eastAsia="Calibri" w:hAnsi="Calibri" w:cs="Times New Roman"/>
          <w:sz w:val="22"/>
        </w:rPr>
        <w:fldChar w:fldCharType="begin">
          <w:fldData xml:space="preserve">PEVuZE5vdGU+PENpdGU+PEF1dGhvcj5Cb2FuPC9BdXRob3I+PFllYXI+MjAxNzwvWWVhcj48UmVj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PEVuZE5vdGU+PENpdGU+PEF1dGhvcj5Cb2FuPC9BdXRob3I+PFllYXI+MjAxNzwvWWVhcj48UmVj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sz w:val="22"/>
        </w:rPr>
        <w:t>(Boan et al., 2017)</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Identifying the right level of immunosuppression to prevent rejection is a major challenge when treating Indigenous patients, especially those who return to environments with high exposure to and underlying prevalence of infections </w:t>
      </w:r>
      <w:r w:rsidRPr="009D683D">
        <w:rPr>
          <w:rFonts w:ascii="Calibri" w:eastAsia="Calibri" w:hAnsi="Calibri" w:cs="Times New Roman"/>
          <w:sz w:val="22"/>
        </w:rPr>
        <w:fldChar w:fldCharType="begin">
          <w:fldData xml:space="preserve">PEVuZE5vdGU+PENpdGU+PEF1dGhvcj5NYWpvbmk8L0F1dGhvcj48WWVhcj4yMDEyPC9ZZWFyPjxS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PEVuZE5vdGU+PENpdGU+PEF1dGhvcj5NYWpvbmk8L0F1dGhvcj48WWVhcj4yMDEyPC9ZZWFyPjxS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(Majoni, Dole, Jabbar, Sundram, &amp; Perry, 2012)</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Even with optimal immunosuppression-strategies, maintaining immunosuppression levels is reliant on patient adherence to the medication regimen. </w:t>
      </w:r>
    </w:p>
    <w:p w14:paraId="5C08D409" w14:textId="77777777"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 xml:space="preserve">Barriers to medication adherence </w:t>
      </w:r>
    </w:p>
    <w:p w14:paraId="59BB4EDC" w14:textId="77777777" w:rsidR="009D683D" w:rsidRPr="009D683D" w:rsidRDefault="009D683D" w:rsidP="009D683D">
      <w:pPr>
        <w:spacing w:line="276" w:lineRule="auto"/>
        <w:jc w:val="both"/>
        <w:textAlignment w:val="baseline"/>
        <w:rPr>
          <w:rFonts w:ascii="Calibri" w:eastAsia="Calibri" w:hAnsi="Calibri" w:cs="Times New Roman"/>
          <w:sz w:val="22"/>
        </w:rPr>
      </w:pPr>
      <w:r w:rsidRPr="009D683D">
        <w:rPr>
          <w:rFonts w:ascii="Calibri" w:eastAsia="Calibri" w:hAnsi="Calibri" w:cs="Times New Roman"/>
          <w:sz w:val="22"/>
        </w:rPr>
        <w:t xml:space="preserve">Medication adherence can be defined as the extent to which people follow the instructions they are given for prescribed treatments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&lt;EndNote&gt;&lt;Cite&gt;&lt;Author&gt;Haynes&lt;/Author&gt;&lt;Year&gt;2008&lt;/Year&gt;&lt;RecNum&gt;1&lt;/RecNum&gt;&lt;DisplayText&gt;(Haynes, Ackloo, Sahota, McDonald, &amp;amp; Yao, 2008)&lt;/DisplayText&gt;&lt;record&gt;&lt;rec-number&gt;1&lt;/rec-number&gt;&lt;foreign-keys&gt;&lt;key app="EN" db-id="ews5ve9enfwav7etdtjvztfdrftvwrf9vrsx" timestamp="1543203668"&gt;1&lt;/key&gt;&lt;/foreign-keys&gt;&lt;ref-type name="Journal Article"&gt;17&lt;/ref-type&gt;&lt;contributors&gt;&lt;authors&gt;&lt;author&gt;Haynes, R. B.&lt;/author&gt;&lt;author&gt;Ackloo, E.&lt;/author&gt;&lt;author&gt;Sahota, N.&lt;/author&gt;&lt;author&gt;McDonald, H. P.&lt;/author&gt;&lt;author&gt;Yao, X.&lt;/author&gt;&lt;/authors&gt;&lt;/contributors&gt;&lt;titles&gt;&lt;title&gt;Interventions for enhancing medication adherence&lt;/title&gt;&lt;secondary-title&gt;Cochrane Database of Systematic Reviews&lt;/secondary-title&gt;&lt;/titles&gt;&lt;periodical&gt;&lt;full-title&gt;Cochrane Database of Systematic Reviews&lt;/full-title&gt;&lt;/periodical&gt;&lt;number&gt;2&lt;/number&gt;&lt;keywords&gt;&lt;keyword&gt;*Drug Therapy&lt;/keyword&gt;&lt;keyword&gt;*Medication Adherence&lt;/keyword&gt;&lt;keyword&gt;Humans&lt;/keyword&gt;&lt;keyword&gt;Patient Education as Topic&lt;/keyword&gt;&lt;keyword&gt;Publication Bias&lt;/keyword&gt;&lt;keyword&gt;Randomized Controlled Trials as Topic&lt;/keyword&gt;&lt;keyword&gt;Self Administration&lt;/keyword&gt;&lt;/keywords&gt;&lt;dates&gt;&lt;year&gt;2008&lt;/year&gt;&lt;/dates&gt;&lt;publisher&gt;John Wiley &amp;amp; Sons, Ltd&lt;/publisher&gt;&lt;isbn&gt;1465-1858&lt;/isbn&gt;&lt;accession-num&gt;CD000011&lt;/accession-num&gt;&lt;urls&gt;&lt;related-urls&gt;&lt;url&gt;https://doi.org//10.1002/14651858.CD000011.pub3&lt;/url&gt;&lt;/related-urls&gt;&lt;/urls&gt;&lt;electronic-resource-num&gt;10.1002/14651858.CD000011.pub3&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(Haynes, Ackloo, Sahota, McDonald, &amp; Yao, 2008)</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Nonadherence to medication may be either an intentional decision (i.e. missing or altering doses without consulting </w:t>
      </w:r>
      <w:r w:rsidRPr="009D683D">
        <w:rPr>
          <w:rFonts w:ascii="Calibri" w:eastAsia="Calibri" w:hAnsi="Calibri" w:cs="Times New Roman"/>
          <w:sz w:val="22"/>
        </w:rPr>
        <w:lastRenderedPageBreak/>
        <w:t xml:space="preserve">healthcare professionals) or unintentional interruption to a patient’s routine (i.e. forgetting to take medications) </w:t>
      </w:r>
      <w:r w:rsidRPr="009D683D">
        <w:rPr>
          <w:rFonts w:ascii="Calibri" w:eastAsia="Calibri" w:hAnsi="Calibri" w:cs="Times New Roman"/>
          <w:sz w:val="22"/>
        </w:rPr>
        <w:fldChar w:fldCharType="begin">
          <w:fldData xml:space="preserve">PEVuZE5vdGU+PENpdGU+PEF1dGhvcj5Kb2huc29uPC9BdXRob3I+PFllYXI+MjAwMjwvWWVhcj48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PEVuZE5vdGU+PENpdGU+PEF1dGhvcj5Kb2huc29uPC9BdXRob3I+PFllYXI+MjAwMjwvWWVhcj48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(M. J. Johnson, 2002)</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As categorized by the World Health Organization, five main risk factors can influence adherent behaviour: socioeconomic factors (i.e. financial difficulty, lack of transportation), health care organisational barriers (i.e. staff rotation, limited time allocated to each patient), disease-related factors (i.e. the presence of chronic disease), therapy-related factors (i.e. the presence of debilitating side effects, complex dosing regimens) and patient-related factors (i.e. communication barriers, busy work schedules, health beliefs and attitudes)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&lt;EndNote&gt;&lt;Cite&gt;&lt;Author&gt;De Geest&lt;/Author&gt;&lt;Year&gt;2003&lt;/Year&gt;&lt;RecNum&gt;3&lt;/RecNum&gt;&lt;DisplayText&gt;(De Geest &amp;amp; Sabate, 2003)&lt;/DisplayText&gt;&lt;record&gt;&lt;rec-number&gt;3&lt;/rec-number&gt;&lt;foreign-keys&gt;&lt;key app="EN" db-id="ews5ve9enfwav7etdtjvztfdrftvwrf9vrsx" timestamp="1543203782"&gt;3&lt;/key&gt;&lt;/foreign-keys&gt;&lt;ref-type name="Journal Article"&gt;17&lt;/ref-type&gt;&lt;contributors&gt;&lt;authors&gt;&lt;author&gt;De Geest, S.&lt;/author&gt;&lt;author&gt;Sabate, E.&lt;/author&gt;&lt;/authors&gt;&lt;/contributors&gt;&lt;titles&gt;&lt;title&gt;Adherence to long-term therapies: evidence for action&lt;/title&gt;&lt;secondary-title&gt;Eur J Cardiovasc Nurs&lt;/secondary-title&gt;&lt;/titles&gt;&lt;periodical&gt;&lt;full-title&gt;Eur J Cardiovasc Nurs&lt;/full-title&gt;&lt;/periodical&gt;&lt;pages&gt;323&lt;/pages&gt;&lt;volume&gt;2&lt;/volume&gt;&lt;number&gt;4&lt;/number&gt;&lt;edition&gt;2003/12/12&lt;/edition&gt;&lt;keywords&gt;&lt;keyword&gt;Humans&lt;/keyword&gt;&lt;keyword&gt;*Long-Term Care&lt;/keyword&gt;&lt;keyword&gt;Nurse&amp;apos;s Role&lt;/keyword&gt;&lt;keyword&gt;*Patient Compliance&lt;/keyword&gt;&lt;/keywords&gt;&lt;dates&gt;&lt;year&gt;2003&lt;/year&gt;&lt;pub-dates&gt;&lt;date&gt;Dec&lt;/date&gt;&lt;/pub-dates&gt;&lt;/dates&gt;&lt;publisher&gt;SAGE Publications&lt;/publisher&gt;&lt;isbn&gt;1474-5151 (Print)&amp;#xD;1474-5151 (Linking)&lt;/isbn&gt;&lt;accession-num&gt;14667488&lt;/accession-num&gt;&lt;urls&gt;&lt;related-urls&gt;&lt;url&gt;https://www.ncbi.nlm.nih.gov/pubmed/14667488&lt;/url&gt;&lt;/related-urls&gt;&lt;/urls&gt;&lt;electronic-resource-num&gt;10.1016/S1474-5151(03)00091-4&lt;/electronic-resource-num&gt;&lt;access-date&gt;2018/11/25&lt;/access-date&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(De Geest &amp; Sabate, 2003)</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t>
      </w:r>
    </w:p>
    <w:p w14:paraId="01CD35DA" w14:textId="77777777" w:rsidR="009D683D" w:rsidRPr="009D683D" w:rsidRDefault="009D683D" w:rsidP="009D683D">
      <w:pPr>
        <w:spacing w:line="276" w:lineRule="auto"/>
        <w:jc w:val="both"/>
        <w:textAlignment w:val="baseline"/>
        <w:rPr>
          <w:rFonts w:ascii="&amp;quot" w:eastAsia="Times New Roman" w:hAnsi="&amp;quot" w:cs="Times New Roman"/>
          <w:sz w:val="21"/>
          <w:szCs w:val="21"/>
          <w:lang w:eastAsia="en-AU"/>
        </w:rPr>
      </w:pPr>
      <w:r w:rsidRPr="009D683D">
        <w:rPr>
          <w:rFonts w:ascii="Calibri" w:eastAsia="Calibri" w:hAnsi="Calibri" w:cs="Times New Roman"/>
          <w:sz w:val="22"/>
        </w:rPr>
        <w:t xml:space="preserve">Pinsky et al. (2009) undertook a retrospective cohort study of data from the United States Renal Data System to investigate the impact of nonadherence on kidney transplant outcomes using a medication possession ratio (MPR) for maintenance immunosuppression drugs. MPR is defined as the number of days medication is supplied over a 1-year time interval; for example, if a patient receives a 30-day supply of immunosuppression, but consistently refills their medication after 35 days, they would have had medication for 320 days out of 360, equating to an MPR of 89%.  This study found that kidney transplant recipients with low overall adherence in taking prescribed immunosuppressive medications (defined by fair or poor MPR rankings in the first, second and third year post-transplant) had a 60% increased risk of graft failure </w:t>
      </w:r>
      <w:r w:rsidRPr="009D683D">
        <w:rPr>
          <w:rFonts w:ascii="Calibri" w:eastAsia="Calibri" w:hAnsi="Calibri" w:cs="Times New Roman"/>
          <w:sz w:val="22"/>
        </w:rPr>
        <w:fldChar w:fldCharType="begin">
          <w:fldData xml:space="preserve">PEVuZE5vdGU+PENpdGU+PEF1dGhvcj5QaW5za3k8L0F1dGhvcj48WWVhcj4yMDA5PC9ZZWFyPjxS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PEVuZE5vdGU+PENpdGU+PEF1dGhvcj5QaW5za3k8L0F1dGhvcj48WWVhcj4yMDA5PC9ZZWFyPjxS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(Pinsky et al., 2009)</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Despite this, nonadherence remains prevalent, with about 22% to 28% of kidney transplant recipients demonstrating poor immunosuppression adherence </w:t>
      </w:r>
      <w:r w:rsidRPr="009D683D">
        <w:rPr>
          <w:rFonts w:ascii="Calibri" w:eastAsia="Calibri" w:hAnsi="Calibri" w:cs="Times New Roman"/>
          <w:sz w:val="22"/>
        </w:rPr>
        <w:fldChar w:fldCharType="begin">
          <w:fldData xml:space="preserve">PEVuZE5vdGU+PENpdGU+PEF1dGhvcj5CdXRsZXI8L0F1dGhvcj48WWVhcj4yMDA0PC9ZZWFyPjxS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PEVuZE5vdGU+PENpdGU+PEF1dGhvcj5CdXRsZXI8L0F1dGhvcj48WWVhcj4yMDA0PC9ZZWFyPjxS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(Butler, Roderick, Mullee, Mason, &amp; Peveler, 2004; Denhaerynck et al., 2005)</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A consistent predictor of </w:t>
      </w:r>
      <w:bookmarkStart w:id="55" w:name="_Hlk532977091"/>
      <w:r w:rsidRPr="009D683D">
        <w:rPr>
          <w:rFonts w:ascii="Calibri" w:eastAsia="Calibri" w:hAnsi="Calibri" w:cs="Times New Roman"/>
          <w:sz w:val="22"/>
        </w:rPr>
        <w:t>nonadherence is adolescence, particularly those of an older age and more years post-transplantation</w:t>
      </w:r>
      <w:bookmarkEnd w:id="55"/>
      <w:r w:rsidRPr="009D683D">
        <w:rPr>
          <w:rFonts w:ascii="Calibri" w:eastAsia="Calibri" w:hAnsi="Calibri" w:cs="Times New Roman"/>
          <w:sz w:val="22"/>
        </w:rPr>
        <w:t xml:space="preserve">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&lt;EndNote&gt;&lt;Cite&gt;&lt;Author&gt;Berquist&lt;/Author&gt;&lt;Year&gt;2008&lt;/Year&gt;&lt;RecNum&gt;294&lt;/RecNum&gt;&lt;DisplayText&gt;(Berquist et al., 2008)&lt;/DisplayText&gt;&lt;record&gt;&lt;rec-number&gt;294&lt;/rec-number&gt;&lt;foreign-keys&gt;&lt;key app="EN" db-id="ews5ve9enfwav7etdtjvztfdrftvwrf9vrsx" timestamp="1545175182"&gt;294&lt;/key&gt;&lt;/foreign-keys&gt;&lt;ref-type name="Journal Article"&gt;17&lt;/ref-type&gt;&lt;contributors&gt;&lt;authors&gt;&lt;author&gt;Berquist, Rebecca K.&lt;/author&gt;&lt;author&gt;Berquist, William E.&lt;/author&gt;&lt;author&gt;Esquivel, Carlos O.&lt;/author&gt;&lt;author&gt;Cox, Kenneth L.&lt;/author&gt;&lt;author&gt;Wayman, Karen I.&lt;/author&gt;&lt;author&gt;Litt, Iris F.&lt;/author&gt;&lt;/authors&gt;&lt;/contributors&gt;&lt;titles&gt;&lt;title&gt;Non-adherence to post-transplant care: Prevalence, risk factors and outcomes in adolescent liver transplant recipients&lt;/title&gt;&lt;secondary-title&gt;Pediatric Transplantation&lt;/secondary-title&gt;&lt;/titles&gt;&lt;periodical&gt;&lt;full-title&gt;Pediatric Transplantation&lt;/full-title&gt;&lt;/periodical&gt;&lt;pages&gt;194-200&lt;/pages&gt;&lt;volume&gt;12&lt;/volume&gt;&lt;number&gt;2&lt;/number&gt;&lt;dates&gt;&lt;year&gt;2008&lt;/year&gt;&lt;/dates&gt;&lt;urls&gt;&lt;related-urls&gt;&lt;url&gt;https://onlinelibrary.wiley.com/doi/abs/10.1111/j.1399-3046.2007.00809.x&lt;/url&gt;&lt;/related-urls&gt;&lt;/urls&gt;&lt;electronic-resource-num&gt;10.1111/j.1399-3046.2007.00809.x&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(Berquist et al., 2008)</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Other risk factors include: inadequate regimen knowledge, poor mental health and health-related quality of life, low social support, substance abuse, barriers to medication adherence and poor physician-patient relationship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&lt;EndNote&gt;&lt;Cite&gt;&lt;Author&gt;Fredericks&lt;/Author&gt;&lt;Year&gt;2010&lt;/Year&gt;&lt;RecNum&gt;293&lt;/RecNum&gt;&lt;DisplayText&gt;(Fredericks &amp;amp; Dore-Stites, 2010)&lt;/DisplayText&gt;&lt;record&gt;&lt;rec-number&gt;293&lt;/rec-number&gt;&lt;foreign-keys&gt;&lt;key app="EN" db-id="ews5ve9enfwav7etdtjvztfdrftvwrf9vrsx" timestamp="1545175112"&gt;293&lt;/key&gt;&lt;/foreign-keys&gt;&lt;ref-type name="Journal Article"&gt;17&lt;/ref-type&gt;&lt;contributors&gt;&lt;authors&gt;&lt;author&gt;Fredericks, Emily M.&lt;/author&gt;&lt;author&gt;Dore-Stites, Dawn&lt;/author&gt;&lt;/authors&gt;&lt;/contributors&gt;&lt;titles&gt;&lt;title&gt;Adherence to immunosuppressants: how can it be improved in adolescent organ transplant recipients?&lt;/title&gt;&lt;secondary-title&gt;Current opinion in organ transplantation&lt;/secondary-title&gt;&lt;/titles&gt;&lt;periodical&gt;&lt;full-title&gt;Current opinion in organ transplantation&lt;/full-title&gt;&lt;/periodical&gt;&lt;pages&gt;614-620&lt;/pages&gt;&lt;volume&gt;15&lt;/volume&gt;&lt;number&gt;5&lt;/number&gt;&lt;dates&gt;&lt;year&gt;2010&lt;/year&gt;&lt;/dates&gt;&lt;isbn&gt;1531-7013&amp;#xD;1087-2418&lt;/isbn&gt;&lt;accession-num&gt;20651598&lt;/accession-num&gt;&lt;urls&gt;&lt;related-urls&gt;&lt;url&gt;https://www.ncbi.nlm.nih.gov/pubmed/20651598&lt;/url&gt;&lt;url&gt;https://www.ncbi.nlm.nih.gov/pmc/PMC3092530/&lt;/url&gt;&lt;/related-urls&gt;&lt;/urls&gt;&lt;electronic-resource-num&gt;10.1097/MOT.0b013e32833d3115&lt;/electronic-resource-num&gt;&lt;remote-database-name&gt;PubMed&lt;/remote-database-name&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(Fredericks &amp; Dore-Stites, 2010)</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t>
      </w:r>
    </w:p>
    <w:p w14:paraId="38979D33"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Many Indigenous Australians share contextual factors that may detrimentally affect their engagement with the health system and their response to the significant personal demands imposed by post-transplant maintenance. As a group, Indigenous Australians have higher levels of socioeconomic disadvantage, lower educational attainment and poorer health literacy </w:t>
      </w:r>
      <w:r w:rsidRPr="009D683D">
        <w:rPr>
          <w:rFonts w:ascii="Calibri" w:eastAsia="Calibri" w:hAnsi="Calibri" w:cs="Times New Roman"/>
          <w:sz w:val="22"/>
        </w:rPr>
        <w:fldChar w:fldCharType="begin">
          <w:fldData xml:space="preserve">PEVuZE5vdGU+PENpdGU+PEF1dGhvcj5BbmRlcnNvbjwvQXV0aG9yPjxZZWFyPjIwMTI8L1llYXI+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PEVuZE5vdGU+PENpdGU+PEF1dGhvcj5BbmRlcnNvbjwvQXV0aG9yPjxZZWFyPjIwMTI8L1llYXI+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(Anderson, Devitt, et al., 2012)</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A significant proportion of Indigenous transplant patients also experience isolation and reduced engagement in treatment management, particularly those who return to rural and remote communities following transplantation </w:t>
      </w:r>
      <w:r w:rsidRPr="009D683D">
        <w:rPr>
          <w:rFonts w:ascii="Calibri" w:eastAsia="Calibri" w:hAnsi="Calibri" w:cs="Times New Roman"/>
          <w:sz w:val="22"/>
        </w:rPr>
        <w:fldChar w:fldCharType="begin">
          <w:fldData xml:space="preserve">PEVuZE5vdGU+PENpdGU+PEF1dGhvcj5BbmRlcnNvbjwvQXV0aG9yPjxZZWFyPjIwMTI8L1llYXI+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PEVuZE5vdGU+PENpdGU+PEF1dGhvcj5BbmRlcnNvbjwvQXV0aG9yPjxZZWFyPjIwMTI8L1llYXI+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(Anderson, Devitt, et al., 2012)</w:t>
      </w:r>
      <w:r w:rsidRPr="009D683D">
        <w:rPr>
          <w:rFonts w:ascii="Calibri" w:eastAsia="Calibri" w:hAnsi="Calibri" w:cs="Times New Roman"/>
          <w:sz w:val="22"/>
        </w:rPr>
        <w:fldChar w:fldCharType="end"/>
      </w:r>
      <w:r w:rsidRPr="009D683D">
        <w:rPr>
          <w:rFonts w:ascii="Calibri" w:eastAsia="Calibri" w:hAnsi="Calibri" w:cs="Times New Roman"/>
          <w:sz w:val="22"/>
        </w:rPr>
        <w:t>. However, the majority of data on adherence rates are based on anecdotal evidence. For example, Anderson, Devitt, et al. (2012) interviewed 19 Australian nephrologists to investigate how adherence affects specialists’ decision-making with regard to referral for transplant. The findings indicated that while nephrologists perceived Indigenous patients as being ‘risky’ due to dialysis nonadherence, conflated by social and cultural factors, adherence was not systematically measured making it impossible to substantiate these claims. Additionally, very few studies have employed standard measures such as electronic monitoring and medication dispensing data to examine the association between adherence and clinical outcomes for Indigenous Australians.</w:t>
      </w:r>
    </w:p>
    <w:p w14:paraId="2B767F6E"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While no research to date has specifically explored medication adherence among Indigenous kidney transplant recipients, a meta-analysis of rates and risk factors for nonadherence to immunosuppression after adult solid organ transplantation found that demographic factors (i.e. sex, age and ethnicity) showed little correlation with adherence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&lt;EndNote&gt;&lt;Cite&gt;&lt;Author&gt;Dew&lt;/Author&gt;&lt;Year&gt;2007&lt;/Year&gt;&lt;RecNum&gt;299&lt;/RecNum&gt;&lt;DisplayText&gt;(Dew et al., 2007)&lt;/DisplayText&gt;&lt;record&gt;&lt;rec-number&gt;299&lt;/rec-number&gt;&lt;foreign-keys&gt;&lt;key app="EN" db-id="ews5ve9enfwav7etdtjvztfdrftvwrf9vrsx" timestamp="1545182136"&gt;299&lt;/key&gt;&lt;/foreign-keys&gt;&lt;ref-type name="Journal Article"&gt;17&lt;/ref-type&gt;&lt;contributors&gt;&lt;authors&gt;&lt;author&gt;Dew, M. A.&lt;/author&gt;&lt;author&gt;DiMartini, A. F.&lt;/author&gt;&lt;author&gt;De Vito Dabbs, A.&lt;/author&gt;&lt;author&gt;Myaskovsky, L.&lt;/author&gt;&lt;author&gt;Steel, J.&lt;/author&gt;&lt;author&gt;Unruh, M.&lt;/author&gt;&lt;author&gt;Switzer, G. E.&lt;/author&gt;&lt;author&gt;Zomak, R.&lt;/author&gt;&lt;author&gt;Kormos, R. L.&lt;/author&gt;&lt;author&gt;Greenhouse, J. B.&lt;/author&gt;&lt;/authors&gt;&lt;/contributors&gt;&lt;auth-address&gt;1 Department of Psychiatry, University of Pittsburgh, Pittsburgh, PA 15213, USA. dewma@upmc.edu&lt;/auth-address&gt;&lt;titles&gt;&lt;title&gt;Rates and risk factors for nonadherence to the medical regimen after adult solid organ transplantation&lt;/title&gt;&lt;secondary-title&gt;Transplantation&lt;/secondary-title&gt;&lt;alt-title&gt;Transplantation&lt;/alt-title&gt;&lt;/titles&gt;&lt;periodical&gt;&lt;full-title&gt;Transplantation&lt;/full-title&gt;&lt;/periodical&gt;&lt;alt-periodical&gt;&lt;full-title&gt;Transplantation&lt;/full-title&gt;&lt;/alt-periodical&gt;&lt;pages&gt;858-73&lt;/pages&gt;&lt;volume&gt;83&lt;/volume&gt;&lt;number&gt;7&lt;/number&gt;&lt;edition&gt;2007/04/27&lt;/edition&gt;&lt;keywords&gt;&lt;keyword&gt;Adult&lt;/keyword&gt;&lt;keyword&gt;Humans&lt;/keyword&gt;&lt;keyword&gt;*Organ Transplantation&lt;/keyword&gt;&lt;keyword&gt;Patient Compliance/*statistics &amp;amp; numerical data&lt;/keyword&gt;&lt;keyword&gt;Patient Selection&lt;/keyword&gt;&lt;keyword&gt;Retrospective Studies&lt;/keyword&gt;&lt;keyword&gt;Risk Factors&lt;/keyword&gt;&lt;keyword&gt;Treatment Outcome&lt;/keyword&gt;&lt;keyword&gt;Treatment Refusal/statistics &amp;amp; numerical data&lt;/keyword&gt;&lt;/keywords&gt;&lt;dates&gt;&lt;year&gt;2007&lt;/year&gt;&lt;pub-dates&gt;&lt;date&gt;Apr 15&lt;/date&gt;&lt;/pub-dates&gt;&lt;/dates&gt;&lt;isbn&gt;0041-1337 (Print)&amp;#xD;0041-1337 (Linking)&lt;/isbn&gt;&lt;accession-num&gt;17460556&lt;/accession-num&gt;&lt;urls&gt;&lt;related-urls&gt;&lt;url&gt;https://www.ncbi.nlm.nih.gov/pubmed/17460556&lt;/url&gt;&lt;/related-urls&gt;&lt;/urls&gt;&lt;electronic-resource-num&gt;10.1097/01.tp.0000258599.65257.a6&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(Dew et al., 2007)</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This is consistent with the findings of a systematic review of chronic condition management adherence in Indigenous Australians, which found no evidence that Indigenous patients’ medication adherence is lower than </w:t>
      </w:r>
      <w:r w:rsidRPr="009D683D">
        <w:rPr>
          <w:rFonts w:ascii="Calibri" w:eastAsia="Calibri" w:hAnsi="Calibri" w:cs="Times New Roman"/>
          <w:sz w:val="22"/>
        </w:rPr>
        <w:lastRenderedPageBreak/>
        <w:t>for the general po</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 ExcludeAuth="1" ExcludeYear="1" Hidden="1"&gt;&lt;Author&gt;Dew&lt;/Author&gt;&lt;Year&gt;2007&lt;/Year&gt;&lt;RecNum&gt;299&lt;/RecNum&gt;&lt;record&gt;&lt;rec-number&gt;299&lt;/rec-number&gt;&lt;foreign-keys&gt;&lt;key app="EN" db-id="ews5ve9enfwav7etdtjvztfdrftvwrf9vrsx" timestamp="1545182136"&gt;299&lt;/key&gt;&lt;/foreign-keys&gt;&lt;ref-type name="Journal Article"&gt;17&lt;/ref-type&gt;&lt;contributors&gt;&lt;authors&gt;&lt;author&gt;Dew, M. A.&lt;/author&gt;&lt;author&gt;DiMartini, A. F.&lt;/author&gt;&lt;author&gt;De Vito Dabbs, A.&lt;/author&gt;&lt;author&gt;Myaskovsky, L.&lt;/author&gt;&lt;author&gt;Steel, J.&lt;/author&gt;&lt;author&gt;Unruh, M.&lt;/author&gt;&lt;author&gt;Switzer, G. E.&lt;/author&gt;&lt;author&gt;Zomak, R.&lt;/author&gt;&lt;author&gt;Kormos, R. L.&lt;/author&gt;&lt;author&gt;Greenhouse, J. B.&lt;/author&gt;&lt;/authors&gt;&lt;/contributors&gt;&lt;auth-address&gt;1 Department of Psychiatry, University of Pittsburgh, Pittsburgh, PA 15213, USA. dewma@upmc.edu&lt;/auth-address&gt;&lt;titles&gt;&lt;title&gt;Rates and risk factors for nonadherence to the medical regimen after adult solid organ transplantation&lt;/title&gt;&lt;secondary-title&gt;Transplantation&lt;/secondary-title&gt;&lt;alt-title&gt;Transplantation&lt;/alt-title&gt;&lt;/titles&gt;&lt;periodical&gt;&lt;full-title&gt;Transplantation&lt;/full-title&gt;&lt;/periodical&gt;&lt;alt-periodical&gt;&lt;full-title&gt;Transplantation&lt;/full-title&gt;&lt;/alt-periodical&gt;&lt;pages&gt;858-73&lt;/pages&gt;&lt;volume&gt;83&lt;/volume&gt;&lt;number&gt;7&lt;/number&gt;&lt;edition&gt;2007/04/27&lt;/edition&gt;&lt;keywords&gt;&lt;keyword&gt;Adult&lt;/keyword&gt;&lt;keyword&gt;Humans&lt;/keyword&gt;&lt;keyword&gt;*Organ Transplantation&lt;/keyword&gt;&lt;keyword&gt;Patient Compliance/*statistics &amp;amp; numerical data&lt;/keyword&gt;&lt;keyword&gt;Patient Selection&lt;/keyword&gt;&lt;keyword&gt;Retrospective Studies&lt;/keyword&gt;&lt;keyword&gt;Risk Factors&lt;/keyword&gt;&lt;keyword&gt;Treatment Outcome&lt;/keyword&gt;&lt;keyword&gt;Treatment Refusal/statistics &amp;amp; numerical data&lt;/keyword&gt;&lt;/keywords&gt;&lt;dates&gt;&lt;year&gt;2007&lt;/year&gt;&lt;pub-dates&gt;&lt;date&gt;Apr 15&lt;/date&gt;&lt;/pub-dates&gt;&lt;/dates&gt;&lt;isbn&gt;0041-1337 (Print)&amp;#xD;0041-1337 (Linking)&lt;/isbn&gt;&lt;accession-num&gt;17460556&lt;/accession-num&gt;&lt;urls&gt;&lt;related-urls&gt;&lt;url&gt;https://www.ncbi.nlm.nih.gov/pubmed/17460556&lt;/url&gt;&lt;/related-urls&gt;&lt;/urls&gt;&lt;electronic-resource-num&gt;10.1097/01.tp.0000258599.65257.a6&lt;/electronic-resource-num&gt;&lt;/record&gt;&lt;/Cite&gt;&lt;/EndNote&gt;</w:instrText>
      </w:r>
      <w:r w:rsidRPr="009D683D">
        <w:rPr>
          <w:rFonts w:ascii="Calibri" w:eastAsia="Calibri" w:hAnsi="Calibri" w:cs="Times New Roman"/>
          <w:sz w:val="22"/>
        </w:rPr>
        <w:fldChar w:fldCharType="end"/>
      </w:r>
      <w:r w:rsidRPr="009D683D">
        <w:rPr>
          <w:rFonts w:ascii="Calibri" w:eastAsia="Calibri" w:hAnsi="Calibri" w:cs="Times New Roman"/>
          <w:sz w:val="22"/>
        </w:rPr>
        <w:t xml:space="preserve">pulation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&lt;EndNote&gt;&lt;Cite&gt;&lt;Author&gt;de Dassel&lt;/Author&gt;&lt;Year&gt;2017&lt;/Year&gt;&lt;RecNum&gt;33&lt;/RecNum&gt;&lt;DisplayText&gt;(de Dassel, Ralph, &amp;amp; Cass, 2017)&lt;/DisplayText&gt;&lt;record&gt;&lt;rec-number&gt;33&lt;/rec-number&gt;&lt;foreign-keys&gt;&lt;key app="EN" db-id="ews5ve9enfwav7etdtjvztfdrftvwrf9vrsx" timestamp="1543203981"&gt;33&lt;/key&gt;&lt;/foreign-keys&gt;&lt;ref-type name="Journal Article"&gt;17&lt;/ref-type&gt;&lt;contributors&gt;&lt;authors&gt;&lt;author&gt;de Dassel, Jessica Langloh&lt;/author&gt;&lt;author&gt;Ralph, Anna P.&lt;/author&gt;&lt;author&gt;Cass, Alan&lt;/author&gt;&lt;/authors&gt;&lt;/contributors&gt;&lt;titles&gt;&lt;title&gt;A systematic review of adherence in Indigenous Australians: an opportunity to improve chronic condition management&lt;/title&gt;&lt;secondary-title&gt;BMC Health Services Research&lt;/secondary-title&gt;&lt;/titles&gt;&lt;periodical&gt;&lt;full-title&gt;BMC Health Services Research&lt;/full-title&gt;&lt;/periodical&gt;&lt;pages&gt;845&lt;/pages&gt;&lt;volume&gt;17&lt;/volume&gt;&lt;number&gt;1&lt;/number&gt;&lt;dates&gt;&lt;year&gt;2017&lt;/year&gt;&lt;pub-dates&gt;&lt;date&gt;December 27&lt;/date&gt;&lt;/pub-dates&gt;&lt;/dates&gt;&lt;isbn&gt;1472-6963&lt;/isbn&gt;&lt;label&gt;de Dassel2017&lt;/label&gt;&lt;work-type&gt;journal article&lt;/work-type&gt;&lt;urls&gt;&lt;related-urls&gt;&lt;url&gt;https://doi.org/10.1186/s12913-017-2794-y&lt;/url&gt;&lt;/related-urls&gt;&lt;/urls&gt;&lt;electronic-resource-num&gt;10.1186/s12913-017-2794-y&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(de Dassel, Ralph, &amp; Cass, 2017)</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Nonetheless, de Dassel et al. (2017) identified numerous challenges experienced by Indigenous Australians requiring long-term medicines, which were raised by both providers and patients. These included: conflicting sociocultural obligations that were more important than taking medicines and often involved travelling away from one’s home community; affordability; sharing or swapping medicines; stopping medicines once feeling better; and difficulties obtaining medicines while away from home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&lt;EndNote&gt;&lt;Cite&gt;&lt;Author&gt;de Dassel&lt;/Author&gt;&lt;Year&gt;2017&lt;/Year&gt;&lt;RecNum&gt;33&lt;/RecNum&gt;&lt;DisplayText&gt;(de Dassel et al., 2017)&lt;/DisplayText&gt;&lt;record&gt;&lt;rec-number&gt;33&lt;/rec-number&gt;&lt;foreign-keys&gt;&lt;key app="EN" db-id="ews5ve9enfwav7etdtjvztfdrftvwrf9vrsx" timestamp="1543203981"&gt;33&lt;/key&gt;&lt;/foreign-keys&gt;&lt;ref-type name="Journal Article"&gt;17&lt;/ref-type&gt;&lt;contributors&gt;&lt;authors&gt;&lt;author&gt;de Dassel, Jessica Langloh&lt;/author&gt;&lt;author&gt;Ralph, Anna P.&lt;/author&gt;&lt;author&gt;Cass, Alan&lt;/author&gt;&lt;/authors&gt;&lt;/contributors&gt;&lt;titles&gt;&lt;title&gt;A systematic review of adherence in Indigenous Australians: an opportunity to improve chronic condition management&lt;/title&gt;&lt;secondary-title&gt;BMC Health Services Research&lt;/secondary-title&gt;&lt;/titles&gt;&lt;periodical&gt;&lt;full-title&gt;BMC Health Services Research&lt;/full-title&gt;&lt;/periodical&gt;&lt;pages&gt;845&lt;/pages&gt;&lt;volume&gt;17&lt;/volume&gt;&lt;number&gt;1&lt;/number&gt;&lt;dates&gt;&lt;year&gt;2017&lt;/year&gt;&lt;pub-dates&gt;&lt;date&gt;December 27&lt;/date&gt;&lt;/pub-dates&gt;&lt;/dates&gt;&lt;isbn&gt;1472-6963&lt;/isbn&gt;&lt;label&gt;de Dassel2017&lt;/label&gt;&lt;work-type&gt;journal article&lt;/work-type&gt;&lt;urls&gt;&lt;related-urls&gt;&lt;url&gt;https://doi.org/10.1186/s12913-017-2794-y&lt;/url&gt;&lt;/related-urls&gt;&lt;/urls&gt;&lt;electronic-resource-num&gt;10.1186/s12913-017-2794-y&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(de Dassel et al., 2017)</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t>
      </w:r>
    </w:p>
    <w:p w14:paraId="62155829" w14:textId="77777777" w:rsidR="0055104B"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noProof/>
          <w:sz w:val="22"/>
          <w:lang w:eastAsia="en-AU"/>
        </w:rPr>
        <mc:AlternateContent>
          <mc:Choice Requires="wps">
            <w:drawing>
              <wp:inline distT="0" distB="0" distL="0" distR="0" wp14:anchorId="5D8EB93C" wp14:editId="47B91F7A">
                <wp:extent cx="5600700" cy="4876800"/>
                <wp:effectExtent l="57150" t="19050" r="76200" b="11430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876800"/>
                        </a:xfrm>
                        <a:prstGeom prst="rect">
                          <a:avLst/>
                        </a:prstGeom>
                        <a:solidFill>
                          <a:srgbClr val="70AD47">
                            <a:lumMod val="20000"/>
                            <a:lumOff val="80000"/>
                          </a:srgbClr>
                        </a:solidFill>
                        <a:ln w="9525">
                          <a:solidFill>
                            <a:srgbClr val="000000"/>
                          </a:solidFill>
                          <a:miter lim="800000"/>
                          <a:headEnd/>
                          <a:tailEnd/>
                        </a:ln>
                        <a:effectLst>
                          <a:outerShdw blurRad="50800" dist="38100" dir="5400000" algn="t" rotWithShape="0">
                            <a:prstClr val="black">
                              <a:alpha val="40000"/>
                            </a:prstClr>
                          </a:outerShdw>
                        </a:effectLst>
                      </wps:spPr>
                      <wps:txbx>
                        <w:txbxContent>
                          <w:p w14:paraId="5A70970E" w14:textId="77777777" w:rsidR="00A41391" w:rsidRPr="004C426E" w:rsidRDefault="00A41391" w:rsidP="009D683D">
                            <w:pPr>
                              <w:spacing w:line="276" w:lineRule="auto"/>
                              <w:jc w:val="both"/>
                              <w:rPr>
                                <w:b/>
                                <w:sz w:val="24"/>
                              </w:rPr>
                            </w:pPr>
                            <w:r w:rsidRPr="004C426E">
                              <w:rPr>
                                <w:b/>
                                <w:sz w:val="24"/>
                              </w:rPr>
                              <w:t xml:space="preserve">Box </w:t>
                            </w:r>
                            <w:r>
                              <w:rPr>
                                <w:b/>
                                <w:sz w:val="24"/>
                              </w:rPr>
                              <w:t>10</w:t>
                            </w:r>
                            <w:r w:rsidRPr="004C426E">
                              <w:rPr>
                                <w:b/>
                                <w:sz w:val="24"/>
                              </w:rPr>
                              <w:t>: Dose administration aids</w:t>
                            </w:r>
                          </w:p>
                          <w:p w14:paraId="2C5FDA24" w14:textId="77777777" w:rsidR="00A41391" w:rsidRDefault="00A41391" w:rsidP="009D683D">
                            <w:pPr>
                              <w:spacing w:line="276" w:lineRule="auto"/>
                              <w:jc w:val="both"/>
                            </w:pPr>
                            <w:r>
                              <w:t xml:space="preserve">Webster Paks and dosettes, depicted in Figure 10, are examples of DAAs that help remind patients when to take their medication. This is particularly useful for kidney transplant recipients, as the complexity of immunosuppression regimes increases the risk of nonadherence, and skipping or forgetting to take a dose can quickly result </w:t>
                            </w:r>
                            <w:r w:rsidRPr="00F26C87">
                              <w:t xml:space="preserve">in cellular rejection, appearance of donor-specific antibodies and chronic rejection </w:t>
                            </w:r>
                            <w:r w:rsidRPr="00F26C87">
                              <w:fldChar w:fldCharType="begin"/>
                            </w:r>
                            <w:r w:rsidRPr="00F26C87">
                              <w:instrText xml:space="preserve"> ADDIN EN.CITE &lt;EndNote&gt;&lt;Cite&gt;&lt;Author&gt;Moreso&lt;/Author&gt;&lt;Year&gt;2015&lt;/Year&gt;&lt;RecNum&gt;300&lt;/RecNum&gt;&lt;DisplayText&gt;(Moreso, Torres, Costa-Requena, &amp;amp; Serón, 2015)&lt;/DisplayText&gt;&lt;record&gt;&lt;rec-number&gt;300&lt;/rec-number&gt;&lt;foreign-keys&gt;&lt;key app="EN" db-id="ews5ve9enfwav7etdtjvztfdrftvwrf9vrsx" timestamp="1545192729"&gt;300&lt;/key&gt;&lt;/foreign-keys&gt;&lt;ref-type name="Journal Article"&gt;17&lt;/ref-type&gt;&lt;contributors&gt;&lt;authors&gt;&lt;author&gt;Moreso, Francesc.&lt;/author&gt;&lt;author&gt;Torres, Irina.&lt;/author&gt;&lt;author&gt;Costa-Requena, Gema.&lt;/author&gt;&lt;author&gt;Serón, Daniel.&lt;/author&gt;&lt;/authors&gt;&lt;/contributors&gt;&lt;titles&gt;&lt;title&gt;Nonadherence to immunosuppression: Challenges and solutions&lt;/title&gt;&lt;secondary-title&gt;Transplant Research and Risk Management&lt;/secondary-title&gt;&lt;alt-title&gt;Transplant Research and Risk Management&lt;/alt-title&gt;&lt;/titles&gt;&lt;periodical&gt;&lt;full-title&gt;Transplant Research and Risk Management&lt;/full-title&gt;&lt;abbr-1&gt;Transplant Research and Risk Management&lt;/abbr-1&gt;&lt;/periodical&gt;&lt;alt-periodical&gt;&lt;full-title&gt;Transplant Research and Risk Management&lt;/full-title&gt;&lt;abbr-1&gt;Transplant Research and Risk Management&lt;/abbr-1&gt;&lt;/alt-periodical&gt;&lt;volume&gt;7&lt;/volume&gt;&lt;dates&gt;&lt;year&gt;2015&lt;/year&gt;&lt;/dates&gt;&lt;urls&gt;&lt;/urls&gt;&lt;electronic-resource-num&gt;10.2147/TRRM.S50796&lt;/electronic-resource-num&gt;&lt;/record&gt;&lt;/Cite&gt;&lt;/EndNote&gt;</w:instrText>
                            </w:r>
                            <w:r w:rsidRPr="00F26C87">
                              <w:fldChar w:fldCharType="separate"/>
                            </w:r>
                            <w:r w:rsidRPr="00F26C87">
                              <w:rPr>
                                <w:noProof/>
                              </w:rPr>
                              <w:t>(Moreso, Torres, Costa-Requena, &amp; Serón, 2015)</w:t>
                            </w:r>
                            <w:r w:rsidRPr="00F26C87">
                              <w:fldChar w:fldCharType="end"/>
                            </w:r>
                            <w:r w:rsidRPr="00F26C87">
                              <w:t>.</w:t>
                            </w:r>
                            <w:r>
                              <w:t xml:space="preserve"> It is important that transplant centres adopt consistent DAA protocols and promote the use of DAAs to ensure patients are equipped to self-manage the demands of immunosuppressive medications.</w:t>
                            </w:r>
                          </w:p>
                          <w:p w14:paraId="744059B0" w14:textId="77777777" w:rsidR="00A41391" w:rsidRPr="009F7C16" w:rsidRDefault="00A41391" w:rsidP="009D683D">
                            <w:pPr>
                              <w:spacing w:line="276" w:lineRule="auto"/>
                              <w:jc w:val="both"/>
                            </w:pPr>
                            <w:r>
                              <w:rPr>
                                <w:i/>
                              </w:rPr>
                              <w:t xml:space="preserve">Figure 10: </w:t>
                            </w:r>
                            <w:r>
                              <w:t>Image of a Webster Pak (left) and dosette (right).</w:t>
                            </w:r>
                          </w:p>
                          <w:p w14:paraId="63BDA122" w14:textId="77777777" w:rsidR="00A41391" w:rsidRDefault="00A41391" w:rsidP="009D683D">
                            <w:pPr>
                              <w:spacing w:line="276" w:lineRule="auto"/>
                              <w:jc w:val="both"/>
                            </w:pPr>
                            <w:r>
                              <w:rPr>
                                <w:noProof/>
                                <w:lang w:eastAsia="en-AU"/>
                              </w:rPr>
                              <w:drawing>
                                <wp:inline distT="0" distB="0" distL="0" distR="0" wp14:anchorId="0AEEE956" wp14:editId="461337CA">
                                  <wp:extent cx="1866900" cy="2645482"/>
                                  <wp:effectExtent l="0" t="0" r="0" b="2540"/>
                                  <wp:docPr id="258" name="Picture 258" descr="Picture of a Webster 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bster Pak.jpg"/>
                                          <pic:cNvPicPr/>
                                        </pic:nvPicPr>
                                        <pic:blipFill rotWithShape="1">
                                          <a:blip r:embed="rId41">
                                            <a:extLst>
                                              <a:ext uri="{28A0092B-C50C-407E-A947-70E740481C1C}">
                                                <a14:useLocalDpi xmlns:a14="http://schemas.microsoft.com/office/drawing/2010/main" val="0"/>
                                              </a:ext>
                                            </a:extLst>
                                          </a:blip>
                                          <a:srcRect l="6488" t="11482" r="2231" b="4775"/>
                                          <a:stretch/>
                                        </pic:blipFill>
                                        <pic:spPr bwMode="auto">
                                          <a:xfrm>
                                            <a:off x="0" y="0"/>
                                            <a:ext cx="1889395" cy="267735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0EDBCD50" wp14:editId="18A6C4F2">
                                  <wp:extent cx="2552701" cy="1390650"/>
                                  <wp:effectExtent l="0" t="0" r="0" b="0"/>
                                  <wp:docPr id="25" name="Picture 25" descr="Picture of a dos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ette 2.jpg"/>
                                          <pic:cNvPicPr/>
                                        </pic:nvPicPr>
                                        <pic:blipFill rotWithShape="1">
                                          <a:blip r:embed="rId42">
                                            <a:extLst>
                                              <a:ext uri="{28A0092B-C50C-407E-A947-70E740481C1C}">
                                                <a14:useLocalDpi xmlns:a14="http://schemas.microsoft.com/office/drawing/2010/main" val="0"/>
                                              </a:ext>
                                            </a:extLst>
                                          </a:blip>
                                          <a:srcRect l="12450" t="23987" r="8103" b="16658"/>
                                          <a:stretch/>
                                        </pic:blipFill>
                                        <pic:spPr bwMode="auto">
                                          <a:xfrm>
                                            <a:off x="0" y="0"/>
                                            <a:ext cx="2559877" cy="139455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D8EB93C" id="_x0000_s1038" type="#_x0000_t202" style="width:441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" fillcolor="#e2f0d9">
                <v:shadow on="t" color="black" opacity="26214f" origin=",-.5" offset="0,3pt"/>
                <v:textbox>
                  <w:txbxContent>
                    <w:p w14:paraId="5A70970E" w14:textId="77777777" w:rsidR="00A41391" w:rsidRPr="004C426E" w:rsidRDefault="00A41391" w:rsidP="009D683D">
                      <w:pPr>
                        <w:spacing w:line="276" w:lineRule="auto"/>
                        <w:jc w:val="both"/>
                        <w:rPr>
                          <w:b/>
                          <w:sz w:val="24"/>
                        </w:rPr>
                      </w:pPr>
                      <w:r w:rsidRPr="004C426E">
                        <w:rPr>
                          <w:b/>
                          <w:sz w:val="24"/>
                        </w:rPr>
                        <w:t xml:space="preserve">Box </w:t>
                      </w:r>
                      <w:r>
                        <w:rPr>
                          <w:b/>
                          <w:sz w:val="24"/>
                        </w:rPr>
                        <w:t>10</w:t>
                      </w:r>
                      <w:r w:rsidRPr="004C426E">
                        <w:rPr>
                          <w:b/>
                          <w:sz w:val="24"/>
                        </w:rPr>
                        <w:t>: Dose administration aids</w:t>
                      </w:r>
                    </w:p>
                    <w:p w14:paraId="2C5FDA24" w14:textId="77777777" w:rsidR="00A41391" w:rsidRDefault="00A41391" w:rsidP="009D683D">
                      <w:pPr>
                        <w:spacing w:line="276" w:lineRule="auto"/>
                        <w:jc w:val="both"/>
                      </w:pPr>
                      <w:r>
                        <w:t xml:space="preserve">Webster </w:t>
                      </w:r>
                      <w:r>
                        <w:t xml:space="preserve">Paks and dosettes, depicted in Figure 10, are examples of DAAs that help remind patients when to take their medication. This is particularly useful for kidney transplant recipients, as the complexity of immunosuppression regimes increases the risk of nonadherence, and skipping or forgetting to take a dose can quickly result </w:t>
                      </w:r>
                      <w:r w:rsidRPr="00F26C87">
                        <w:t xml:space="preserve">in cellular rejection, appearance of donor-specific antibodies and chronic rejection </w:t>
                      </w:r>
                      <w:r w:rsidRPr="00F26C87">
                        <w:fldChar w:fldCharType="begin"/>
                      </w:r>
                      <w:r w:rsidRPr="00F26C87">
                        <w:instrText xml:space="preserve"> ADDIN EN.CITE &lt;EndNote&gt;&lt;Cite&gt;&lt;Author&gt;Moreso&lt;/Author&gt;&lt;Year&gt;2015&lt;/Year&gt;&lt;RecNum&gt;300&lt;/RecNum&gt;&lt;DisplayText&gt;(Moreso, Torres, Costa-Requena, &amp;amp; Serón, 2015)&lt;/DisplayText&gt;&lt;record&gt;&lt;rec-number&gt;300&lt;/rec-number&gt;&lt;foreign-keys&gt;&lt;key app="EN" db-id="ews5ve9enfwav7etdtjvztfdrftvwrf9vrsx" timestamp="1545192729"&gt;300&lt;/key&gt;&lt;/foreign-keys&gt;&lt;ref-type name="Journal Article"&gt;17&lt;/ref-type&gt;&lt;contributors&gt;&lt;authors&gt;&lt;author&gt;Moreso, Francesc.&lt;/author&gt;&lt;author&gt;Torres, Irina.&lt;/author&gt;&lt;author&gt;Costa-Requena, Gema.&lt;/author&gt;&lt;author&gt;Serón, Daniel.&lt;/author&gt;&lt;/authors&gt;&lt;/contributors&gt;&lt;titles&gt;&lt;title&gt;Nonadherence to immunosuppression: Challenges and solutions&lt;/title&gt;&lt;secondary-title&gt;Transplant Research and Risk Management&lt;/secondary-title&gt;&lt;alt-title&gt;Transplant Research and Risk Management&lt;/alt-title&gt;&lt;/titles&gt;&lt;periodical&gt;&lt;full-title&gt;Transplant Research and Risk Management&lt;/full-title&gt;&lt;abbr-1&gt;Transplant Research and Risk Management&lt;/abbr-1&gt;&lt;/periodical&gt;&lt;alt-periodical&gt;&lt;full-title&gt;Transplant Research and Risk Management&lt;/full-title&gt;&lt;abbr-1&gt;Transplant Research and Risk Management&lt;/abbr-1&gt;&lt;/alt-periodical&gt;&lt;volume&gt;7&lt;/volume&gt;&lt;dates&gt;&lt;year&gt;2015&lt;/year&gt;&lt;/dates&gt;&lt;urls&gt;&lt;/urls&gt;&lt;electronic-resource-num&gt;10.2147/TRRM.S50796&lt;/electronic-resource-num&gt;&lt;/record&gt;&lt;/Cite&gt;&lt;/EndNote&gt;</w:instrText>
                      </w:r>
                      <w:r w:rsidRPr="00F26C87">
                        <w:fldChar w:fldCharType="separate"/>
                      </w:r>
                      <w:r w:rsidRPr="00F26C87">
                        <w:rPr>
                          <w:noProof/>
                        </w:rPr>
                        <w:t>(Moreso, Torres, Costa-Requena, &amp; Serón, 2015)</w:t>
                      </w:r>
                      <w:r w:rsidRPr="00F26C87">
                        <w:fldChar w:fldCharType="end"/>
                      </w:r>
                      <w:r w:rsidRPr="00F26C87">
                        <w:t>.</w:t>
                      </w:r>
                      <w:r>
                        <w:t xml:space="preserve"> It is important that transplant centres adopt consistent DAA protocols and promote the use of DAAs to ensure patients are equipped to self-manage the demands of immunosuppressive medications.</w:t>
                      </w:r>
                    </w:p>
                    <w:p w14:paraId="744059B0" w14:textId="77777777" w:rsidR="00A41391" w:rsidRPr="009F7C16" w:rsidRDefault="00A41391" w:rsidP="009D683D">
                      <w:pPr>
                        <w:spacing w:line="276" w:lineRule="auto"/>
                        <w:jc w:val="both"/>
                      </w:pPr>
                      <w:r>
                        <w:rPr>
                          <w:i/>
                        </w:rPr>
                        <w:t xml:space="preserve">Figure 10: </w:t>
                      </w:r>
                      <w:r>
                        <w:t>Image of a Webster Pak (left) and dosette (right).</w:t>
                      </w:r>
                    </w:p>
                    <w:p w14:paraId="63BDA122" w14:textId="77777777" w:rsidR="00A41391" w:rsidRDefault="00A41391" w:rsidP="009D683D">
                      <w:pPr>
                        <w:spacing w:line="276" w:lineRule="auto"/>
                        <w:jc w:val="both"/>
                      </w:pPr>
                      <w:r>
                        <w:rPr>
                          <w:noProof/>
                          <w:lang w:eastAsia="en-AU"/>
                        </w:rPr>
                        <w:drawing>
                          <wp:inline distT="0" distB="0" distL="0" distR="0" wp14:anchorId="0AEEE956" wp14:editId="461337CA">
                            <wp:extent cx="1866900" cy="2645482"/>
                            <wp:effectExtent l="0" t="0" r="0" b="2540"/>
                            <wp:docPr id="258" name="Picture 258" descr="Picture of a Webster 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bster Pak.jpg"/>
                                    <pic:cNvPicPr/>
                                  </pic:nvPicPr>
                                  <pic:blipFill rotWithShape="1">
                                    <a:blip r:embed="rId43">
                                      <a:extLst>
                                        <a:ext uri="{28A0092B-C50C-407E-A947-70E740481C1C}">
                                          <a14:useLocalDpi xmlns:a14="http://schemas.microsoft.com/office/drawing/2010/main" val="0"/>
                                        </a:ext>
                                      </a:extLst>
                                    </a:blip>
                                    <a:srcRect l="6488" t="11482" r="2231" b="4775"/>
                                    <a:stretch/>
                                  </pic:blipFill>
                                  <pic:spPr bwMode="auto">
                                    <a:xfrm>
                                      <a:off x="0" y="0"/>
                                      <a:ext cx="1889395" cy="267735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0EDBCD50" wp14:editId="18A6C4F2">
                            <wp:extent cx="2552701" cy="1390650"/>
                            <wp:effectExtent l="0" t="0" r="0" b="0"/>
                            <wp:docPr id="25" name="Picture 25" descr="Picture of a dos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ette 2.jpg"/>
                                    <pic:cNvPicPr/>
                                  </pic:nvPicPr>
                                  <pic:blipFill rotWithShape="1">
                                    <a:blip r:embed="rId44">
                                      <a:extLst>
                                        <a:ext uri="{28A0092B-C50C-407E-A947-70E740481C1C}">
                                          <a14:useLocalDpi xmlns:a14="http://schemas.microsoft.com/office/drawing/2010/main" val="0"/>
                                        </a:ext>
                                      </a:extLst>
                                    </a:blip>
                                    <a:srcRect l="12450" t="23987" r="8103" b="16658"/>
                                    <a:stretch/>
                                  </pic:blipFill>
                                  <pic:spPr bwMode="auto">
                                    <a:xfrm>
                                      <a:off x="0" y="0"/>
                                      <a:ext cx="2559877" cy="1394559"/>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14:paraId="7C035787" w14:textId="2CB2CAA8"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Indigenous patients have also reported that forgetting to take doses is a barrier to adherence, while health professionals have suggested that inadequate safe storage for medicines at home impairs adherence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&lt;EndNote&gt;&lt;Cite&gt;&lt;Author&gt;de Dassel&lt;/Author&gt;&lt;Year&gt;2017&lt;/Year&gt;&lt;RecNum&gt;33&lt;/RecNum&gt;&lt;DisplayText&gt;(de Dassel et al., 2017)&lt;/DisplayText&gt;&lt;record&gt;&lt;rec-number&gt;33&lt;/rec-number&gt;&lt;foreign-keys&gt;&lt;key app="EN" db-id="ews5ve9enfwav7etdtjvztfdrftvwrf9vrsx" timestamp="1543203981"&gt;33&lt;/key&gt;&lt;/foreign-keys&gt;&lt;ref-type name="Journal Article"&gt;17&lt;/ref-type&gt;&lt;contributors&gt;&lt;authors&gt;&lt;author&gt;de Dassel, Jessica Langloh&lt;/author&gt;&lt;author&gt;Ralph, Anna P.&lt;/author&gt;&lt;author&gt;Cass, Alan&lt;/author&gt;&lt;/authors&gt;&lt;/contributors&gt;&lt;titles&gt;&lt;title&gt;A systematic review of adherence in Indigenous Australians: an opportunity to improve chronic condition management&lt;/title&gt;&lt;secondary-title&gt;BMC Health Services Research&lt;/secondary-title&gt;&lt;/titles&gt;&lt;periodical&gt;&lt;full-title&gt;BMC Health Services Research&lt;/full-title&gt;&lt;/periodical&gt;&lt;pages&gt;845&lt;/pages&gt;&lt;volume&gt;17&lt;/volume&gt;&lt;number&gt;1&lt;/number&gt;&lt;dates&gt;&lt;year&gt;2017&lt;/year&gt;&lt;pub-dates&gt;&lt;date&gt;December 27&lt;/date&gt;&lt;/pub-dates&gt;&lt;/dates&gt;&lt;isbn&gt;1472-6963&lt;/isbn&gt;&lt;label&gt;de Dassel2017&lt;/label&gt;&lt;work-type&gt;journal article&lt;/work-type&gt;&lt;urls&gt;&lt;related-urls&gt;&lt;url&gt;https://doi.org/10.1186/s12913-017-2794-y&lt;/url&gt;&lt;/related-urls&gt;&lt;/urls&gt;&lt;electronic-resource-num&gt;10.1186/s12913-017-2794-y&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(de Dassel et al., 2017)</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Both providers and patients have called for the development and delivery of culturally appropriate resources, designed to enhance the provision of patient education about medicines and increase adherence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&lt;EndNote&gt;&lt;Cite&gt;&lt;Author&gt;de Dassel&lt;/Author&gt;&lt;Year&gt;2017&lt;/Year&gt;&lt;RecNum&gt;33&lt;/RecNum&gt;&lt;DisplayText&gt;(de Dassel et al., 2017)&lt;/DisplayText&gt;&lt;record&gt;&lt;rec-number&gt;33&lt;/rec-number&gt;&lt;foreign-keys&gt;&lt;key app="EN" db-id="ews5ve9enfwav7etdtjvztfdrftvwrf9vrsx" timestamp="1543203981"&gt;33&lt;/key&gt;&lt;/foreign-keys&gt;&lt;ref-type name="Journal Article"&gt;17&lt;/ref-type&gt;&lt;contributors&gt;&lt;authors&gt;&lt;author&gt;de Dassel, Jessica Langloh&lt;/author&gt;&lt;author&gt;Ralph, Anna P.&lt;/author&gt;&lt;author&gt;Cass, Alan&lt;/author&gt;&lt;/authors&gt;&lt;/contributors&gt;&lt;titles&gt;&lt;title&gt;A systematic review of adherence in Indigenous Australians: an opportunity to improve chronic condition management&lt;/title&gt;&lt;secondary-title&gt;BMC Health Services Research&lt;/secondary-title&gt;&lt;/titles&gt;&lt;periodical&gt;&lt;full-title&gt;BMC Health Services Research&lt;/full-title&gt;&lt;/periodical&gt;&lt;pages&gt;845&lt;/pages&gt;&lt;volume&gt;17&lt;/volume&gt;&lt;number&gt;1&lt;/number&gt;&lt;dates&gt;&lt;year&gt;2017&lt;/year&gt;&lt;pub-dates&gt;&lt;date&gt;December 27&lt;/date&gt;&lt;/pub-dates&gt;&lt;/dates&gt;&lt;isbn&gt;1472-6963&lt;/isbn&gt;&lt;label&gt;de Dassel2017&lt;/label&gt;&lt;work-type&gt;journal article&lt;/work-type&gt;&lt;urls&gt;&lt;related-urls&gt;&lt;url&gt;https://doi.org/10.1186/s12913-017-2794-y&lt;/url&gt;&lt;/related-urls&gt;&lt;/urls&gt;&lt;electronic-resource-num&gt;10.1186/s12913-017-2794-y&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(de Dassel et al., 2017)</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Additionally, health professionals have identified various potential adherence support strategies, including increased involvement of Aboriginal Health Practitioners in medication management, and simplification of dose regimens, including dose administration aids (DAAs) and once-daily dosing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&lt;EndNote&gt;&lt;Cite&gt;&lt;Author&gt;de Dassel&lt;/Author&gt;&lt;Year&gt;2017&lt;/Year&gt;&lt;RecNum&gt;33&lt;/RecNum&gt;&lt;DisplayText&gt;(de Dassel et al., 2017)&lt;/DisplayText&gt;&lt;record&gt;&lt;rec-number&gt;33&lt;/rec-number&gt;&lt;foreign-keys&gt;&lt;key app="EN" db-id="ews5ve9enfwav7etdtjvztfdrftvwrf9vrsx" timestamp="1543203981"&gt;33&lt;/key&gt;&lt;/foreign-keys&gt;&lt;ref-type name="Journal Article"&gt;17&lt;/ref-type&gt;&lt;contributors&gt;&lt;authors&gt;&lt;author&gt;de Dassel, Jessica Langloh&lt;/author&gt;&lt;author&gt;Ralph, Anna P.&lt;/author&gt;&lt;author&gt;Cass, Alan&lt;/author&gt;&lt;/authors&gt;&lt;/contributors&gt;&lt;titles&gt;&lt;title&gt;A systematic review of adherence in Indigenous Australians: an opportunity to improve chronic condition management&lt;/title&gt;&lt;secondary-title&gt;BMC Health Services Research&lt;/secondary-title&gt;&lt;/titles&gt;&lt;periodical&gt;&lt;full-title&gt;BMC Health Services Research&lt;/full-title&gt;&lt;/periodical&gt;&lt;pages&gt;845&lt;/pages&gt;&lt;volume&gt;17&lt;/volume&gt;&lt;number&gt;1&lt;/number&gt;&lt;dates&gt;&lt;year&gt;2017&lt;/year&gt;&lt;pub-dates&gt;&lt;date&gt;December 27&lt;/date&gt;&lt;/pub-dates&gt;&lt;/dates&gt;&lt;isbn&gt;1472-6963&lt;/isbn&gt;&lt;label&gt;de Dassel2017&lt;/label&gt;&lt;work-type&gt;journal article&lt;/work-type&gt;&lt;urls&gt;&lt;related-urls&gt;&lt;url&gt;https://doi.org/10.1186/s12913-017-2794-y&lt;/url&gt;&lt;/related-urls&gt;&lt;/urls&gt;&lt;electronic-resource-num&gt;10.1186/s12913-017-2794-y&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(de Dassel et al., 2017)</w:t>
      </w:r>
      <w:r w:rsidRPr="009D683D">
        <w:rPr>
          <w:rFonts w:ascii="Calibri" w:eastAsia="Calibri" w:hAnsi="Calibri" w:cs="Times New Roman"/>
          <w:sz w:val="22"/>
        </w:rPr>
        <w:fldChar w:fldCharType="end"/>
      </w:r>
      <w:r w:rsidRPr="009D683D">
        <w:rPr>
          <w:rFonts w:ascii="Calibri" w:eastAsia="Calibri" w:hAnsi="Calibri" w:cs="Times New Roman"/>
          <w:sz w:val="22"/>
        </w:rPr>
        <w:t>.</w:t>
      </w:r>
    </w:p>
    <w:p w14:paraId="2741DB91" w14:textId="77777777"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Simplifying immunosuppressive formulations</w:t>
      </w:r>
    </w:p>
    <w:p w14:paraId="24911787"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Advances in immunosuppressive strategies over the past decades have led to significant improvements in the field of kidney transplantation. Currently available immunosuppressive agents are separated into three categories: ‘induction agents’, ‘maintenance therapy’ and ‘treatment for </w:t>
      </w:r>
      <w:r w:rsidRPr="009D683D">
        <w:rPr>
          <w:rFonts w:ascii="Calibri" w:eastAsia="Calibri" w:hAnsi="Calibri" w:cs="Times New Roman"/>
          <w:sz w:val="22"/>
        </w:rPr>
        <w:lastRenderedPageBreak/>
        <w:t xml:space="preserve">rejection’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&lt;EndNote&gt;&lt;Cite&gt;&lt;Author&gt;Kalluri&lt;/Author&gt;&lt;Year&gt;2012&lt;/Year&gt;&lt;RecNum&gt;297&lt;/RecNum&gt;&lt;DisplayText&gt;(Kalluri &amp;amp; Hardinger, 2012)&lt;/DisplayText&gt;&lt;record&gt;&lt;rec-number&gt;297&lt;/rec-number&gt;&lt;foreign-keys&gt;&lt;key app="EN" db-id="ews5ve9enfwav7etdtjvztfdrftvwrf9vrsx" timestamp="1545180427"&gt;297&lt;/key&gt;&lt;/foreign-keys&gt;&lt;ref-type name="Journal Article"&gt;17&lt;/ref-type&gt;&lt;contributors&gt;&lt;authors&gt;&lt;author&gt;Kalluri, Hari Varun&lt;/author&gt;&lt;author&gt;Hardinger, Karen. L.&lt;/author&gt;&lt;/authors&gt;&lt;/contributors&gt;&lt;titles&gt;&lt;title&gt;Current state of renal transplant immunosuppression: Present and future&lt;/title&gt;&lt;secondary-title&gt;World journal of transplantation&lt;/secondary-title&gt;&lt;/titles&gt;&lt;periodical&gt;&lt;full-title&gt;World journal of transplantation&lt;/full-title&gt;&lt;/periodical&gt;&lt;pages&gt;51-68&lt;/pages&gt;&lt;volume&gt;2&lt;/volume&gt;&lt;number&gt;4&lt;/number&gt;&lt;edition&gt;2012/08/24&lt;/edition&gt;&lt;dates&gt;&lt;year&gt;2012&lt;/year&gt;&lt;/dates&gt;&lt;publisher&gt;Baishideng Publishing Group Co., Limited&lt;/publisher&gt;&lt;isbn&gt;2220-3230&lt;/isbn&gt;&lt;accession-num&gt;24175197&lt;/accession-num&gt;&lt;urls&gt;&lt;related-urls&gt;&lt;url&gt;https://www.ncbi.nlm.nih.gov/pubmed/24175197&lt;/url&gt;&lt;url&gt;https://www.ncbi.nlm.nih.gov/pmc/PMC3782235/&lt;/url&gt;&lt;/related-urls&gt;&lt;/urls&gt;&lt;electronic-resource-num&gt;10.5500/wjt.v2.i4.51&lt;/electronic-resource-num&gt;&lt;remote-database-name&gt;PubMed&lt;/remote-database-name&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(Kalluri &amp; Hardinger, 2012)</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Induction and rejection treatment is undertaken in major centres, often as an inpatient, with regimes that change frequently from day to day and are typically managed under direct oversight. In contrast, maintenance treatment needs to be undertaken at home over months and years with intermittent follow-up. This creates challenges of medical supply and oversight in remote environments, often with limited primary care support. Maintenance regimens typically include a combination of 3 different anti-rejection drugs from different classes: calcineurin inhibitors (cyclosporine and tacrolimus, known as CNIs), antiproliferative agents (azathioprine and mycophenolic acid) or mTOR inhibitors (sirolimus and everolimus), and corticosteroids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&lt;EndNote&gt;&lt;Cite&gt;&lt;Author&gt;Kalluri&lt;/Author&gt;&lt;Year&gt;2012&lt;/Year&gt;&lt;RecNum&gt;297&lt;/RecNum&gt;&lt;DisplayText&gt;(Kalluri &amp;amp; Hardinger, 2012)&lt;/DisplayText&gt;&lt;record&gt;&lt;rec-number&gt;297&lt;/rec-number&gt;&lt;foreign-keys&gt;&lt;key app="EN" db-id="ews5ve9enfwav7etdtjvztfdrftvwrf9vrsx" timestamp="1545180427"&gt;297&lt;/key&gt;&lt;/foreign-keys&gt;&lt;ref-type name="Journal Article"&gt;17&lt;/ref-type&gt;&lt;contributors&gt;&lt;authors&gt;&lt;author&gt;Kalluri, Hari Varun&lt;/author&gt;&lt;author&gt;Hardinger, Karen. L.&lt;/author&gt;&lt;/authors&gt;&lt;/contributors&gt;&lt;titles&gt;&lt;title&gt;Current state of renal transplant immunosuppression: Present and future&lt;/title&gt;&lt;secondary-title&gt;World journal of transplantation&lt;/secondary-title&gt;&lt;/titles&gt;&lt;periodical&gt;&lt;full-title&gt;World journal of transplantation&lt;/full-title&gt;&lt;/periodical&gt;&lt;pages&gt;51-68&lt;/pages&gt;&lt;volume&gt;2&lt;/volume&gt;&lt;number&gt;4&lt;/number&gt;&lt;edition&gt;2012/08/24&lt;/edition&gt;&lt;dates&gt;&lt;year&gt;2012&lt;/year&gt;&lt;/dates&gt;&lt;publisher&gt;Baishideng Publishing Group Co., Limited&lt;/publisher&gt;&lt;isbn&gt;2220-3230&lt;/isbn&gt;&lt;accession-num&gt;24175197&lt;/accession-num&gt;&lt;urls&gt;&lt;related-urls&gt;&lt;url&gt;https://www.ncbi.nlm.nih.gov/pubmed/24175197&lt;/url&gt;&lt;url&gt;https://www.ncbi.nlm.nih.gov/pmc/PMC3782235/&lt;/url&gt;&lt;/related-urls&gt;&lt;/urls&gt;&lt;electronic-resource-num&gt;10.5500/wjt.v2.i4.51&lt;/electronic-resource-num&gt;&lt;remote-database-name&gt;PubMed&lt;/remote-database-name&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(Kalluri &amp; Hardinger, 2012)</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Most of these agents are twice daily formulations. In addition, patients are typically also on anti-infective prophylactic drugs, together with other medications to manage comorbidities, particularly hypertension and diabetes. An active area of development concerns the adoption of prolonged release tacrolimus formulations, which require less frequent doses and helps to address pill burden and nonadherence in kidney transplant recipients. </w:t>
      </w:r>
    </w:p>
    <w:p w14:paraId="6D406551" w14:textId="77777777" w:rsidR="009D683D" w:rsidRPr="009D683D" w:rsidRDefault="009D683D" w:rsidP="009D683D">
      <w:pPr>
        <w:keepNext/>
        <w:keepLines/>
        <w:numPr>
          <w:ilvl w:val="3"/>
          <w:numId w:val="0"/>
        </w:numPr>
        <w:spacing w:before="40" w:after="0" w:line="276" w:lineRule="auto"/>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Once daily and novel, long acting immunosuppressive medication</w:t>
      </w:r>
    </w:p>
    <w:p w14:paraId="5A7BB502"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Past research has identified a significant relationship between more frequent immunosuppressive medication dosing and decreased adherence </w:t>
      </w:r>
      <w:r w:rsidRPr="009D683D">
        <w:rPr>
          <w:rFonts w:ascii="Calibri" w:eastAsia="Calibri" w:hAnsi="Calibri" w:cs="Times New Roman"/>
          <w:sz w:val="22"/>
        </w:rPr>
        <w:fldChar w:fldCharType="begin">
          <w:fldData xml:space="preserve">PEVuZE5vdGU+PENpdGU+PEF1dGhvcj5XZW5nPC9BdXRob3I+PFllYXI+MjAwNTwvWWVhcj48UmVj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==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PEVuZE5vdGU+PENpdGU+PEF1dGhvcj5XZW5nPC9BdXRob3I+PFllYXI+MjAwNTwvWWVhcj48UmVj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==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(Ichimaru et al., 2008; Morales, Varo, &amp; Lázaro, 2012; Weng et al., 2005)</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Given tacrolimus is the mainstay of immunosuppressive regimens after a kidney transplant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&lt;EndNote&gt;&lt;Cite&gt;&lt;Author&gt;Matas&lt;/Author&gt;&lt;Year&gt;2015&lt;/Year&gt;&lt;RecNum&gt;266&lt;/RecNum&gt;&lt;DisplayText&gt;(Matas et al., 2015)&lt;/DisplayText&gt;&lt;record&gt;&lt;rec-number&gt;266&lt;/rec-number&gt;&lt;foreign-keys&gt;&lt;key app="EN" db-id="ews5ve9enfwav7etdtjvztfdrftvwrf9vrsx" timestamp="1544413996"&gt;266&lt;/key&gt;&lt;/foreign-keys&gt;&lt;ref-type name="Journal Article"&gt;17&lt;/ref-type&gt;&lt;contributors&gt;&lt;authors&gt;&lt;author&gt;Matas, A. J.&lt;/author&gt;&lt;author&gt;Smith, J. M.&lt;/author&gt;&lt;author&gt;Skeans, M. A.&lt;/author&gt;&lt;author&gt;Thompson, B.&lt;/author&gt;&lt;author&gt;Gustafson, S. K.&lt;/author&gt;&lt;author&gt;Stewart, D. E.&lt;/author&gt;&lt;author&gt;Cherikh, W. S.&lt;/author&gt;&lt;author&gt;Wainright, J. L.&lt;/author&gt;&lt;author&gt;Boyle, G.&lt;/author&gt;&lt;author&gt;Snyder, J. J.&lt;/author&gt;&lt;author&gt;Israni, A. K.&lt;/author&gt;&lt;author&gt;Kasiske, B. L.&lt;/author&gt;&lt;/authors&gt;&lt;/contributors&gt;&lt;titles&gt;&lt;title&gt;OPTN/SRTR 2013 Annual Data Report: Kidney&lt;/title&gt;&lt;secondary-title&gt;American Journal of Transplantation&lt;/secondary-title&gt;&lt;/titles&gt;&lt;periodical&gt;&lt;full-title&gt;American Journal of Transplantation&lt;/full-title&gt;&lt;/periodical&gt;&lt;pages&gt;1-34&lt;/pages&gt;&lt;volume&gt;15&lt;/volume&gt;&lt;number&gt;S2&lt;/number&gt;&lt;dates&gt;&lt;year&gt;2015&lt;/year&gt;&lt;/dates&gt;&lt;urls&gt;&lt;related-urls&gt;&lt;url&gt;https://onlinelibrary.wiley.com/doi/abs/10.1111/ajt.13195&lt;/url&gt;&lt;/related-urls&gt;&lt;/urls&gt;&lt;electronic-resource-num&gt;10.1111/ajt.13195&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(Matas et al., 2015)</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optimising adherence to tacrolimus-based regimens post-transplantation is vital to achieving good graft and patient outcomes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&lt;EndNote&gt;&lt;Cite&gt;&lt;Author&gt;Abedini&lt;/Author&gt;&lt;Year&gt;2018&lt;/Year&gt;&lt;RecNum&gt;268&lt;/RecNum&gt;&lt;DisplayText&gt;(Abedini, Goransson, Cockburn, Kilany, &amp;amp; Holdaas, 2018)&lt;/DisplayText&gt;&lt;record&gt;&lt;rec-number&gt;268&lt;/rec-number&gt;&lt;foreign-keys&gt;&lt;key app="EN" db-id="ews5ve9enfwav7etdtjvztfdrftvwrf9vrsx" timestamp="1544414257"&gt;268&lt;/key&gt;&lt;/foreign-keys&gt;&lt;ref-type name="Journal Article"&gt;17&lt;/ref-type&gt;&lt;contributors&gt;&lt;authors&gt;&lt;author&gt;Abedini, S.&lt;/author&gt;&lt;author&gt;Goransson, L.&lt;/author&gt;&lt;author&gt;Cockburn, E.&lt;/author&gt;&lt;author&gt;Kilany, S.&lt;/author&gt;&lt;author&gt;Holdaas, H.&lt;/author&gt;&lt;/authors&gt;&lt;/contributors&gt;&lt;auth-address&gt;Medical Clinic, Vestfold Hospital Trust, Tonsberg, Norway.&amp;#xD;Medical Department, Kidney Section, Stavanger University Hospital, Stavanger, Norway.&amp;#xD;Medical Department, Astellas Pharma, Kastrup, Denmark.&amp;#xD;Department of Transplant Medicine, Rikshospitalet, University of Oslo, Norway.&lt;/auth-address&gt;&lt;titles&gt;&lt;title&gt;Immunosuppression Adherence in Stable Kidney Transplant Patients Converted From Immediate- to Prolonged-Release Tacrolimus in Clinical Practice: A Norwegian Study&lt;/title&gt;&lt;secondary-title&gt;Transplant Direct&lt;/secondary-title&gt;&lt;alt-title&gt;Transplantation Direct&lt;/alt-title&gt;&lt;/titles&gt;&lt;periodical&gt;&lt;full-title&gt;Transplant Direct&lt;/full-title&gt;&lt;abbr-1&gt;Transplantation Direct&lt;/abbr-1&gt;&lt;/periodical&gt;&lt;alt-periodical&gt;&lt;full-title&gt;Transplant Direct&lt;/full-title&gt;&lt;abbr-1&gt;Transplantation Direct&lt;/abbr-1&gt;&lt;/alt-periodical&gt;&lt;pages&gt;e338&lt;/pages&gt;&lt;volume&gt;4&lt;/volume&gt;&lt;number&gt;2&lt;/number&gt;&lt;edition&gt;2018/02/22&lt;/edition&gt;&lt;dates&gt;&lt;year&gt;2018&lt;/year&gt;&lt;pub-dates&gt;&lt;date&gt;Feb&lt;/date&gt;&lt;/pub-dates&gt;&lt;/dates&gt;&lt;isbn&gt;2373-8731 (Print)&amp;#xD;2373-8731 (Linking)&lt;/isbn&gt;&lt;accession-num&gt;29464199&lt;/accession-num&gt;&lt;urls&gt;&lt;related-urls&gt;&lt;url&gt;https://www.ncbi.nlm.nih.gov/pubmed/29464199&lt;/url&gt;&lt;/related-urls&gt;&lt;/urls&gt;&lt;custom2&gt;PMC5811267&lt;/custom2&gt;&lt;electronic-resource-num&gt;10.1097/TXD.0000000000000755&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(Abedini, Goransson, Cockburn, Kilany, &amp; Holdaas, 2018)</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Tacrolimus is available as both twice-daily (immediate-release) and once-daily (prolonged-release) formulations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&lt;EndNote&gt;&lt;Cite&gt;&lt;Author&gt;Abedini&lt;/Author&gt;&lt;Year&gt;2018&lt;/Year&gt;&lt;RecNum&gt;268&lt;/RecNum&gt;&lt;DisplayText&gt;(Abedini et al., 2018)&lt;/DisplayText&gt;&lt;record&gt;&lt;rec-number&gt;268&lt;/rec-number&gt;&lt;foreign-keys&gt;&lt;key app="EN" db-id="ews5ve9enfwav7etdtjvztfdrftvwrf9vrsx" timestamp="1544414257"&gt;268&lt;/key&gt;&lt;/foreign-keys&gt;&lt;ref-type name="Journal Article"&gt;17&lt;/ref-type&gt;&lt;contributors&gt;&lt;authors&gt;&lt;author&gt;Abedini, S.&lt;/author&gt;&lt;author&gt;Goransson, L.&lt;/author&gt;&lt;author&gt;Cockburn, E.&lt;/author&gt;&lt;author&gt;Kilany, S.&lt;/author&gt;&lt;author&gt;Holdaas, H.&lt;/author&gt;&lt;/authors&gt;&lt;/contributors&gt;&lt;auth-address&gt;Medical Clinic, Vestfold Hospital Trust, Tonsberg, Norway.&amp;#xD;Medical Department, Kidney Section, Stavanger University Hospital, Stavanger, Norway.&amp;#xD;Medical Department, Astellas Pharma, Kastrup, Denmark.&amp;#xD;Department of Transplant Medicine, Rikshospitalet, University of Oslo, Norway.&lt;/auth-address&gt;&lt;titles&gt;&lt;title&gt;Immunosuppression Adherence in Stable Kidney Transplant Patients Converted From Immediate- to Prolonged-Release Tacrolimus in Clinical Practice: A Norwegian Study&lt;/title&gt;&lt;secondary-title&gt;Transplant Direct&lt;/secondary-title&gt;&lt;alt-title&gt;Transplantation Direct&lt;/alt-title&gt;&lt;/titles&gt;&lt;periodical&gt;&lt;full-title&gt;Transplant Direct&lt;/full-title&gt;&lt;abbr-1&gt;Transplantation Direct&lt;/abbr-1&gt;&lt;/periodical&gt;&lt;alt-periodical&gt;&lt;full-title&gt;Transplant Direct&lt;/full-title&gt;&lt;abbr-1&gt;Transplantation Direct&lt;/abbr-1&gt;&lt;/alt-periodical&gt;&lt;pages&gt;e338&lt;/pages&gt;&lt;volume&gt;4&lt;/volume&gt;&lt;number&gt;2&lt;/number&gt;&lt;edition&gt;2018/02/22&lt;/edition&gt;&lt;dates&gt;&lt;year&gt;2018&lt;/year&gt;&lt;pub-dates&gt;&lt;date&gt;Feb&lt;/date&gt;&lt;/pub-dates&gt;&lt;/dates&gt;&lt;isbn&gt;2373-8731 (Print)&amp;#xD;2373-8731 (Linking)&lt;/isbn&gt;&lt;accession-num&gt;29464199&lt;/accession-num&gt;&lt;urls&gt;&lt;related-urls&gt;&lt;url&gt;https://www.ncbi.nlm.nih.gov/pubmed/29464199&lt;/url&gt;&lt;/related-urls&gt;&lt;/urls&gt;&lt;custom2&gt;PMC5811267&lt;/custom2&gt;&lt;electronic-resource-num&gt;10.1097/TXD.0000000000000755&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(Abedini et al., 2018)</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The latter has been approved for use in many countries worldwide, including Australia, for the prophylaxis of transplant rejection in adult liver, kidney, lung and heart transplant recipients. A number of phase III trials have supported the widespread use of the prolonged-release formula, having found it to be noninferior to the immediate-release product with a similar tolerability profile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&lt;EndNote&gt;&lt;Cite&gt;&lt;Author&gt;Garnock-Jones&lt;/Author&gt;&lt;Year&gt;2015&lt;/Year&gt;&lt;RecNum&gt;298&lt;/RecNum&gt;&lt;DisplayText&gt;(Garnock-Jones, 2015)&lt;/DisplayText&gt;&lt;record&gt;&lt;rec-number&gt;298&lt;/rec-number&gt;&lt;foreign-keys&gt;&lt;key app="EN" db-id="ews5ve9enfwav7etdtjvztfdrftvwrf9vrsx" timestamp="1545180818"&gt;298&lt;/key&gt;&lt;/foreign-keys&gt;&lt;ref-type name="Journal Article"&gt;17&lt;/ref-type&gt;&lt;contributors&gt;&lt;authors&gt;&lt;author&gt;Garnock-Jones, Karly. P.&lt;/author&gt;&lt;/authors&gt;&lt;/contributors&gt;&lt;titles&gt;&lt;title&gt;Tacrolimus Prolonged Release (EnvarsusÂ®): A Review of Its Use in Kidney and Liver Transplant Recipients&lt;/title&gt;&lt;secondary-title&gt;Drugs&lt;/secondary-title&gt;&lt;/titles&gt;&lt;periodical&gt;&lt;full-title&gt;Drugs&lt;/full-title&gt;&lt;/periodical&gt;&lt;pages&gt;309-320&lt;/pages&gt;&lt;volume&gt;75&lt;/volume&gt;&lt;number&gt;3&lt;/number&gt;&lt;dates&gt;&lt;year&gt;2015&lt;/year&gt;&lt;pub-dates&gt;&lt;date&gt;February 01&lt;/date&gt;&lt;/pub-dates&gt;&lt;/dates&gt;&lt;isbn&gt;1179-1950&lt;/isbn&gt;&lt;label&gt;Garnock-Jones2015&lt;/label&gt;&lt;work-type&gt;journal article&lt;/work-type&gt;&lt;urls&gt;&lt;related-urls&gt;&lt;url&gt;https://doi.org/10.1007/s40265-015-0349-2&lt;/url&gt;&lt;/related-urls&gt;&lt;/urls&gt;&lt;electronic-resource-num&gt;10.1007/s40265-015-0349-2&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(Garnock-Jones, 2015)</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t>
      </w:r>
    </w:p>
    <w:p w14:paraId="56DBECCF" w14:textId="77777777" w:rsidR="009D683D" w:rsidRPr="009D683D" w:rsidRDefault="009D683D" w:rsidP="009D683D">
      <w:pPr>
        <w:widowControl w:val="0"/>
        <w:spacing w:after="0" w:line="276" w:lineRule="auto"/>
        <w:jc w:val="both"/>
        <w:rPr>
          <w:rFonts w:ascii="Calibri" w:eastAsia="Calibri" w:hAnsi="Calibri" w:cs="Times New Roman"/>
          <w:sz w:val="22"/>
        </w:rPr>
      </w:pPr>
      <w:r w:rsidRPr="009D683D">
        <w:rPr>
          <w:rFonts w:ascii="Calibri" w:eastAsia="Calibri" w:hAnsi="Calibri" w:cs="Times New Roman"/>
          <w:sz w:val="22"/>
        </w:rPr>
        <w:t xml:space="preserve">The prolonged-release formulation offers a simpler regimen comprising a single daily morning dose, and therefore has the potential to improve adherence to immunosuppressive therapy. A randomized controlled multicentre trial using electronic monitoring of medication intake found that adherence to the immunosuppressive regimen was significantly higher with once-daily, prolonged-release tacrolimus vs twice-daily, immediate-release tacrolimus (88.2% vs 78.8%)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&lt;EndNote&gt;&lt;Cite&gt;&lt;Author&gt;Kuypers&lt;/Author&gt;&lt;Year&gt;2013&lt;/Year&gt;&lt;RecNum&gt;296&lt;/RecNum&gt;&lt;DisplayText&gt;(Kuypers et al., 2013)&lt;/DisplayText&gt;&lt;record&gt;&lt;rec-number&gt;296&lt;/rec-number&gt;&lt;foreign-keys&gt;&lt;key app="EN" db-id="ews5ve9enfwav7etdtjvztfdrftvwrf9vrsx" timestamp="1545179647"&gt;296&lt;/key&gt;&lt;/foreign-keys&gt;&lt;ref-type name="Journal Article"&gt;17&lt;/ref-type&gt;&lt;contributors&gt;&lt;authors&gt;&lt;author&gt;Kuypers, Dirk. R. J.&lt;/author&gt;&lt;author&gt;Peeters, Patrick. C.&lt;/author&gt;&lt;author&gt;Sennesael, Jacques. J.&lt;/author&gt;&lt;author&gt;Kianda, Mireille. N.&lt;/author&gt;&lt;author&gt;Vrijens, Bernard.&lt;/author&gt;&lt;author&gt;Kristanto, Paulus.&lt;/author&gt;&lt;author&gt;Dobbels, Fabienne.&lt;/author&gt;&lt;author&gt;Vanrenterghem, Yves.&lt;/author&gt;&lt;author&gt;Kanaan, Nada.&lt;/author&gt;&lt;/authors&gt;&lt;/contributors&gt;&lt;titles&gt;&lt;title&gt;Improved Adherence to Tacrolimus Once-Daily Formulation in Renal Recipients: A Randomized Controlled Trial Using Electronic Monitoring&lt;/title&gt;&lt;secondary-title&gt;Transplantation&lt;/secondary-title&gt;&lt;/titles&gt;&lt;periodical&gt;&lt;full-title&gt;Transplantation&lt;/full-title&gt;&lt;/periodical&gt;&lt;pages&gt;333-340&lt;/pages&gt;&lt;volume&gt;95&lt;/volume&gt;&lt;number&gt;2&lt;/number&gt;&lt;keywords&gt;&lt;keyword&gt;Medical adherence&lt;/keyword&gt;&lt;keyword&gt;Tacrolimus&lt;/keyword&gt;&lt;keyword&gt;Regimen simplification&lt;/keyword&gt;&lt;keyword&gt;Electronic monitoring&lt;/keyword&gt;&lt;keyword&gt;Renal transplantation&lt;/keyword&gt;&lt;/keywords&gt;&lt;dates&gt;&lt;year&gt;2013&lt;/year&gt;&lt;/dates&gt;&lt;accession-num&gt;00007890-201301270-00013&lt;/accession-num&gt;&lt;urls&gt;&lt;related-urls&gt;&lt;url&gt;https://journals.lww.com/transplantjournal/Fulltext/2013/01270/Improved_Adherence_to_Tacrolimus_Once_Daily.13.aspx&lt;/url&gt;&lt;/related-urls&gt;&lt;/urls&gt;&lt;electronic-resource-num&gt;10.1097/TP.0b013e3182725532&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(Kuypers et al., 2013)</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Furthermore, a recent study that examined self-reported nonadherence using the Basel Assessment of Adherence with Immunosuppressive Medication Scale (BAASIS) identified a significant impact on nonadherence following patient conversion from a twice-daily to once-daily tacrolimus regimen; nonadherence declined from 66.4% (immediate-release tacrolimus) at study entry to 30.9% (prolonged-release tacrolimus) at 1 year post-conversion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&lt;EndNote&gt;&lt;Cite&gt;&lt;Author&gt;Lehner&lt;/Author&gt;&lt;Year&gt;2018&lt;/Year&gt;&lt;RecNum&gt;295&lt;/RecNum&gt;&lt;DisplayText&gt;(Lehner et al., 2018)&lt;/DisplayText&gt;&lt;record&gt;&lt;rec-number&gt;295&lt;/rec-number&gt;&lt;foreign-keys&gt;&lt;key app="EN" db-id="ews5ve9enfwav7etdtjvztfdrftvwrf9vrsx" timestamp="1545179589"&gt;295&lt;/key&gt;&lt;/foreign-keys&gt;&lt;ref-type name="Journal Article"&gt;17&lt;/ref-type&gt;&lt;contributors&gt;&lt;authors&gt;&lt;author&gt;Lehner, Lukas J.&lt;/author&gt;&lt;author&gt;Reinke, Petra.&lt;/author&gt;&lt;author&gt;Hörstrup, Jan. H.&lt;/author&gt;&lt;author&gt;Rath, Thomas.&lt;/author&gt;&lt;author&gt;Suwelack, Barbara.&lt;/author&gt;&lt;author&gt;Krämer, Bernhard. K.&lt;/author&gt;&lt;author&gt;Budde, Klemens.&lt;/author&gt;&lt;author&gt;Banas, Bernhard.&lt;/author&gt;&lt;/authors&gt;&lt;/contributors&gt;&lt;titles&gt;&lt;title&gt;Evaluation of adherence and tolerability of prolonged-release tacrolimus (Advagraf™) in kidney transplant patients in Germany: A multicenter, noninterventional study&lt;/title&gt;&lt;secondary-title&gt;Clinical Transplantation&lt;/secondary-title&gt;&lt;/titles&gt;&lt;periodical&gt;&lt;full-title&gt;Clinical Transplantation&lt;/full-title&gt;&lt;/periodical&gt;&lt;pages&gt;e13142&lt;/pages&gt;&lt;volume&gt;32&lt;/volume&gt;&lt;number&gt;1&lt;/number&gt;&lt;dates&gt;&lt;year&gt;2018&lt;/year&gt;&lt;/dates&gt;&lt;urls&gt;&lt;related-urls&gt;&lt;url&gt;https://onlinelibrary.wiley.com/doi/abs/10.1111/ctr.13142&lt;/url&gt;&lt;/related-urls&gt;&lt;/urls&gt;&lt;electronic-resource-num&gt;10.1111/ctr.13142&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(Lehner et al., 2018)</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t>
      </w:r>
    </w:p>
    <w:p w14:paraId="311B4959" w14:textId="77777777" w:rsidR="0055104B"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noProof/>
          <w:sz w:val="22"/>
          <w:lang w:eastAsia="en-AU"/>
        </w:rPr>
        <w:lastRenderedPageBreak/>
        <mc:AlternateContent>
          <mc:Choice Requires="wps">
            <w:drawing>
              <wp:inline distT="0" distB="0" distL="0" distR="0" wp14:anchorId="0F5144F6" wp14:editId="333FF555">
                <wp:extent cx="5724525" cy="1990725"/>
                <wp:effectExtent l="0" t="0" r="28575" b="2857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990725"/>
                        </a:xfrm>
                        <a:prstGeom prst="rect">
                          <a:avLst/>
                        </a:prstGeom>
                        <a:solidFill>
                          <a:srgbClr val="70AD47">
                            <a:lumMod val="20000"/>
                            <a:lumOff val="80000"/>
                          </a:srgbClr>
                        </a:solidFill>
                        <a:ln w="9525">
                          <a:solidFill>
                            <a:srgbClr val="000000"/>
                          </a:solidFill>
                          <a:miter lim="800000"/>
                          <a:headEnd/>
                          <a:tailEnd/>
                        </a:ln>
                        <a:effectLst/>
                      </wps:spPr>
                      <wps:txbx>
                        <w:txbxContent>
                          <w:p w14:paraId="002F2FEE" w14:textId="77777777" w:rsidR="00A41391" w:rsidRPr="004C426E" w:rsidRDefault="00A41391" w:rsidP="009D683D">
                            <w:pPr>
                              <w:spacing w:line="276" w:lineRule="auto"/>
                              <w:jc w:val="both"/>
                              <w:rPr>
                                <w:b/>
                                <w:sz w:val="24"/>
                              </w:rPr>
                            </w:pPr>
                            <w:r w:rsidRPr="004C426E">
                              <w:rPr>
                                <w:b/>
                                <w:sz w:val="24"/>
                              </w:rPr>
                              <w:t xml:space="preserve">Box </w:t>
                            </w:r>
                            <w:r>
                              <w:rPr>
                                <w:b/>
                                <w:sz w:val="24"/>
                              </w:rPr>
                              <w:t>11</w:t>
                            </w:r>
                            <w:r w:rsidRPr="004C426E">
                              <w:rPr>
                                <w:b/>
                                <w:sz w:val="24"/>
                              </w:rPr>
                              <w:t>: Belatacept</w:t>
                            </w:r>
                          </w:p>
                          <w:p w14:paraId="2D4E79A1" w14:textId="77777777" w:rsidR="00A41391" w:rsidRDefault="00A41391" w:rsidP="009D683D">
                            <w:pPr>
                              <w:spacing w:line="276" w:lineRule="auto"/>
                              <w:jc w:val="both"/>
                            </w:pPr>
                            <w:r>
                              <w:t xml:space="preserve">The Australian nephrology community is also considering the merits of trialling a novel, long acting immunosuppressive agent called belatacept – a once monthly infusion that has been approved by the US Food and Drug Administration and the European Medicines Agency. A possible  </w:t>
                            </w:r>
                            <w:r w:rsidRPr="00F26C87">
                              <w:t xml:space="preserve">advantage of belatacept is the ease in which adherence can be tracked, as administration involves an intravenous infusion requiring attendance at an outpatient clinic or hospital </w:t>
                            </w:r>
                            <w:r w:rsidRPr="00F26C87">
                              <w:fldChar w:fldCharType="begin"/>
                            </w:r>
                            <w:r w:rsidRPr="00F26C87">
                              <w:instrText xml:space="preserve"> ADDIN EN.CITE &lt;EndNote&gt;&lt;Cite&gt;&lt;Author&gt;James&lt;/Author&gt;&lt;Year&gt;2015&lt;/Year&gt;&lt;RecNum&gt;43&lt;/RecNum&gt;&lt;DisplayText&gt;(James &amp;amp; Mannon, 2015)&lt;/DisplayText&gt;&lt;record&gt;&lt;rec-number&gt;43&lt;/rec-number&gt;&lt;foreign-keys&gt;&lt;key app="EN" db-id="ews5ve9enfwav7etdtjvztfdrftvwrf9vrsx" timestamp="1543204528"&gt;43&lt;/key&gt;&lt;/foreign-keys&gt;&lt;ref-type name="Journal Article"&gt;17&lt;/ref-type&gt;&lt;contributors&gt;&lt;authors&gt;&lt;author&gt;James, A.&lt;/author&gt;&lt;author&gt;Mannon, R. B.&lt;/author&gt;&lt;/authors&gt;&lt;/contributors&gt;&lt;auth-address&gt;Department of Pharmacy, University of Alabama at Birmingham, Birmingham, AL.&amp;#xD;Division of Nephrology, Department of Medicine, University of Alabama at Birmingham, Birmingham, AL.&lt;/auth-address&gt;&lt;titles&gt;&lt;title&gt;The Cost of Transplant Immunosuppressant Therapy: Is This Sustainable?&lt;/title&gt;&lt;secondary-title&gt;Curr Transplant Rep&lt;/secondary-title&gt;&lt;/titles&gt;&lt;periodical&gt;&lt;full-title&gt;Curr Transplant Rep&lt;/full-title&gt;&lt;/periodical&gt;&lt;pages&gt;113-121&lt;/pages&gt;&lt;volume&gt;2&lt;/volume&gt;&lt;number&gt;2&lt;/number&gt;&lt;edition&gt;2015/08/04&lt;/edition&gt;&lt;keywords&gt;&lt;keyword&gt;cost&lt;/keyword&gt;&lt;keyword&gt;immunosuppression&lt;/keyword&gt;&lt;keyword&gt;kidney&lt;/keyword&gt;&lt;keyword&gt;outcome&lt;/keyword&gt;&lt;keyword&gt;transplantation&lt;/keyword&gt;&lt;/keywords&gt;&lt;dates&gt;&lt;year&gt;2015&lt;/year&gt;&lt;pub-dates&gt;&lt;date&gt;Jun 1&lt;/date&gt;&lt;/pub-dates&gt;&lt;/dates&gt;&lt;isbn&gt;2196-3029 (Print)&lt;/isbn&gt;&lt;accession-num&gt;26236578&lt;/accession-num&gt;&lt;urls&gt;&lt;related-urls&gt;&lt;url&gt;https://www.ncbi.nlm.nih.gov/pubmed/26236578&lt;/url&gt;&lt;/related-urls&gt;&lt;/urls&gt;&lt;custom2&gt;PMC4520417&lt;/custom2&gt;&lt;electronic-resource-num&gt;10.1007/s40472-015-0052-y&lt;/electronic-resource-num&gt;&lt;remote-database-name&gt;PubMed&lt;/remote-database-name&gt;&lt;/record&gt;&lt;/Cite&gt;&lt;/EndNote&gt;</w:instrText>
                            </w:r>
                            <w:r w:rsidRPr="00F26C87">
                              <w:fldChar w:fldCharType="separate"/>
                            </w:r>
                            <w:r w:rsidRPr="00F26C87">
                              <w:rPr>
                                <w:noProof/>
                              </w:rPr>
                              <w:t>(James &amp; Mannon, 2015)</w:t>
                            </w:r>
                            <w:r w:rsidRPr="00F26C87">
                              <w:fldChar w:fldCharType="end"/>
                            </w:r>
                            <w:r w:rsidRPr="00F26C87">
                              <w:t xml:space="preserve">. Its longer acting formula also simplifies dosage requirements and reduces the number of </w:t>
                            </w:r>
                            <w:r>
                              <w:t>daily pills patients must consume</w:t>
                            </w:r>
                            <w:r w:rsidRPr="00F26C87">
                              <w:t>.</w:t>
                            </w:r>
                            <w:r>
                              <w:t xml:space="preserve"> Further information on the clinical advantages of belatacept, as well as knowledge and data gaps, are provided in </w:t>
                            </w:r>
                            <w:r w:rsidRPr="009F64A0">
                              <w:rPr>
                                <w:u w:val="single"/>
                              </w:rPr>
                              <w:t xml:space="preserve">Appendix </w:t>
                            </w:r>
                            <w:r>
                              <w:rPr>
                                <w:u w:val="single"/>
                              </w:rPr>
                              <w:t>B</w:t>
                            </w:r>
                            <w:r>
                              <w:t>.</w:t>
                            </w:r>
                          </w:p>
                        </w:txbxContent>
                      </wps:txbx>
                      <wps:bodyPr rot="0" vert="horz" wrap="square" lIns="91440" tIns="45720" rIns="91440" bIns="45720" anchor="t" anchorCtr="0">
                        <a:noAutofit/>
                      </wps:bodyPr>
                    </wps:wsp>
                  </a:graphicData>
                </a:graphic>
              </wp:inline>
            </w:drawing>
          </mc:Choice>
          <mc:Fallback>
            <w:pict>
              <v:shape w14:anchorId="0F5144F6" id="_x0000_s1039" type="#_x0000_t202" style="width:450.75pt;height:15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" fillcolor="#e2f0d9">
                <v:textbox>
                  <w:txbxContent>
                    <w:p w14:paraId="002F2FEE" w14:textId="77777777" w:rsidR="00A41391" w:rsidRPr="004C426E" w:rsidRDefault="00A41391" w:rsidP="009D683D">
                      <w:pPr>
                        <w:spacing w:line="276" w:lineRule="auto"/>
                        <w:jc w:val="both"/>
                        <w:rPr>
                          <w:b/>
                          <w:sz w:val="24"/>
                        </w:rPr>
                      </w:pPr>
                      <w:r w:rsidRPr="004C426E">
                        <w:rPr>
                          <w:b/>
                          <w:sz w:val="24"/>
                        </w:rPr>
                        <w:t xml:space="preserve">Box </w:t>
                      </w:r>
                      <w:r>
                        <w:rPr>
                          <w:b/>
                          <w:sz w:val="24"/>
                        </w:rPr>
                        <w:t>11</w:t>
                      </w:r>
                      <w:r w:rsidRPr="004C426E">
                        <w:rPr>
                          <w:b/>
                          <w:sz w:val="24"/>
                        </w:rPr>
                        <w:t xml:space="preserve">: </w:t>
                      </w:r>
                      <w:r w:rsidRPr="004C426E">
                        <w:rPr>
                          <w:b/>
                          <w:sz w:val="24"/>
                        </w:rPr>
                        <w:t>Belatacept</w:t>
                      </w:r>
                    </w:p>
                    <w:p w14:paraId="2D4E79A1" w14:textId="77777777" w:rsidR="00A41391" w:rsidRDefault="00A41391" w:rsidP="009D683D">
                      <w:pPr>
                        <w:spacing w:line="276" w:lineRule="auto"/>
                        <w:jc w:val="both"/>
                      </w:pPr>
                      <w:r>
                        <w:t xml:space="preserve">The Australian nephrology community is also considering the merits of trialling a novel, long acting immunosuppressive agent called belatacept – a once monthly infusion that has been approved by the US Food and Drug Administration and the European Medicines Agency. A possible  </w:t>
                      </w:r>
                      <w:r w:rsidRPr="00F26C87">
                        <w:t xml:space="preserve">advantage of belatacept is the ease in which adherence can be tracked, as administration involves an intravenous infusion requiring attendance at an outpatient clinic or hospital </w:t>
                      </w:r>
                      <w:r w:rsidRPr="00F26C87">
                        <w:fldChar w:fldCharType="begin"/>
                      </w:r>
                      <w:r w:rsidRPr="00F26C87">
                        <w:instrText xml:space="preserve"> ADDIN EN.CITE &lt;EndNote&gt;&lt;Cite&gt;&lt;Author&gt;James&lt;/Author&gt;&lt;Year&gt;2015&lt;/Year&gt;&lt;RecNum&gt;43&lt;/RecNum&gt;&lt;DisplayText&gt;(James &amp;amp; Mannon, 2015)&lt;/DisplayText&gt;&lt;record&gt;&lt;rec-number&gt;43&lt;/rec-number&gt;&lt;foreign-keys&gt;&lt;key app="EN" db-id="ews5ve9enfwav7etdtjvztfdrftvwrf9vrsx" timestamp="1543204528"&gt;43&lt;/key&gt;&lt;/foreign-keys&gt;&lt;ref-type name="Journal Article"&gt;17&lt;/ref-type&gt;&lt;contributors&gt;&lt;authors&gt;&lt;author&gt;James, A.&lt;/author&gt;&lt;author&gt;Mannon, R. B.&lt;/author&gt;&lt;/authors&gt;&lt;/contributors&gt;&lt;auth-address&gt;Department of Pharmacy, University of Alabama at Birmingham, Birmingham, AL.&amp;#xD;Division of Nephrology, Department of Medicine, University of Alabama at Birmingham, Birmingham, AL.&lt;/auth-address&gt;&lt;titles&gt;&lt;title&gt;The Cost of Transplant Immunosuppressant Therapy: Is This Sustainable?&lt;/title&gt;&lt;secondary-title&gt;Curr Transplant Rep&lt;/secondary-title&gt;&lt;/titles&gt;&lt;periodical&gt;&lt;full-title&gt;Curr Transplant Rep&lt;/full-title&gt;&lt;/periodical&gt;&lt;pages&gt;113-121&lt;/pages&gt;&lt;volume&gt;2&lt;/volume&gt;&lt;number&gt;2&lt;/number&gt;&lt;edition&gt;2015/08/04&lt;/edition&gt;&lt;keywords&gt;&lt;keyword&gt;cost&lt;/keyword&gt;&lt;keyword&gt;immunosuppression&lt;/keyword&gt;&lt;keyword&gt;kidney&lt;/keyword&gt;&lt;keyword&gt;outcome&lt;/keyword&gt;&lt;keyword&gt;transplantation&lt;/keyword&gt;&lt;/keywords&gt;&lt;dates&gt;&lt;year&gt;2015&lt;/year&gt;&lt;pub-dates&gt;&lt;date&gt;Jun 1&lt;/date&gt;&lt;/pub-dates&gt;&lt;/dates&gt;&lt;isbn&gt;2196-3029 (Print)&lt;/isbn&gt;&lt;accession-num&gt;26236578&lt;/accession-num&gt;&lt;urls&gt;&lt;related-urls&gt;&lt;url&gt;https://www.ncbi.nlm.nih.gov/pubmed/26236578&lt;/url&gt;&lt;/related-urls&gt;&lt;/urls&gt;&lt;custom2&gt;PMC4520417&lt;/custom2&gt;&lt;electronic-resource-num&gt;10.1007/s40472-015-0052-y&lt;/electronic-resource-num&gt;&lt;remote-database-name&gt;PubMed&lt;/remote-database-name&gt;&lt;/record&gt;&lt;/Cite&gt;&lt;/EndNote&gt;</w:instrText>
                      </w:r>
                      <w:r w:rsidRPr="00F26C87">
                        <w:fldChar w:fldCharType="separate"/>
                      </w:r>
                      <w:r w:rsidRPr="00F26C87">
                        <w:rPr>
                          <w:noProof/>
                        </w:rPr>
                        <w:t>(James &amp; Mannon, 2015)</w:t>
                      </w:r>
                      <w:r w:rsidRPr="00F26C87">
                        <w:fldChar w:fldCharType="end"/>
                      </w:r>
                      <w:r w:rsidRPr="00F26C87">
                        <w:t xml:space="preserve">. Its longer acting formula also simplifies dosage requirements and reduces the number of </w:t>
                      </w:r>
                      <w:r>
                        <w:t>daily pills patients must consume</w:t>
                      </w:r>
                      <w:r w:rsidRPr="00F26C87">
                        <w:t>.</w:t>
                      </w:r>
                      <w:r>
                        <w:t xml:space="preserve"> Further information on the clinical advantages of belatacept, as well as knowledge and data gaps, are provided in </w:t>
                      </w:r>
                      <w:r w:rsidRPr="009F64A0">
                        <w:rPr>
                          <w:u w:val="single"/>
                        </w:rPr>
                        <w:t xml:space="preserve">Appendix </w:t>
                      </w:r>
                      <w:r>
                        <w:rPr>
                          <w:u w:val="single"/>
                        </w:rPr>
                        <w:t>B</w:t>
                      </w:r>
                      <w:r>
                        <w:t>.</w:t>
                      </w:r>
                    </w:p>
                  </w:txbxContent>
                </v:textbox>
                <w10:anchorlock/>
              </v:shape>
            </w:pict>
          </mc:Fallback>
        </mc:AlternateContent>
      </w:r>
    </w:p>
    <w:p w14:paraId="7E450A78" w14:textId="77777777" w:rsidR="0055104B" w:rsidRDefault="0055104B" w:rsidP="009D683D">
      <w:pPr>
        <w:keepNext/>
        <w:keepLines/>
        <w:numPr>
          <w:ilvl w:val="3"/>
          <w:numId w:val="0"/>
        </w:numPr>
        <w:spacing w:before="40" w:after="0"/>
        <w:ind w:left="864" w:hanging="864"/>
        <w:outlineLvl w:val="3"/>
        <w:rPr>
          <w:rFonts w:ascii="Calibri Light" w:eastAsia="Times New Roman" w:hAnsi="Calibri Light" w:cs="Times New Roman"/>
          <w:i/>
          <w:iCs/>
          <w:sz w:val="22"/>
        </w:rPr>
      </w:pPr>
    </w:p>
    <w:p w14:paraId="4E18AE4B" w14:textId="7ED9A2BC"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Pharmacogenetic differences</w:t>
      </w:r>
    </w:p>
    <w:p w14:paraId="23E35F12"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Immunosuppression is of fundamental importance to the long-term survival of kidney transplant recipients. However, the immunosuppressive medications that are administered to prevent rejection in transplant recipients have a narrow therapeutic index. Under-immunosuppression results in episodes of rejection leading to either damage or loss of the kidney. Conversely, over immunosuppression increases the risk of infection and malignancy, as well as drug specific complications including diabetes mellitus and nephrotoxicity. Currently, immunosuppressive drug treatment tends to only be tailored in accordance with a clinical assessment of the patients’ risk of rejection or toxicity and blood drug concentrations, rather than on the basis of pharmacokinetic and pharmacogenetic profiling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&lt;EndNote&gt;&lt;Cite&gt;&lt;Author&gt;Abboudi&lt;/Author&gt;&lt;Year&gt;2012&lt;/Year&gt;&lt;RecNum&gt;34&lt;/RecNum&gt;&lt;DisplayText&gt;(Abboudi &amp;amp; Macphee, 2012)&lt;/DisplayText&gt;&lt;record&gt;&lt;rec-number&gt;34&lt;/rec-number&gt;&lt;foreign-keys&gt;&lt;key app="EN" db-id="ews5ve9enfwav7etdtjvztfdrftvwrf9vrsx" timestamp="1543204022"&gt;34&lt;/key&gt;&lt;/foreign-keys&gt;&lt;ref-type name="Journal Article"&gt;17&lt;/ref-type&gt;&lt;contributors&gt;&lt;authors&gt;&lt;author&gt;Abboudi, H.&lt;/author&gt;&lt;author&gt;Macphee, I. A.&lt;/author&gt;&lt;/authors&gt;&lt;/contributors&gt;&lt;auth-address&gt;Division of Clinical Sciences, Renal Medicine, St George&amp;apos;s, University of London, London, UK.&lt;/auth-address&gt;&lt;titles&gt;&lt;title&gt;Individualized immunosuppression in transplant patients: potential role of pharmacogenetics&lt;/title&gt;&lt;secondary-title&gt;Pharmgenomics Pers Med&lt;/secondary-title&gt;&lt;alt-title&gt;Pharmacogenomics and personalized medicine&lt;/alt-title&gt;&lt;/titles&gt;&lt;periodical&gt;&lt;full-title&gt;Pharmgenomics Pers Med&lt;/full-title&gt;&lt;abbr-1&gt;Pharmacogenomics and personalized medicine&lt;/abbr-1&gt;&lt;/periodical&gt;&lt;alt-periodical&gt;&lt;full-title&gt;Pharmgenomics Pers Med&lt;/full-title&gt;&lt;abbr-1&gt;Pharmacogenomics and personalized medicine&lt;/abbr-1&gt;&lt;/alt-periodical&gt;&lt;pages&gt;63-72&lt;/pages&gt;&lt;volume&gt;5&lt;/volume&gt;&lt;edition&gt;2012/12/12&lt;/edition&gt;&lt;keywords&gt;&lt;keyword&gt;Cyp3a5&lt;/keyword&gt;&lt;keyword&gt;immunosuppression&lt;/keyword&gt;&lt;keyword&gt;pharmacogenetics&lt;/keyword&gt;&lt;keyword&gt;transplantation&lt;/keyword&gt;&lt;/keywords&gt;&lt;dates&gt;&lt;year&gt;2012&lt;/year&gt;&lt;/dates&gt;&lt;isbn&gt;1178-7066 (Print)&amp;#xD;1178-7066 (Linking)&lt;/isbn&gt;&lt;accession-num&gt;23226063&lt;/accession-num&gt;&lt;urls&gt;&lt;related-urls&gt;&lt;url&gt;https://www.ncbi.nlm.nih.gov/pubmed/23226063&lt;/url&gt;&lt;/related-urls&gt;&lt;/urls&gt;&lt;custom2&gt;PMC3513229&lt;/custom2&gt;&lt;electronic-resource-num&gt;10.2147/PGPM.S21743&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(Abboudi &amp; Macphee, 2012)</w:t>
      </w:r>
      <w:r w:rsidRPr="009D683D">
        <w:rPr>
          <w:rFonts w:ascii="Calibri" w:eastAsia="Calibri" w:hAnsi="Calibri" w:cs="Times New Roman"/>
          <w:sz w:val="22"/>
        </w:rPr>
        <w:fldChar w:fldCharType="end"/>
      </w:r>
      <w:r w:rsidRPr="009D683D">
        <w:rPr>
          <w:rFonts w:ascii="Calibri" w:eastAsia="Calibri" w:hAnsi="Calibri" w:cs="Times New Roman"/>
          <w:sz w:val="22"/>
        </w:rPr>
        <w:t>.</w:t>
      </w:r>
    </w:p>
    <w:p w14:paraId="64C2F7A0"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While there is limited data on the pharmacogenetics of Australian Indigenous populations, there is some data to suggest that genotypes of key enzymes that metabolise immunosuppressive drugs differ between the Indigenous and Caucasian populations </w:t>
      </w:r>
      <w:r w:rsidRPr="009D683D">
        <w:rPr>
          <w:rFonts w:ascii="Calibri" w:eastAsia="Calibri" w:hAnsi="Calibri" w:cs="Times New Roman"/>
          <w:sz w:val="22"/>
        </w:rPr>
        <w:fldChar w:fldCharType="begin">
          <w:fldData xml:space="preserve">PEVuZE5vdGU+PENpdGU+PEF1dGhvcj5Hcmllc2U8L0F1dGhvcj48WWVhcj4yMDAxPC9ZZWFyPjxS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PEVuZE5vdGU+PENpdGU+PEF1dGhvcj5Hcmllc2U8L0F1dGhvcj48WWVhcj4yMDAxPC9ZZWFyPjxS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(Griese et al., 2001; Tucci, 2011)</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An Australian study is currently comparing immunosuppressant drug pharmacokinetic parameters and patient dosing requirements in Indigenous and non-Indigenous adult kidney transplant recipients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&lt;EndNote&gt;&lt;Cite&gt;&lt;Year&gt;2018&lt;/Year&gt;&lt;RecNum&gt;313&lt;/RecNum&gt;&lt;DisplayText&gt;(&amp;quot;The PK Study,&amp;quot; 2018)&lt;/DisplayText&gt;&lt;record&gt;&lt;rec-number&gt;313&lt;/rec-number&gt;&lt;foreign-keys&gt;&lt;key app="EN" db-id="ews5ve9enfwav7etdtjvztfdrftvwrf9vrsx" timestamp="1545277156"&gt;313&lt;/key&gt;&lt;/foreign-keys&gt;&lt;ref-type name="Web Page"&gt;12&lt;/ref-type&gt;&lt;contributors&gt;&lt;/contributors&gt;&lt;titles&gt;&lt;title&gt;The PK Study&lt;/title&gt;&lt;/titles&gt;&lt;volume&gt;2018&lt;/volume&gt;&lt;number&gt;20 December&lt;/number&gt;&lt;dates&gt;&lt;year&gt;2018&lt;/year&gt;&lt;/dates&gt;&lt;pub-location&gt;Darwin, Northern Territory&lt;/pub-location&gt;&lt;publisher&gt;Menzies School of Health Research&lt;/publisher&gt;&lt;urls&gt;&lt;related-urls&gt;&lt;url&gt;https://www.menzies.edu.au/page/Research/Projects/Kidney/Comparison_of_Immunosuppressant_Drug_Pharmacokinetics_in_Aboriginal_versus_non-Aboriginal_Australian_Kidney_Transplant_Recipients/&lt;/url&gt;&lt;/related-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("The PK Study," 2018)</w:t>
      </w:r>
      <w:r w:rsidRPr="009D683D">
        <w:rPr>
          <w:rFonts w:ascii="Calibri" w:eastAsia="Calibri" w:hAnsi="Calibri" w:cs="Times New Roman"/>
          <w:sz w:val="22"/>
        </w:rPr>
        <w:fldChar w:fldCharType="end"/>
      </w:r>
      <w:r w:rsidRPr="009D683D">
        <w:rPr>
          <w:rFonts w:ascii="Calibri" w:eastAsia="Calibri" w:hAnsi="Calibri" w:cs="Times New Roman"/>
          <w:sz w:val="22"/>
        </w:rPr>
        <w:t>. These findings will determine whether changes to immunosuppressive protocols are required to reduce immunosuppressant drug inefficacy, susceptibility to infection and toxicities in Indigenous Australians.</w:t>
      </w:r>
    </w:p>
    <w:p w14:paraId="26A296E9" w14:textId="77777777" w:rsidR="009D683D" w:rsidRPr="009D683D" w:rsidRDefault="009D683D" w:rsidP="009D683D">
      <w:pPr>
        <w:keepNext/>
        <w:keepLines/>
        <w:numPr>
          <w:ilvl w:val="2"/>
          <w:numId w:val="0"/>
        </w:numPr>
        <w:spacing w:before="40" w:after="0"/>
        <w:ind w:left="720" w:hanging="720"/>
        <w:outlineLvl w:val="2"/>
        <w:rPr>
          <w:rFonts w:ascii="Calibri Light" w:eastAsia="Times New Roman" w:hAnsi="Calibri Light" w:cs="Times New Roman"/>
          <w:sz w:val="24"/>
          <w:szCs w:val="24"/>
        </w:rPr>
      </w:pPr>
      <w:bookmarkStart w:id="56" w:name="_Toc2585816"/>
      <w:r w:rsidRPr="009D683D">
        <w:rPr>
          <w:rFonts w:ascii="Calibri Light" w:eastAsia="Times New Roman" w:hAnsi="Calibri Light" w:cs="Times New Roman"/>
          <w:sz w:val="24"/>
          <w:szCs w:val="24"/>
        </w:rPr>
        <w:t>Infective Prophylaxis</w:t>
      </w:r>
      <w:bookmarkEnd w:id="56"/>
    </w:p>
    <w:p w14:paraId="46841DB2" w14:textId="77777777" w:rsidR="009D683D" w:rsidRPr="009D683D" w:rsidRDefault="009D683D" w:rsidP="009D683D">
      <w:pPr>
        <w:spacing w:line="276" w:lineRule="auto"/>
        <w:jc w:val="both"/>
        <w:rPr>
          <w:rFonts w:ascii="Calibri" w:eastAsia="Calibri" w:hAnsi="Calibri" w:cs="Times New Roman"/>
          <w:sz w:val="22"/>
          <w:lang w:val="en-US"/>
        </w:rPr>
      </w:pPr>
      <w:r w:rsidRPr="009D683D">
        <w:rPr>
          <w:rFonts w:ascii="Calibri" w:eastAsia="Calibri" w:hAnsi="Calibri" w:cs="Times New Roman"/>
          <w:sz w:val="22"/>
          <w:lang w:val="en-US"/>
        </w:rPr>
        <w:t xml:space="preserve">Kidney transplantation necessitates long-term immunosuppression, which increases the risk of contracting viral, bacterial, parasitic and fungal infections </w:t>
      </w:r>
      <w:r w:rsidRPr="009D683D">
        <w:rPr>
          <w:rFonts w:ascii="Calibri" w:eastAsia="Calibri" w:hAnsi="Calibri" w:cs="Times New Roman"/>
          <w:sz w:val="22"/>
          <w:lang w:val="en-US"/>
        </w:rPr>
        <w:fldChar w:fldCharType="begin">
          <w:fldData xml:space="preserve">PEVuZE5vdGU+PENpdGU+PEF1dGhvcj5Cb2FuPC9BdXRob3I+PFllYXI+MjAxNzwvWWVhcj48UmVj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</w:fldData>
        </w:fldChar>
      </w:r>
      <w:r w:rsidRPr="009D683D">
        <w:rPr>
          <w:rFonts w:ascii="Calibri" w:eastAsia="Calibri" w:hAnsi="Calibri" w:cs="Times New Roman"/>
          <w:sz w:val="22"/>
          <w:lang w:val="en-US"/>
        </w:rPr>
        <w:instrText xml:space="preserve"> ADDIN EN.CITE </w:instrText>
      </w:r>
      <w:r w:rsidRPr="009D683D">
        <w:rPr>
          <w:rFonts w:ascii="Calibri" w:eastAsia="Calibri" w:hAnsi="Calibri" w:cs="Times New Roman"/>
          <w:sz w:val="22"/>
          <w:lang w:val="en-US"/>
        </w:rPr>
        <w:fldChar w:fldCharType="begin">
          <w:fldData xml:space="preserve">PEVuZE5vdGU+PENpdGU+PEF1dGhvcj5Cb2FuPC9BdXRob3I+PFllYXI+MjAxNzwvWWVhcj48UmVj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</w:fldData>
        </w:fldChar>
      </w:r>
      <w:r w:rsidRPr="009D683D">
        <w:rPr>
          <w:rFonts w:ascii="Calibri" w:eastAsia="Calibri" w:hAnsi="Calibri" w:cs="Times New Roman"/>
          <w:sz w:val="22"/>
          <w:lang w:val="en-US"/>
        </w:rPr>
        <w:instrText xml:space="preserve"> ADDIN EN.CITE.DATA </w:instrText>
      </w:r>
      <w:r w:rsidRPr="009D683D">
        <w:rPr>
          <w:rFonts w:ascii="Calibri" w:eastAsia="Calibri" w:hAnsi="Calibri" w:cs="Times New Roman"/>
          <w:sz w:val="22"/>
          <w:lang w:val="en-US"/>
        </w:rPr>
      </w:r>
      <w:r w:rsidRPr="009D683D">
        <w:rPr>
          <w:rFonts w:ascii="Calibri" w:eastAsia="Calibri" w:hAnsi="Calibri" w:cs="Times New Roman"/>
          <w:sz w:val="22"/>
          <w:lang w:val="en-US"/>
        </w:rPr>
        <w:fldChar w:fldCharType="end"/>
      </w:r>
      <w:r w:rsidRPr="009D683D">
        <w:rPr>
          <w:rFonts w:ascii="Calibri" w:eastAsia="Calibri" w:hAnsi="Calibri" w:cs="Times New Roman"/>
          <w:sz w:val="22"/>
          <w:lang w:val="en-US"/>
        </w:rPr>
      </w:r>
      <w:r w:rsidRPr="009D683D">
        <w:rPr>
          <w:rFonts w:ascii="Calibri" w:eastAsia="Calibri" w:hAnsi="Calibri" w:cs="Times New Roman"/>
          <w:sz w:val="22"/>
          <w:lang w:val="en-US"/>
        </w:rPr>
        <w:fldChar w:fldCharType="separate"/>
      </w:r>
      <w:r w:rsidRPr="009D683D">
        <w:rPr>
          <w:rFonts w:ascii="Calibri" w:eastAsia="Calibri" w:hAnsi="Calibri" w:cs="Times New Roman"/>
          <w:noProof/>
          <w:sz w:val="22"/>
          <w:lang w:val="en-US"/>
        </w:rPr>
        <w:t>(Boan et al., 2017)</w:t>
      </w:r>
      <w:r w:rsidRPr="009D683D">
        <w:rPr>
          <w:rFonts w:ascii="Calibri" w:eastAsia="Calibri" w:hAnsi="Calibri" w:cs="Times New Roman"/>
          <w:sz w:val="22"/>
          <w:lang w:val="en-US"/>
        </w:rPr>
        <w:fldChar w:fldCharType="end"/>
      </w:r>
      <w:r w:rsidRPr="009D683D">
        <w:rPr>
          <w:rFonts w:ascii="Calibri" w:eastAsia="Calibri" w:hAnsi="Calibri" w:cs="Times New Roman"/>
          <w:sz w:val="22"/>
          <w:lang w:val="en-US"/>
        </w:rPr>
        <w:t xml:space="preserve">. Analyses of ANZDATA data indicate Indigenous kidney transplant recipients experience significantly higher rates of graft loss and death compared to non-Indigenous recipients, primarily due to infection </w:t>
      </w:r>
      <w:r w:rsidRPr="009D683D">
        <w:rPr>
          <w:rFonts w:ascii="Calibri" w:eastAsia="Calibri" w:hAnsi="Calibri" w:cs="Times New Roman"/>
          <w:sz w:val="22"/>
          <w:lang w:val="en-US"/>
        </w:rPr>
        <w:fldChar w:fldCharType="begin"/>
      </w:r>
      <w:r w:rsidRPr="009D683D">
        <w:rPr>
          <w:rFonts w:ascii="Calibri" w:eastAsia="Calibri" w:hAnsi="Calibri" w:cs="Times New Roman"/>
          <w:sz w:val="22"/>
          <w:lang w:val="en-US"/>
        </w:rPr>
        <w:instrText xml:space="preserve"> ADDIN EN.CITE &lt;EndNote&gt;&lt;Cite&gt;&lt;Author&gt;McDonald&lt;/Author&gt;&lt;Year&gt;2004&lt;/Year&gt;&lt;RecNum&gt;303&lt;/RecNum&gt;&lt;DisplayText&gt;(McDonald, 2004)&lt;/DisplayText&gt;&lt;record&gt;&lt;rec-number&gt;303&lt;/rec-number&gt;&lt;foreign-keys&gt;&lt;key app="EN" db-id="ews5ve9enfwav7etdtjvztfdrftvwrf9vrsx" timestamp="1545259592"&gt;303&lt;/key&gt;&lt;/foreign-keys&gt;&lt;ref-type name="Journal Article"&gt;17&lt;/ref-type&gt;&lt;contributors&gt;&lt;authors&gt;&lt;author&gt;McDonald, S. P.&lt;/author&gt;&lt;/authors&gt;&lt;/contributors&gt;&lt;auth-address&gt;ANZDATA Registry, Adelaide, SA, Australia. stephnm@anzdata.org.au&lt;/auth-address&gt;&lt;titles&gt;&lt;title&gt;Indigenous transplant outcomes in Australia: what the ANZDATA Registry tells us&lt;/title&gt;&lt;secondary-title&gt;Nephrology (Carlton)&lt;/secondary-title&gt;&lt;alt-title&gt;Nephrology (Carlton, Vic.)&lt;/alt-title&gt;&lt;/titles&gt;&lt;periodical&gt;&lt;full-title&gt;Nephrology (Carlton)&lt;/full-title&gt;&lt;/periodical&gt;&lt;pages&gt;S138-43&lt;/pages&gt;&lt;volume&gt;9 &lt;/volume&gt;&lt;number&gt;Suppl 4&lt;/number&gt;&lt;edition&gt;2004/12/17&lt;/edition&gt;&lt;keywords&gt;&lt;keyword&gt;Adult&lt;/keyword&gt;&lt;keyword&gt;Australia&lt;/keyword&gt;&lt;keyword&gt;Female&lt;/keyword&gt;&lt;keyword&gt;Graft Survival&lt;/keyword&gt;&lt;keyword&gt;Humans&lt;/keyword&gt;&lt;keyword&gt;Kidney Transplantation/*ethnology/mortality&lt;/keyword&gt;&lt;keyword&gt;Male&lt;/keyword&gt;&lt;keyword&gt;Middle Aged&lt;/keyword&gt;&lt;keyword&gt;*Oceanic Ancestry Group/statistics &amp;amp; numerical data&lt;/keyword&gt;&lt;keyword&gt;Survival Rate&lt;/keyword&gt;&lt;keyword&gt;Tissue Donors&lt;/keyword&gt;&lt;/keywords&gt;&lt;dates&gt;&lt;year&gt;2004&lt;/year&gt;&lt;pub-dates&gt;&lt;date&gt;Dec&lt;/date&gt;&lt;/pub-dates&gt;&lt;/dates&gt;&lt;isbn&gt;1320-5358 (Print)&amp;#xD;1320-5358 (Linking)&lt;/isbn&gt;&lt;accession-num&gt;15601406&lt;/accession-num&gt;&lt;urls&gt;&lt;related-urls&gt;&lt;url&gt;https://www.ncbi.nlm.nih.gov/pubmed/15601406&lt;/url&gt;&lt;/related-urls&gt;&lt;/urls&gt;&lt;electronic-resource-num&gt;10.1111/j.1440-1797.2004.00350.x&lt;/electronic-resource-num&gt;&lt;/record&gt;&lt;/Cite&gt;&lt;/EndNote&gt;</w:instrText>
      </w:r>
      <w:r w:rsidRPr="009D683D">
        <w:rPr>
          <w:rFonts w:ascii="Calibri" w:eastAsia="Calibri" w:hAnsi="Calibri" w:cs="Times New Roman"/>
          <w:sz w:val="22"/>
          <w:lang w:val="en-US"/>
        </w:rPr>
        <w:fldChar w:fldCharType="separate"/>
      </w:r>
      <w:r w:rsidRPr="009D683D">
        <w:rPr>
          <w:rFonts w:ascii="Calibri" w:eastAsia="Calibri" w:hAnsi="Calibri" w:cs="Times New Roman"/>
          <w:noProof/>
          <w:sz w:val="22"/>
          <w:lang w:val="en-US"/>
        </w:rPr>
        <w:t>(McDonald, 2004)</w:t>
      </w:r>
      <w:r w:rsidRPr="009D683D">
        <w:rPr>
          <w:rFonts w:ascii="Calibri" w:eastAsia="Calibri" w:hAnsi="Calibri" w:cs="Times New Roman"/>
          <w:sz w:val="22"/>
          <w:lang w:val="en-US"/>
        </w:rPr>
        <w:fldChar w:fldCharType="end"/>
      </w:r>
      <w:r w:rsidRPr="009D683D">
        <w:rPr>
          <w:rFonts w:ascii="Calibri" w:eastAsia="Calibri" w:hAnsi="Calibri" w:cs="Times New Roman"/>
          <w:sz w:val="22"/>
          <w:lang w:val="en-US"/>
        </w:rPr>
        <w:t xml:space="preserve">. The administration of greater immunosuppression in response to Indigenous patients’ higher rejection rates is a probable antecedent to infective complications in Indigenous patients, though in most cases the causes are likely multifactorial </w:t>
      </w:r>
      <w:r w:rsidRPr="009D683D">
        <w:rPr>
          <w:rFonts w:ascii="Calibri" w:eastAsia="Calibri" w:hAnsi="Calibri" w:cs="Times New Roman"/>
          <w:sz w:val="22"/>
          <w:lang w:val="en-US"/>
        </w:rPr>
        <w:fldChar w:fldCharType="begin"/>
      </w:r>
      <w:r w:rsidRPr="009D683D">
        <w:rPr>
          <w:rFonts w:ascii="Calibri" w:eastAsia="Calibri" w:hAnsi="Calibri" w:cs="Times New Roman"/>
          <w:sz w:val="22"/>
          <w:lang w:val="en-US"/>
        </w:rPr>
        <w:instrText xml:space="preserve"> ADDIN EN.CITE &lt;EndNote&gt;&lt;Cite&gt;&lt;Author&gt;Barraclough&lt;/Author&gt;&lt;Year&gt;2016&lt;/Year&gt;&lt;RecNum&gt;78&lt;/RecNum&gt;&lt;DisplayText&gt;(Barraclough et al., 2016)&lt;/DisplayText&gt;&lt;record&gt;&lt;rec-number&gt;78&lt;/rec-number&gt;&lt;foreign-keys&gt;&lt;key app="EN" db-id="ews5ve9enfwav7etdtjvztfdrftvwrf9vrsx" timestamp="1543209419"&gt;78&lt;/key&gt;&lt;/foreign-keys&gt;&lt;ref-type name="Journal Article"&gt;17&lt;/ref-type&gt;&lt;contributors&gt;&lt;authors&gt;&lt;author&gt;Barraclough, K. A.&lt;/author&gt;&lt;author&gt;Grace, B. S.&lt;/author&gt;&lt;author&gt;Lawton, P.&lt;/author&gt;&lt;author&gt;McDonald, S. P.&lt;/author&gt;&lt;/authors&gt;&lt;/contributors&gt;&lt;titles&gt;&lt;title&gt;Residential location and kidney transplant outcomes in indigenous compared with non-Indigenous Australians&lt;/title&gt;&lt;secondary-title&gt;Transplantation&lt;/secondary-title&gt;&lt;/titles&gt;&lt;periodical&gt;&lt;full-title&gt;Transplantation&lt;/full-title&gt;&lt;/periodical&gt;&lt;volume&gt;100&lt;/volume&gt;&lt;dates&gt;&lt;year&gt;2016&lt;/year&gt;&lt;/dates&gt;&lt;label&gt;Barraclough2016&lt;/label&gt;&lt;urls&gt;&lt;related-urls&gt;&lt;url&gt;https://doi.org/10.1097/TP.0000000000001007&lt;/url&gt;&lt;/related-urls&gt;&lt;/urls&gt;&lt;electronic-resource-num&gt;10.1097/tp.0000000000001007&lt;/electronic-resource-num&gt;&lt;/record&gt;&lt;/Cite&gt;&lt;/EndNote&gt;</w:instrText>
      </w:r>
      <w:r w:rsidRPr="009D683D">
        <w:rPr>
          <w:rFonts w:ascii="Calibri" w:eastAsia="Calibri" w:hAnsi="Calibri" w:cs="Times New Roman"/>
          <w:sz w:val="22"/>
          <w:lang w:val="en-US"/>
        </w:rPr>
        <w:fldChar w:fldCharType="separate"/>
      </w:r>
      <w:r w:rsidRPr="009D683D">
        <w:rPr>
          <w:rFonts w:ascii="Calibri" w:eastAsia="Calibri" w:hAnsi="Calibri" w:cs="Times New Roman"/>
          <w:noProof/>
          <w:sz w:val="22"/>
          <w:lang w:val="en-US"/>
        </w:rPr>
        <w:t>(Barraclough et al., 2016)</w:t>
      </w:r>
      <w:r w:rsidRPr="009D683D">
        <w:rPr>
          <w:rFonts w:ascii="Calibri" w:eastAsia="Calibri" w:hAnsi="Calibri" w:cs="Times New Roman"/>
          <w:sz w:val="22"/>
          <w:lang w:val="en-US"/>
        </w:rPr>
        <w:fldChar w:fldCharType="end"/>
      </w:r>
      <w:r w:rsidRPr="009D683D">
        <w:rPr>
          <w:rFonts w:ascii="Calibri" w:eastAsia="Calibri" w:hAnsi="Calibri" w:cs="Times New Roman"/>
          <w:sz w:val="22"/>
          <w:lang w:val="en-US"/>
        </w:rPr>
        <w:t xml:space="preserve">. Other factors that influence the risk of infection include environmental exposure, clinical risk factors such as diabetes, substandard housing, inadequate infrastructure for sanitation and geographical location </w:t>
      </w:r>
      <w:r w:rsidRPr="009D683D">
        <w:rPr>
          <w:rFonts w:ascii="Calibri" w:eastAsia="Calibri" w:hAnsi="Calibri" w:cs="Times New Roman"/>
          <w:sz w:val="22"/>
          <w:lang w:val="en-US"/>
        </w:rPr>
        <w:fldChar w:fldCharType="begin"/>
      </w:r>
      <w:r w:rsidRPr="009D683D">
        <w:rPr>
          <w:rFonts w:ascii="Calibri" w:eastAsia="Calibri" w:hAnsi="Calibri" w:cs="Times New Roman"/>
          <w:sz w:val="22"/>
          <w:lang w:val="en-US"/>
        </w:rPr>
        <w:instrText xml:space="preserve"> ADDIN EN.CITE &lt;EndNote&gt;&lt;Cite&gt;&lt;Author&gt;Rogers&lt;/Author&gt;&lt;Year&gt;2006&lt;/Year&gt;&lt;RecNum&gt;72&lt;/RecNum&gt;&lt;DisplayText&gt;(Rogers et al., 2006)&lt;/DisplayText&gt;&lt;record&gt;&lt;rec-number&gt;72&lt;/rec-number&gt;&lt;foreign-keys&gt;&lt;key app="EN" db-id="ews5ve9enfwav7etdtjvztfdrftvwrf9vrsx" timestamp="1543209419"&gt;72&lt;/key&gt;&lt;/foreign-keys&gt;&lt;ref-type name="Journal Article"&gt;17&lt;/ref-type&gt;&lt;contributors&gt;&lt;authors&gt;&lt;author&gt;Rogers, N. M.&lt;/author&gt;&lt;author&gt;Lawton, P. D.&lt;/author&gt;&lt;author&gt;Jose, M. D.&lt;/author&gt;&lt;/authors&gt;&lt;/contributors&gt;&lt;titles&gt;&lt;title&gt;Kidney transplant outcomes in the Indigenous population in the Northern Territory of Australia&lt;/title&gt;&lt;secondary-title&gt;Transplantation&lt;/secondary-title&gt;&lt;/titles&gt;&lt;periodical&gt;&lt;full-title&gt;Transplantation&lt;/full-title&gt;&lt;/periodical&gt;&lt;volume&gt;82&lt;/volume&gt;&lt;dates&gt;&lt;year&gt;2006&lt;/year&gt;&lt;/dates&gt;&lt;label&gt;Rogers2006&lt;/label&gt;&lt;urls&gt;&lt;related-urls&gt;&lt;url&gt;https://doi.org/10.1097/01.tp.0000232439.88527.49&lt;/url&gt;&lt;/related-urls&gt;&lt;/urls&gt;&lt;electronic-resource-num&gt;10.1097/01.tp.0000232439.88527.49&lt;/electronic-resource-num&gt;&lt;/record&gt;&lt;/Cite&gt;&lt;/EndNote&gt;</w:instrText>
      </w:r>
      <w:r w:rsidRPr="009D683D">
        <w:rPr>
          <w:rFonts w:ascii="Calibri" w:eastAsia="Calibri" w:hAnsi="Calibri" w:cs="Times New Roman"/>
          <w:sz w:val="22"/>
          <w:lang w:val="en-US"/>
        </w:rPr>
        <w:fldChar w:fldCharType="separate"/>
      </w:r>
      <w:r w:rsidRPr="009D683D">
        <w:rPr>
          <w:rFonts w:ascii="Calibri" w:eastAsia="Calibri" w:hAnsi="Calibri" w:cs="Times New Roman"/>
          <w:noProof/>
          <w:sz w:val="22"/>
          <w:lang w:val="en-US"/>
        </w:rPr>
        <w:t>(Rogers et al., 2006)</w:t>
      </w:r>
      <w:r w:rsidRPr="009D683D">
        <w:rPr>
          <w:rFonts w:ascii="Calibri" w:eastAsia="Calibri" w:hAnsi="Calibri" w:cs="Times New Roman"/>
          <w:sz w:val="22"/>
          <w:lang w:val="en-US"/>
        </w:rPr>
        <w:fldChar w:fldCharType="end"/>
      </w:r>
      <w:r w:rsidRPr="009D683D">
        <w:rPr>
          <w:rFonts w:ascii="Calibri" w:eastAsia="Calibri" w:hAnsi="Calibri" w:cs="Times New Roman"/>
          <w:sz w:val="22"/>
          <w:lang w:val="en-US"/>
        </w:rPr>
        <w:t xml:space="preserve">. </w:t>
      </w:r>
    </w:p>
    <w:p w14:paraId="55740037" w14:textId="77777777" w:rsidR="009D683D" w:rsidRPr="009D683D" w:rsidRDefault="009D683D" w:rsidP="009D683D">
      <w:pPr>
        <w:spacing w:line="276" w:lineRule="auto"/>
        <w:jc w:val="both"/>
        <w:rPr>
          <w:rFonts w:ascii="Calibri" w:eastAsia="Calibri" w:hAnsi="Calibri" w:cs="Times New Roman"/>
          <w:sz w:val="22"/>
          <w:lang w:val="en-US"/>
        </w:rPr>
      </w:pPr>
      <w:r w:rsidRPr="009D683D">
        <w:rPr>
          <w:rFonts w:ascii="Calibri" w:eastAsia="Calibri" w:hAnsi="Calibri" w:cs="Times New Roman"/>
          <w:sz w:val="22"/>
          <w:lang w:val="en-US"/>
        </w:rPr>
        <w:t xml:space="preserve">The underlying risk of infective deaths among the broader Australian Indigenous population is substantially higher than for the non-Indigenous population. This risk increases with remoteness, indicating that environmental factors (including housing conditions and access to health services) play a key role in the manifestation of infection </w:t>
      </w:r>
      <w:r w:rsidRPr="009D683D">
        <w:rPr>
          <w:rFonts w:ascii="Calibri" w:eastAsia="Calibri" w:hAnsi="Calibri" w:cs="Times New Roman"/>
          <w:sz w:val="22"/>
          <w:lang w:val="en-US"/>
        </w:rPr>
        <w:fldChar w:fldCharType="begin">
          <w:fldData xml:space="preserve">PEVuZE5vdGU+PENpdGU+PEF1dGhvcj5DYXNzPC9BdXRob3I+PFllYXI+MjAwMTwvWWVhcj48UmVj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</w:fldData>
        </w:fldChar>
      </w:r>
      <w:r w:rsidRPr="009D683D">
        <w:rPr>
          <w:rFonts w:ascii="Calibri" w:eastAsia="Calibri" w:hAnsi="Calibri" w:cs="Times New Roman"/>
          <w:sz w:val="22"/>
          <w:lang w:val="en-US"/>
        </w:rPr>
        <w:instrText xml:space="preserve"> ADDIN EN.CITE </w:instrText>
      </w:r>
      <w:r w:rsidRPr="009D683D">
        <w:rPr>
          <w:rFonts w:ascii="Calibri" w:eastAsia="Calibri" w:hAnsi="Calibri" w:cs="Times New Roman"/>
          <w:sz w:val="22"/>
          <w:lang w:val="en-US"/>
        </w:rPr>
        <w:fldChar w:fldCharType="begin">
          <w:fldData xml:space="preserve">PEVuZE5vdGU+PENpdGU+PEF1dGhvcj5DYXNzPC9BdXRob3I+PFllYXI+MjAwMTwvWWVhcj48UmVj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</w:fldData>
        </w:fldChar>
      </w:r>
      <w:r w:rsidRPr="009D683D">
        <w:rPr>
          <w:rFonts w:ascii="Calibri" w:eastAsia="Calibri" w:hAnsi="Calibri" w:cs="Times New Roman"/>
          <w:sz w:val="22"/>
          <w:lang w:val="en-US"/>
        </w:rPr>
        <w:instrText xml:space="preserve"> ADDIN EN.CITE.DATA </w:instrText>
      </w:r>
      <w:r w:rsidRPr="009D683D">
        <w:rPr>
          <w:rFonts w:ascii="Calibri" w:eastAsia="Calibri" w:hAnsi="Calibri" w:cs="Times New Roman"/>
          <w:sz w:val="22"/>
          <w:lang w:val="en-US"/>
        </w:rPr>
      </w:r>
      <w:r w:rsidRPr="009D683D">
        <w:rPr>
          <w:rFonts w:ascii="Calibri" w:eastAsia="Calibri" w:hAnsi="Calibri" w:cs="Times New Roman"/>
          <w:sz w:val="22"/>
          <w:lang w:val="en-US"/>
        </w:rPr>
        <w:fldChar w:fldCharType="end"/>
      </w:r>
      <w:r w:rsidRPr="009D683D">
        <w:rPr>
          <w:rFonts w:ascii="Calibri" w:eastAsia="Calibri" w:hAnsi="Calibri" w:cs="Times New Roman"/>
          <w:sz w:val="22"/>
          <w:lang w:val="en-US"/>
        </w:rPr>
      </w:r>
      <w:r w:rsidRPr="009D683D">
        <w:rPr>
          <w:rFonts w:ascii="Calibri" w:eastAsia="Calibri" w:hAnsi="Calibri" w:cs="Times New Roman"/>
          <w:sz w:val="22"/>
          <w:lang w:val="en-US"/>
        </w:rPr>
        <w:fldChar w:fldCharType="separate"/>
      </w:r>
      <w:r w:rsidRPr="009D683D">
        <w:rPr>
          <w:rFonts w:ascii="Calibri" w:eastAsia="Calibri" w:hAnsi="Calibri" w:cs="Times New Roman"/>
          <w:noProof/>
          <w:sz w:val="22"/>
          <w:lang w:val="en-US"/>
        </w:rPr>
        <w:t xml:space="preserve">(Cass et al., 2001; Dey, Knox, Wang, Beard, &amp; McIntyre, </w:t>
      </w:r>
      <w:r w:rsidRPr="009D683D">
        <w:rPr>
          <w:rFonts w:ascii="Calibri" w:eastAsia="Calibri" w:hAnsi="Calibri" w:cs="Times New Roman"/>
          <w:noProof/>
          <w:sz w:val="22"/>
          <w:lang w:val="en-US"/>
        </w:rPr>
        <w:lastRenderedPageBreak/>
        <w:t>2016)</w:t>
      </w:r>
      <w:r w:rsidRPr="009D683D">
        <w:rPr>
          <w:rFonts w:ascii="Calibri" w:eastAsia="Calibri" w:hAnsi="Calibri" w:cs="Times New Roman"/>
          <w:sz w:val="22"/>
          <w:lang w:val="en-US"/>
        </w:rPr>
        <w:fldChar w:fldCharType="end"/>
      </w:r>
      <w:r w:rsidRPr="009D683D">
        <w:rPr>
          <w:rFonts w:ascii="Calibri" w:eastAsia="Calibri" w:hAnsi="Calibri" w:cs="Times New Roman"/>
          <w:sz w:val="22"/>
          <w:lang w:val="en-US"/>
        </w:rPr>
        <w:t xml:space="preserve">. Standardised mortality rates for infective deaths in the Indigenous community compared to the general population are 4.5-fold and 3.1-fold for males and females respectively </w:t>
      </w:r>
      <w:r w:rsidRPr="009D683D">
        <w:rPr>
          <w:rFonts w:ascii="Calibri" w:eastAsia="Calibri" w:hAnsi="Calibri" w:cs="Times New Roman"/>
          <w:sz w:val="22"/>
          <w:lang w:val="en-US"/>
        </w:rPr>
        <w:fldChar w:fldCharType="begin"/>
      </w:r>
      <w:r w:rsidRPr="009D683D">
        <w:rPr>
          <w:rFonts w:ascii="Calibri" w:eastAsia="Calibri" w:hAnsi="Calibri" w:cs="Times New Roman"/>
          <w:sz w:val="22"/>
          <w:lang w:val="en-US"/>
        </w:rPr>
        <w:instrText xml:space="preserve"> ADDIN EN.CITE &lt;EndNote&gt;&lt;Cite&gt;&lt;Year&gt;2011&lt;/Year&gt;&lt;RecNum&gt;324&lt;/RecNum&gt;&lt;DisplayText&gt;(AIHW, 2011b)&lt;/DisplayText&gt;&lt;record&gt;&lt;rec-number&gt;324&lt;/rec-number&gt;&lt;foreign-keys&gt;&lt;key app="EN" db-id="ews5ve9enfwav7etdtjvztfdrftvwrf9vrsx" timestamp="1545620212"&gt;324&lt;/key&gt;&lt;/foreign-keys&gt;&lt;ref-type name="Government Document"&gt;46&lt;/ref-type&gt;&lt;contributors&gt;&lt;authors&gt;&lt;author&gt;AIHW&lt;/author&gt;&lt;/authors&gt;&lt;secondary-authors&gt;&lt;author&gt;Australian Institute of Health and Welfare&lt;/author&gt;&lt;/secondary-authors&gt;&lt;/contributors&gt;&lt;titles&gt;&lt;title&gt;Life expectancy and mortality of Aboriginal and Torres Strait Islander people&lt;/title&gt;&lt;/titles&gt;&lt;dates&gt;&lt;year&gt;2011&lt;/year&gt;&lt;/dates&gt;&lt;pub-location&gt;Canberra, Australia&lt;/pub-location&gt;&lt;publisher&gt;Australian Institute of Health and Welfare&lt;/publisher&gt;&lt;urls&gt;&lt;related-urls&gt;&lt;url&gt;https://www.aihw.gov.au/reports/indigenous-australians/life-expectancy-and-mortality-of-aboriginal-and-to/contents/table-of-contents&lt;/url&gt;&lt;/related-urls&gt;&lt;/urls&gt;&lt;/record&gt;&lt;/Cite&gt;&lt;/EndNote&gt;</w:instrText>
      </w:r>
      <w:r w:rsidRPr="009D683D">
        <w:rPr>
          <w:rFonts w:ascii="Calibri" w:eastAsia="Calibri" w:hAnsi="Calibri" w:cs="Times New Roman"/>
          <w:sz w:val="22"/>
          <w:lang w:val="en-US"/>
        </w:rPr>
        <w:fldChar w:fldCharType="separate"/>
      </w:r>
      <w:r w:rsidRPr="009D683D">
        <w:rPr>
          <w:rFonts w:ascii="Calibri" w:eastAsia="Calibri" w:hAnsi="Calibri" w:cs="Times New Roman"/>
          <w:noProof/>
          <w:sz w:val="22"/>
          <w:lang w:val="en-US"/>
        </w:rPr>
        <w:t>(AIHW, 2011b)</w:t>
      </w:r>
      <w:r w:rsidRPr="009D683D">
        <w:rPr>
          <w:rFonts w:ascii="Calibri" w:eastAsia="Calibri" w:hAnsi="Calibri" w:cs="Times New Roman"/>
          <w:sz w:val="22"/>
          <w:lang w:val="en-US"/>
        </w:rPr>
        <w:fldChar w:fldCharType="end"/>
      </w:r>
      <w:r w:rsidRPr="009D683D">
        <w:rPr>
          <w:rFonts w:ascii="Calibri" w:eastAsia="Calibri" w:hAnsi="Calibri" w:cs="Times New Roman"/>
          <w:sz w:val="22"/>
          <w:lang w:val="en-US"/>
        </w:rPr>
        <w:t xml:space="preserve">. Indigenous Australians also have an increased incidence of 3.6-fold for invasive pneumococcal disease, 4-fold for sepsis and 4.6-fold for influenza compared to non-Indigenous Australians </w:t>
      </w:r>
      <w:r w:rsidRPr="009D683D">
        <w:rPr>
          <w:rFonts w:ascii="Calibri" w:eastAsia="Calibri" w:hAnsi="Calibri" w:cs="Times New Roman"/>
          <w:sz w:val="22"/>
          <w:lang w:val="en-US"/>
        </w:rPr>
        <w:fldChar w:fldCharType="begin">
          <w:fldData xml:space="preserve">PEVuZE5vdGU+PENpdGU+PEF1dGhvcj5EYXZpczwvQXV0aG9yPjxZZWFyPjIwMTE8L1llYXI+PFJl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</w:fldData>
        </w:fldChar>
      </w:r>
      <w:r w:rsidRPr="009D683D">
        <w:rPr>
          <w:rFonts w:ascii="Calibri" w:eastAsia="Calibri" w:hAnsi="Calibri" w:cs="Times New Roman"/>
          <w:sz w:val="22"/>
          <w:lang w:val="en-US"/>
        </w:rPr>
        <w:instrText xml:space="preserve"> ADDIN EN.CITE </w:instrText>
      </w:r>
      <w:r w:rsidRPr="009D683D">
        <w:rPr>
          <w:rFonts w:ascii="Calibri" w:eastAsia="Calibri" w:hAnsi="Calibri" w:cs="Times New Roman"/>
          <w:sz w:val="22"/>
          <w:lang w:val="en-US"/>
        </w:rPr>
        <w:fldChar w:fldCharType="begin">
          <w:fldData xml:space="preserve">PEVuZE5vdGU+PENpdGU+PEF1dGhvcj5EYXZpczwvQXV0aG9yPjxZZWFyPjIwMTE8L1llYXI+PFJl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</w:fldData>
        </w:fldChar>
      </w:r>
      <w:r w:rsidRPr="009D683D">
        <w:rPr>
          <w:rFonts w:ascii="Calibri" w:eastAsia="Calibri" w:hAnsi="Calibri" w:cs="Times New Roman"/>
          <w:sz w:val="22"/>
          <w:lang w:val="en-US"/>
        </w:rPr>
        <w:instrText xml:space="preserve"> ADDIN EN.CITE.DATA </w:instrText>
      </w:r>
      <w:r w:rsidRPr="009D683D">
        <w:rPr>
          <w:rFonts w:ascii="Calibri" w:eastAsia="Calibri" w:hAnsi="Calibri" w:cs="Times New Roman"/>
          <w:sz w:val="22"/>
          <w:lang w:val="en-US"/>
        </w:rPr>
      </w:r>
      <w:r w:rsidRPr="009D683D">
        <w:rPr>
          <w:rFonts w:ascii="Calibri" w:eastAsia="Calibri" w:hAnsi="Calibri" w:cs="Times New Roman"/>
          <w:sz w:val="22"/>
          <w:lang w:val="en-US"/>
        </w:rPr>
        <w:fldChar w:fldCharType="end"/>
      </w:r>
      <w:r w:rsidRPr="009D683D">
        <w:rPr>
          <w:rFonts w:ascii="Calibri" w:eastAsia="Calibri" w:hAnsi="Calibri" w:cs="Times New Roman"/>
          <w:sz w:val="22"/>
          <w:lang w:val="en-US"/>
        </w:rPr>
      </w:r>
      <w:r w:rsidRPr="009D683D">
        <w:rPr>
          <w:rFonts w:ascii="Calibri" w:eastAsia="Calibri" w:hAnsi="Calibri" w:cs="Times New Roman"/>
          <w:sz w:val="22"/>
          <w:lang w:val="en-US"/>
        </w:rPr>
        <w:fldChar w:fldCharType="separate"/>
      </w:r>
      <w:r w:rsidRPr="009D683D">
        <w:rPr>
          <w:rFonts w:ascii="Calibri" w:eastAsia="Calibri" w:hAnsi="Calibri" w:cs="Times New Roman"/>
          <w:noProof/>
          <w:sz w:val="22"/>
          <w:lang w:val="en-US"/>
        </w:rPr>
        <w:t>(Davis et al., 2011; Dey et al., 2016)</w:t>
      </w:r>
      <w:r w:rsidRPr="009D683D">
        <w:rPr>
          <w:rFonts w:ascii="Calibri" w:eastAsia="Calibri" w:hAnsi="Calibri" w:cs="Times New Roman"/>
          <w:sz w:val="22"/>
          <w:lang w:val="en-US"/>
        </w:rPr>
        <w:fldChar w:fldCharType="end"/>
      </w:r>
      <w:r w:rsidRPr="009D683D">
        <w:rPr>
          <w:rFonts w:ascii="Calibri" w:eastAsia="Calibri" w:hAnsi="Calibri" w:cs="Times New Roman"/>
          <w:sz w:val="22"/>
          <w:lang w:val="en-US"/>
        </w:rPr>
        <w:t xml:space="preserve">. Against this background, the immunosuppression required for successful transplantation will magnify existing infection rate discrepancies, manifesting in poorer post-transplant outcomes for Indigenous patients </w:t>
      </w:r>
      <w:r w:rsidRPr="009D683D">
        <w:rPr>
          <w:rFonts w:ascii="Calibri" w:eastAsia="Calibri" w:hAnsi="Calibri" w:cs="Times New Roman"/>
          <w:sz w:val="22"/>
          <w:lang w:val="en-US"/>
        </w:rPr>
        <w:fldChar w:fldCharType="begin">
          <w:fldData xml:space="preserve">PEVuZE5vdGU+PENpdGU+PEF1dGhvcj5Cb2FuPC9BdXRob3I+PFllYXI+MjAxNzwvWWVhcj48UmVj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</w:fldData>
        </w:fldChar>
      </w:r>
      <w:r w:rsidRPr="009D683D">
        <w:rPr>
          <w:rFonts w:ascii="Calibri" w:eastAsia="Calibri" w:hAnsi="Calibri" w:cs="Times New Roman"/>
          <w:sz w:val="22"/>
          <w:lang w:val="en-US"/>
        </w:rPr>
        <w:instrText xml:space="preserve"> ADDIN EN.CITE </w:instrText>
      </w:r>
      <w:r w:rsidRPr="009D683D">
        <w:rPr>
          <w:rFonts w:ascii="Calibri" w:eastAsia="Calibri" w:hAnsi="Calibri" w:cs="Times New Roman"/>
          <w:sz w:val="22"/>
          <w:lang w:val="en-US"/>
        </w:rPr>
        <w:fldChar w:fldCharType="begin">
          <w:fldData xml:space="preserve">PEVuZE5vdGU+PENpdGU+PEF1dGhvcj5Cb2FuPC9BdXRob3I+PFllYXI+MjAxNzwvWWVhcj48UmVj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</w:fldData>
        </w:fldChar>
      </w:r>
      <w:r w:rsidRPr="009D683D">
        <w:rPr>
          <w:rFonts w:ascii="Calibri" w:eastAsia="Calibri" w:hAnsi="Calibri" w:cs="Times New Roman"/>
          <w:sz w:val="22"/>
          <w:lang w:val="en-US"/>
        </w:rPr>
        <w:instrText xml:space="preserve"> ADDIN EN.CITE.DATA </w:instrText>
      </w:r>
      <w:r w:rsidRPr="009D683D">
        <w:rPr>
          <w:rFonts w:ascii="Calibri" w:eastAsia="Calibri" w:hAnsi="Calibri" w:cs="Times New Roman"/>
          <w:sz w:val="22"/>
          <w:lang w:val="en-US"/>
        </w:rPr>
      </w:r>
      <w:r w:rsidRPr="009D683D">
        <w:rPr>
          <w:rFonts w:ascii="Calibri" w:eastAsia="Calibri" w:hAnsi="Calibri" w:cs="Times New Roman"/>
          <w:sz w:val="22"/>
          <w:lang w:val="en-US"/>
        </w:rPr>
        <w:fldChar w:fldCharType="end"/>
      </w:r>
      <w:r w:rsidRPr="009D683D">
        <w:rPr>
          <w:rFonts w:ascii="Calibri" w:eastAsia="Calibri" w:hAnsi="Calibri" w:cs="Times New Roman"/>
          <w:sz w:val="22"/>
          <w:lang w:val="en-US"/>
        </w:rPr>
      </w:r>
      <w:r w:rsidRPr="009D683D">
        <w:rPr>
          <w:rFonts w:ascii="Calibri" w:eastAsia="Calibri" w:hAnsi="Calibri" w:cs="Times New Roman"/>
          <w:sz w:val="22"/>
          <w:lang w:val="en-US"/>
        </w:rPr>
        <w:fldChar w:fldCharType="separate"/>
      </w:r>
      <w:r w:rsidRPr="009D683D">
        <w:rPr>
          <w:rFonts w:ascii="Calibri" w:eastAsia="Calibri" w:hAnsi="Calibri" w:cs="Times New Roman"/>
          <w:noProof/>
          <w:sz w:val="22"/>
          <w:lang w:val="en-US"/>
        </w:rPr>
        <w:t>(Boan et al., 2017)</w:t>
      </w:r>
      <w:r w:rsidRPr="009D683D">
        <w:rPr>
          <w:rFonts w:ascii="Calibri" w:eastAsia="Calibri" w:hAnsi="Calibri" w:cs="Times New Roman"/>
          <w:sz w:val="22"/>
          <w:lang w:val="en-US"/>
        </w:rPr>
        <w:fldChar w:fldCharType="end"/>
      </w:r>
      <w:r w:rsidRPr="009D683D">
        <w:rPr>
          <w:rFonts w:ascii="Calibri" w:eastAsia="Calibri" w:hAnsi="Calibri" w:cs="Times New Roman"/>
          <w:sz w:val="22"/>
          <w:lang w:val="en-US"/>
        </w:rPr>
        <w:t>.</w:t>
      </w:r>
    </w:p>
    <w:p w14:paraId="5E3933EB"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Past research has highlighted the important differences in kidney transplant outcomes between Indigenous and non-Indigenous Australians. The 40</w:t>
      </w:r>
      <w:r w:rsidRPr="009D683D">
        <w:rPr>
          <w:rFonts w:ascii="Calibri" w:eastAsia="Calibri" w:hAnsi="Calibri" w:cs="Times New Roman"/>
          <w:sz w:val="22"/>
          <w:vertAlign w:val="superscript"/>
        </w:rPr>
        <w:t>th</w:t>
      </w:r>
      <w:r w:rsidRPr="009D683D">
        <w:rPr>
          <w:rFonts w:ascii="Calibri" w:eastAsia="Calibri" w:hAnsi="Calibri" w:cs="Times New Roman"/>
          <w:sz w:val="22"/>
        </w:rPr>
        <w:t xml:space="preserve"> Annual ANZDATA Report (2017) found that there are markedly higher rates of transplant loss in Indigenous Australians, particularly evident 3 years after transplantation. Indigenous Australians also experience higher mortality rates throughout the first five years after transplantation, with the difference in survival worsening over time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&lt;EndNote&gt;&lt;Cite&gt;&lt;Author&gt;ANZDATA&lt;/Author&gt;&lt;Year&gt;2017&lt;/Year&gt;&lt;RecNum&gt;325&lt;/RecNum&gt;&lt;DisplayText&gt;(ANZDATA, 2017)&lt;/DisplayText&gt;&lt;record&gt;&lt;rec-number&gt;325&lt;/rec-number&gt;&lt;foreign-keys&gt;&lt;key app="EN" db-id="ews5ve9enfwav7etdtjvztfdrftvwrf9vrsx" timestamp="1545620306"&gt;325&lt;/key&gt;&lt;/foreign-keys&gt;&lt;ref-type name="Government Document"&gt;46&lt;/ref-type&gt;&lt;contributors&gt;&lt;authors&gt;&lt;author&gt;ANZDATA&lt;/author&gt;&lt;/authors&gt;&lt;/contributors&gt;&lt;titles&gt;&lt;title&gt;Chapter 10: ESKD in Indigenous Peoples of Australia and Aotearoa/New Zealand&lt;/title&gt;&lt;/titles&gt;&lt;dates&gt;&lt;year&gt;2017&lt;/year&gt;&lt;/dates&gt;&lt;pub-location&gt;Adelaide, Australia&lt;/pub-location&gt;&lt;publisher&gt;ANZDATA Registry&lt;/publisher&gt;&lt;urls&gt;&lt;related-urls&gt;&lt;url&gt;http://www.anzdata.org.au/anzdata/AnzdataReport/40thReport/c10_indigenous_2016_v1.0_20181008.pdf&lt;/url&gt;&lt;/related-urls&gt;&lt;/urls&gt;&lt;access-date&gt;7 January 2019&lt;/access-date&gt;&lt;/record&gt;&lt;/Cite&gt;&lt;/EndNote&gt;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(ANZDATA, 2018)</w:t>
      </w:r>
      <w:r w:rsidRPr="009D683D">
        <w:rPr>
          <w:rFonts w:ascii="Calibri" w:eastAsia="Calibri" w:hAnsi="Calibri" w:cs="Times New Roman"/>
          <w:sz w:val="22"/>
        </w:rPr>
        <w:fldChar w:fldCharType="end"/>
      </w:r>
      <w:r w:rsidRPr="009D683D">
        <w:rPr>
          <w:rFonts w:ascii="Calibri" w:eastAsia="Calibri" w:hAnsi="Calibri" w:cs="Times New Roman"/>
          <w:sz w:val="22"/>
        </w:rPr>
        <w:t>.</w:t>
      </w:r>
    </w:p>
    <w:p w14:paraId="53899476"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A retrospective review of all kidney transplants from the Northern Territory between 1984 and 2004 found that Indigenous patients were more likely to have a transplant biopsy, acute rejection, bolus doses of steroids, monoclonal antibody treatment for rejection, longer hospitalisation stays and infection post-transplant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&lt;EndNote&gt;&lt;Cite&gt;&lt;Author&gt;Rogers&lt;/Author&gt;&lt;Year&gt;2006&lt;/Year&gt;&lt;RecNum&gt;72&lt;/RecNum&gt;&lt;DisplayText&gt;(Rogers et al., 2006)&lt;/DisplayText&gt;&lt;record&gt;&lt;rec-number&gt;72&lt;/rec-number&gt;&lt;foreign-keys&gt;&lt;key app="EN" db-id="ews5ve9enfwav7etdtjvztfdrftvwrf9vrsx" timestamp="1543209419"&gt;72&lt;/key&gt;&lt;/foreign-keys&gt;&lt;ref-type name="Journal Article"&gt;17&lt;/ref-type&gt;&lt;contributors&gt;&lt;authors&gt;&lt;author&gt;Rogers, N. M.&lt;/author&gt;&lt;author&gt;Lawton, P. D.&lt;/author&gt;&lt;author&gt;Jose, M. D.&lt;/author&gt;&lt;/authors&gt;&lt;/contributors&gt;&lt;titles&gt;&lt;title&gt;Kidney transplant outcomes in the Indigenous population in the Northern Territory of Australia&lt;/title&gt;&lt;secondary-title&gt;Transplantation&lt;/secondary-title&gt;&lt;/titles&gt;&lt;periodical&gt;&lt;full-title&gt;Transplantation&lt;/full-title&gt;&lt;/periodical&gt;&lt;volume&gt;82&lt;/volume&gt;&lt;dates&gt;&lt;year&gt;2006&lt;/year&gt;&lt;/dates&gt;&lt;label&gt;Rogers2006&lt;/label&gt;&lt;urls&gt;&lt;related-urls&gt;&lt;url&gt;https://doi.org/10.1097/01.tp.0000232439.88527.49&lt;/url&gt;&lt;/related-urls&gt;&lt;/urls&gt;&lt;electronic-resource-num&gt;10.1097/01.tp.0000232439.88527.49&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(Rogers et al., 2006)</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Infection was found to be the dominant cause of death for Indigenous patients (17 of 23 deaths); in stark contrast, no non-Indigenous patients died during the study period. It was also reported that Indigenous patients had higher infection rates of skin, respiratory tract, gastrointestinal tract and blood-stream, in addition to higher rates of infection due to bacteria and fungi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&lt;EndNote&gt;&lt;Cite&gt;&lt;Author&gt;Rogers&lt;/Author&gt;&lt;Year&gt;2006&lt;/Year&gt;&lt;RecNum&gt;72&lt;/RecNum&gt;&lt;DisplayText&gt;(Rogers et al., 2006)&lt;/DisplayText&gt;&lt;record&gt;&lt;rec-number&gt;72&lt;/rec-number&gt;&lt;foreign-keys&gt;&lt;key app="EN" db-id="ews5ve9enfwav7etdtjvztfdrftvwrf9vrsx" timestamp="1543209419"&gt;72&lt;/key&gt;&lt;/foreign-keys&gt;&lt;ref-type name="Journal Article"&gt;17&lt;/ref-type&gt;&lt;contributors&gt;&lt;authors&gt;&lt;author&gt;Rogers, N. M.&lt;/author&gt;&lt;author&gt;Lawton, P. D.&lt;/author&gt;&lt;author&gt;Jose, M. D.&lt;/author&gt;&lt;/authors&gt;&lt;/contributors&gt;&lt;titles&gt;&lt;title&gt;Kidney transplant outcomes in the Indigenous population in the Northern Territory of Australia&lt;/title&gt;&lt;secondary-title&gt;Transplantation&lt;/secondary-title&gt;&lt;/titles&gt;&lt;periodical&gt;&lt;full-title&gt;Transplantation&lt;/full-title&gt;&lt;/periodical&gt;&lt;volume&gt;82&lt;/volume&gt;&lt;dates&gt;&lt;year&gt;2006&lt;/year&gt;&lt;/dates&gt;&lt;label&gt;Rogers2006&lt;/label&gt;&lt;urls&gt;&lt;related-urls&gt;&lt;url&gt;https://doi.org/10.1097/01.tp.0000232439.88527.49&lt;/url&gt;&lt;/related-urls&gt;&lt;/urls&gt;&lt;electronic-resource-num&gt;10.1097/01.tp.0000232439.88527.49&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(Rogers et al., 2006)</w:t>
      </w:r>
      <w:r w:rsidRPr="009D683D">
        <w:rPr>
          <w:rFonts w:ascii="Calibri" w:eastAsia="Calibri" w:hAnsi="Calibri" w:cs="Times New Roman"/>
          <w:sz w:val="22"/>
        </w:rPr>
        <w:fldChar w:fldCharType="end"/>
      </w:r>
      <w:r w:rsidRPr="009D683D">
        <w:rPr>
          <w:rFonts w:ascii="Calibri" w:eastAsia="Calibri" w:hAnsi="Calibri" w:cs="Times New Roman"/>
          <w:sz w:val="22"/>
        </w:rPr>
        <w:t>.</w:t>
      </w:r>
    </w:p>
    <w:p w14:paraId="601167C1"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In a retrospective review of 141 consecutive adult kidney transplant recipients in Western Australia between 2005 and 2011, </w:t>
      </w:r>
      <w:proofErr w:type="spellStart"/>
      <w:r w:rsidRPr="009D683D">
        <w:rPr>
          <w:rFonts w:ascii="Calibri" w:eastAsia="Calibri" w:hAnsi="Calibri" w:cs="Times New Roman"/>
          <w:sz w:val="22"/>
        </w:rPr>
        <w:t>Boan</w:t>
      </w:r>
      <w:proofErr w:type="spellEnd"/>
      <w:r w:rsidRPr="009D683D">
        <w:rPr>
          <w:rFonts w:ascii="Calibri" w:eastAsia="Calibri" w:hAnsi="Calibri" w:cs="Times New Roman"/>
          <w:sz w:val="22"/>
        </w:rPr>
        <w:t xml:space="preserve"> et al. (2017) found that Indigenous patients were more likely to test positive for Hepatitis B core antibody (100% vs 13.3%, </w:t>
      </w:r>
      <w:r w:rsidRPr="009D683D">
        <w:rPr>
          <w:rFonts w:ascii="Calibri" w:eastAsia="Calibri" w:hAnsi="Calibri" w:cs="Times New Roman"/>
          <w:i/>
          <w:sz w:val="22"/>
        </w:rPr>
        <w:t>P</w:t>
      </w:r>
      <w:r w:rsidRPr="009D683D">
        <w:rPr>
          <w:rFonts w:ascii="Calibri" w:eastAsia="Calibri" w:hAnsi="Calibri" w:cs="Times New Roman"/>
          <w:sz w:val="22"/>
        </w:rPr>
        <w:t xml:space="preserve"> &lt; 0.001) and Cytomegalovirus (98.2% vs 73.2%, </w:t>
      </w:r>
      <w:r w:rsidRPr="009D683D">
        <w:rPr>
          <w:rFonts w:ascii="Calibri" w:eastAsia="Calibri" w:hAnsi="Calibri" w:cs="Times New Roman"/>
          <w:i/>
          <w:sz w:val="22"/>
        </w:rPr>
        <w:t>P</w:t>
      </w:r>
      <w:r w:rsidRPr="009D683D">
        <w:rPr>
          <w:rFonts w:ascii="Calibri" w:eastAsia="Calibri" w:hAnsi="Calibri" w:cs="Times New Roman"/>
          <w:sz w:val="22"/>
        </w:rPr>
        <w:t xml:space="preserve"> &lt; 0.001) at pre-transplant screening and had a higher rate of pneumonia (17.9% vs 3.6%, </w:t>
      </w:r>
      <w:r w:rsidRPr="009D683D">
        <w:rPr>
          <w:rFonts w:ascii="Calibri" w:eastAsia="Calibri" w:hAnsi="Calibri" w:cs="Times New Roman"/>
          <w:i/>
          <w:sz w:val="22"/>
        </w:rPr>
        <w:t xml:space="preserve">P </w:t>
      </w:r>
      <w:r w:rsidRPr="009D683D">
        <w:rPr>
          <w:rFonts w:ascii="Calibri" w:eastAsia="Calibri" w:hAnsi="Calibri" w:cs="Times New Roman"/>
          <w:sz w:val="22"/>
        </w:rPr>
        <w:t xml:space="preserve">&lt; 0.006) and death in the first year after transplantation due to infection. There was also a non-significant trend of a higher rate of gastrointestinal parasitic infection, invasive fungal infection and infectious hospital admission. Of the 47 Indigenous participants included in the study, 26% died within 3 years of kidney transplantation, with infection being the attributable cause in two-thirds of cases </w:t>
      </w:r>
      <w:r w:rsidRPr="009D683D">
        <w:rPr>
          <w:rFonts w:ascii="Calibri" w:eastAsia="Calibri" w:hAnsi="Calibri" w:cs="Times New Roman"/>
          <w:sz w:val="22"/>
        </w:rPr>
        <w:fldChar w:fldCharType="begin">
          <w:fldData xml:space="preserve">PEVuZE5vdGU+PENpdGU+PEF1dGhvcj5Cb2FuPC9BdXRob3I+PFllYXI+MjAxNzwvWWVhcj48UmVj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PEVuZE5vdGU+PENpdGU+PEF1dGhvcj5Cb2FuPC9BdXRob3I+PFllYXI+MjAxNzwvWWVhcj48UmVj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(Boan et al., 2017)</w:t>
      </w:r>
      <w:r w:rsidRPr="009D683D">
        <w:rPr>
          <w:rFonts w:ascii="Calibri" w:eastAsia="Calibri" w:hAnsi="Calibri" w:cs="Times New Roman"/>
          <w:sz w:val="22"/>
        </w:rPr>
        <w:fldChar w:fldCharType="end"/>
      </w:r>
      <w:r w:rsidRPr="009D683D">
        <w:rPr>
          <w:rFonts w:ascii="Calibri" w:eastAsia="Calibri" w:hAnsi="Calibri" w:cs="Times New Roman"/>
          <w:sz w:val="22"/>
        </w:rPr>
        <w:t>.</w:t>
      </w:r>
      <w:bookmarkStart w:id="57" w:name="_Hlk534874863"/>
    </w:p>
    <w:p w14:paraId="16C63EBE" w14:textId="77777777" w:rsidR="009D683D" w:rsidRPr="009D683D" w:rsidRDefault="009D683D" w:rsidP="009D683D">
      <w:pPr>
        <w:keepNext/>
        <w:keepLines/>
        <w:numPr>
          <w:ilvl w:val="1"/>
          <w:numId w:val="0"/>
        </w:numPr>
        <w:spacing w:before="40" w:after="0"/>
        <w:ind w:left="576" w:hanging="576"/>
        <w:outlineLvl w:val="1"/>
        <w:rPr>
          <w:rFonts w:ascii="Calibri Light" w:eastAsia="Times New Roman" w:hAnsi="Calibri Light" w:cs="Times New Roman"/>
          <w:sz w:val="26"/>
          <w:szCs w:val="26"/>
        </w:rPr>
      </w:pPr>
      <w:bookmarkStart w:id="58" w:name="_Toc2585817"/>
      <w:r w:rsidRPr="009D683D">
        <w:rPr>
          <w:rFonts w:ascii="Calibri Light" w:eastAsia="Times New Roman" w:hAnsi="Calibri Light" w:cs="Times New Roman"/>
          <w:sz w:val="26"/>
          <w:szCs w:val="26"/>
        </w:rPr>
        <w:t>Critique of current evidence</w:t>
      </w:r>
      <w:bookmarkEnd w:id="58"/>
    </w:p>
    <w:p w14:paraId="4E61BA84"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The evidence outlined in this chapter is diverse and comprehensive, encompassing qualitative and quantitative studies, academic and “grey” literature and anecdotal evidence from experts in the field. However, the strength of this evidence is hampered by several factors, including:</w:t>
      </w:r>
    </w:p>
    <w:p w14:paraId="163D3C56" w14:textId="77777777" w:rsidR="009D683D" w:rsidRPr="009D683D" w:rsidRDefault="009D683D" w:rsidP="00782640">
      <w:pPr>
        <w:numPr>
          <w:ilvl w:val="0"/>
          <w:numId w:val="73"/>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 xml:space="preserve">The </w:t>
      </w:r>
      <w:r w:rsidRPr="009D683D">
        <w:rPr>
          <w:rFonts w:ascii="Calibri" w:eastAsia="Calibri" w:hAnsi="Calibri" w:cs="Times New Roman"/>
          <w:b/>
          <w:sz w:val="22"/>
        </w:rPr>
        <w:t xml:space="preserve">age </w:t>
      </w:r>
      <w:r w:rsidRPr="009D683D">
        <w:rPr>
          <w:rFonts w:ascii="Calibri" w:eastAsia="Calibri" w:hAnsi="Calibri" w:cs="Times New Roman"/>
          <w:sz w:val="22"/>
        </w:rPr>
        <w:t>of the research. Many of the cited studies date back to over 5 years ago, and some greater than a decade ago. This may mean that some of the findings reported throughout this chapter are of limited relevance to current practice, particularly given the rapid rate at which medical research advances, and changes in models of care and practices over that time.</w:t>
      </w:r>
    </w:p>
    <w:p w14:paraId="464075AD" w14:textId="77777777" w:rsidR="009D683D" w:rsidRPr="009D683D" w:rsidRDefault="009D683D" w:rsidP="00782640">
      <w:pPr>
        <w:numPr>
          <w:ilvl w:val="0"/>
          <w:numId w:val="73"/>
        </w:numPr>
        <w:spacing w:after="0" w:line="276" w:lineRule="auto"/>
        <w:contextualSpacing/>
        <w:jc w:val="both"/>
        <w:rPr>
          <w:rFonts w:ascii="Calibri" w:eastAsia="Calibri" w:hAnsi="Calibri" w:cs="Times New Roman"/>
          <w:sz w:val="22"/>
        </w:rPr>
      </w:pPr>
      <w:r w:rsidRPr="009D683D">
        <w:rPr>
          <w:rFonts w:ascii="Calibri" w:eastAsia="Calibri" w:hAnsi="Calibri" w:cs="Times New Roman"/>
          <w:sz w:val="22"/>
        </w:rPr>
        <w:t xml:space="preserve">The </w:t>
      </w:r>
      <w:r w:rsidRPr="009D683D">
        <w:rPr>
          <w:rFonts w:ascii="Calibri" w:eastAsia="Calibri" w:hAnsi="Calibri" w:cs="Times New Roman"/>
          <w:b/>
          <w:sz w:val="22"/>
        </w:rPr>
        <w:t>specificity</w:t>
      </w:r>
      <w:r w:rsidRPr="009D683D">
        <w:rPr>
          <w:rFonts w:ascii="Calibri" w:eastAsia="Calibri" w:hAnsi="Calibri" w:cs="Times New Roman"/>
          <w:sz w:val="22"/>
        </w:rPr>
        <w:t xml:space="preserve"> of the research. Very few studies have specifically explored the pre- and post-transplant barriers that affect the Indigenous Australian patient population. Where reasonable, extrapolations have been drawn. Some sections of the current evidence chapter cite research that has been undertaken with international Indigenous populations or rural and </w:t>
      </w:r>
      <w:r w:rsidRPr="009D683D">
        <w:rPr>
          <w:rFonts w:ascii="Calibri" w:eastAsia="Calibri" w:hAnsi="Calibri" w:cs="Times New Roman"/>
          <w:sz w:val="22"/>
        </w:rPr>
        <w:lastRenderedPageBreak/>
        <w:t>remote Australian cohorts, which is then used to illustrate issues that may affect some Indigenous Australian patients.</w:t>
      </w:r>
    </w:p>
    <w:p w14:paraId="31EF3DCC" w14:textId="77777777" w:rsidR="009D683D" w:rsidRPr="009D683D" w:rsidRDefault="009D683D" w:rsidP="00782640">
      <w:pPr>
        <w:numPr>
          <w:ilvl w:val="0"/>
          <w:numId w:val="73"/>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 xml:space="preserve">The </w:t>
      </w:r>
      <w:r w:rsidRPr="009D683D">
        <w:rPr>
          <w:rFonts w:ascii="Calibri" w:eastAsia="Calibri" w:hAnsi="Calibri" w:cs="Times New Roman"/>
          <w:b/>
          <w:sz w:val="22"/>
        </w:rPr>
        <w:t xml:space="preserve">reliance on a relatively small group of ‘researcher </w:t>
      </w:r>
      <w:proofErr w:type="gramStart"/>
      <w:r w:rsidRPr="009D683D">
        <w:rPr>
          <w:rFonts w:ascii="Calibri" w:eastAsia="Calibri" w:hAnsi="Calibri" w:cs="Times New Roman"/>
          <w:b/>
          <w:sz w:val="22"/>
        </w:rPr>
        <w:t>voices’</w:t>
      </w:r>
      <w:proofErr w:type="gramEnd"/>
      <w:r w:rsidRPr="009D683D">
        <w:rPr>
          <w:rFonts w:ascii="Calibri" w:eastAsia="Calibri" w:hAnsi="Calibri" w:cs="Times New Roman"/>
          <w:sz w:val="22"/>
        </w:rPr>
        <w:t>. There are relative few experts and groups who specialise and publish in this area of inquiry. This means that the ideas and views presented throughout the current evidence chapter may be narrower than in reality/practice, as these findings have been generated by a group of researchers who are well known to each other, rather than a diverse cohort of consumers, families and clinicians.</w:t>
      </w:r>
    </w:p>
    <w:p w14:paraId="42228DAE" w14:textId="77777777" w:rsidR="009D683D" w:rsidRPr="009D683D" w:rsidRDefault="009D683D" w:rsidP="00782640">
      <w:pPr>
        <w:numPr>
          <w:ilvl w:val="0"/>
          <w:numId w:val="73"/>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The</w:t>
      </w:r>
      <w:r w:rsidRPr="009D683D">
        <w:rPr>
          <w:rFonts w:ascii="Calibri" w:eastAsia="Calibri" w:hAnsi="Calibri" w:cs="Times New Roman"/>
          <w:b/>
          <w:sz w:val="22"/>
        </w:rPr>
        <w:t xml:space="preserve"> ad-hoc nature </w:t>
      </w:r>
      <w:r w:rsidRPr="009D683D">
        <w:rPr>
          <w:rFonts w:ascii="Calibri" w:eastAsia="Calibri" w:hAnsi="Calibri" w:cs="Times New Roman"/>
          <w:sz w:val="22"/>
        </w:rPr>
        <w:t xml:space="preserve">of the research. In the absence of a clear national focus on this area, the nature and extent of issues examined has been determined by the availability and interest of appropriately skilled researchers, research funding, and an appropriate and supportive environment. The outcome of this is that the amount of evidence available is uneven, and not all areas are addressed. </w:t>
      </w:r>
    </w:p>
    <w:p w14:paraId="42A22C7E"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These limitations are best addressed by: </w:t>
      </w:r>
    </w:p>
    <w:p w14:paraId="6291C745" w14:textId="77777777" w:rsidR="009D683D" w:rsidRPr="009D683D" w:rsidRDefault="009D683D" w:rsidP="00782640">
      <w:pPr>
        <w:numPr>
          <w:ilvl w:val="0"/>
          <w:numId w:val="73"/>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 xml:space="preserve">Instigating national conversations on this issue to engage record and document a wide spectrum of voices, </w:t>
      </w:r>
    </w:p>
    <w:p w14:paraId="0D9698AE" w14:textId="77777777" w:rsidR="009D683D" w:rsidRPr="009D683D" w:rsidRDefault="009D683D" w:rsidP="00782640">
      <w:pPr>
        <w:numPr>
          <w:ilvl w:val="0"/>
          <w:numId w:val="73"/>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 xml:space="preserve">Supporting and funding targeted research priorities, </w:t>
      </w:r>
    </w:p>
    <w:p w14:paraId="656C134A" w14:textId="77777777" w:rsidR="009D683D" w:rsidRPr="009D683D" w:rsidRDefault="009D683D" w:rsidP="00782640">
      <w:pPr>
        <w:numPr>
          <w:ilvl w:val="0"/>
          <w:numId w:val="73"/>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Undertaking further research and expanding national data collection protocols, targeting identified pre- and post-transplant knowledge and data gaps, and</w:t>
      </w:r>
    </w:p>
    <w:p w14:paraId="7E2CF40B" w14:textId="39AF8751" w:rsidR="009D683D" w:rsidRDefault="009D683D" w:rsidP="00782640">
      <w:pPr>
        <w:numPr>
          <w:ilvl w:val="0"/>
          <w:numId w:val="73"/>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In the longer term, training and forming a more diverse environment of researchers.</w:t>
      </w:r>
    </w:p>
    <w:p w14:paraId="1DE713A8" w14:textId="77777777" w:rsidR="0055104B" w:rsidRPr="009D683D" w:rsidRDefault="0055104B" w:rsidP="0055104B">
      <w:pPr>
        <w:spacing w:line="276" w:lineRule="auto"/>
        <w:ind w:left="720"/>
        <w:contextualSpacing/>
        <w:jc w:val="both"/>
        <w:rPr>
          <w:rFonts w:ascii="Calibri" w:eastAsia="Calibri" w:hAnsi="Calibri" w:cs="Times New Roman"/>
          <w:sz w:val="22"/>
        </w:rPr>
      </w:pPr>
    </w:p>
    <w:bookmarkStart w:id="59" w:name="_Toc2585818"/>
    <w:p w14:paraId="59DF1DA5" w14:textId="77777777" w:rsidR="0055104B" w:rsidRDefault="009D683D" w:rsidP="009D683D">
      <w:pPr>
        <w:keepNext/>
        <w:keepLines/>
        <w:numPr>
          <w:ilvl w:val="1"/>
          <w:numId w:val="0"/>
        </w:numPr>
        <w:spacing w:before="40" w:after="0"/>
        <w:ind w:left="576" w:hanging="576"/>
        <w:outlineLvl w:val="1"/>
        <w:rPr>
          <w:rFonts w:ascii="Calibri Light" w:eastAsia="Times New Roman" w:hAnsi="Calibri Light" w:cs="Times New Roman"/>
          <w:sz w:val="26"/>
          <w:szCs w:val="26"/>
        </w:rPr>
      </w:pPr>
      <w:r w:rsidRPr="009D683D">
        <w:rPr>
          <w:rFonts w:ascii="Calibri Light" w:eastAsia="Times New Roman" w:hAnsi="Calibri Light" w:cs="Times New Roman"/>
          <w:noProof/>
          <w:sz w:val="26"/>
          <w:szCs w:val="26"/>
          <w:lang w:eastAsia="en-AU"/>
        </w:rPr>
        <mc:AlternateContent>
          <mc:Choice Requires="wps">
            <w:drawing>
              <wp:inline distT="0" distB="0" distL="0" distR="0" wp14:anchorId="1AAD7757" wp14:editId="7EE769FD">
                <wp:extent cx="5705475" cy="1790700"/>
                <wp:effectExtent l="0" t="0" r="28575" b="1905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790700"/>
                        </a:xfrm>
                        <a:prstGeom prst="rect">
                          <a:avLst/>
                        </a:prstGeom>
                        <a:solidFill>
                          <a:srgbClr val="70AD47">
                            <a:lumMod val="20000"/>
                            <a:lumOff val="80000"/>
                          </a:srgbClr>
                        </a:solidFill>
                        <a:ln w="9525">
                          <a:solidFill>
                            <a:srgbClr val="000000"/>
                          </a:solidFill>
                          <a:miter lim="800000"/>
                          <a:headEnd/>
                          <a:tailEnd/>
                        </a:ln>
                        <a:effectLst/>
                      </wps:spPr>
                      <wps:txbx>
                        <w:txbxContent>
                          <w:p w14:paraId="3CC47304" w14:textId="77777777" w:rsidR="00A41391" w:rsidRPr="00BB1690" w:rsidRDefault="00A41391" w:rsidP="009D683D">
                            <w:pPr>
                              <w:spacing w:line="276" w:lineRule="auto"/>
                              <w:jc w:val="both"/>
                              <w:rPr>
                                <w:b/>
                                <w:sz w:val="24"/>
                              </w:rPr>
                            </w:pPr>
                            <w:r w:rsidRPr="00BB1690">
                              <w:rPr>
                                <w:b/>
                                <w:sz w:val="24"/>
                              </w:rPr>
                              <w:t xml:space="preserve">Box </w:t>
                            </w:r>
                            <w:r>
                              <w:rPr>
                                <w:b/>
                                <w:sz w:val="24"/>
                              </w:rPr>
                              <w:t>12</w:t>
                            </w:r>
                            <w:r w:rsidRPr="00BB1690">
                              <w:rPr>
                                <w:b/>
                                <w:sz w:val="24"/>
                              </w:rPr>
                              <w:t>: Summary of Recommendations</w:t>
                            </w:r>
                          </w:p>
                          <w:p w14:paraId="577D2EFA" w14:textId="77777777" w:rsidR="00A41391" w:rsidRDefault="00A41391" w:rsidP="00782640">
                            <w:pPr>
                              <w:pStyle w:val="ListParagraph"/>
                              <w:numPr>
                                <w:ilvl w:val="0"/>
                                <w:numId w:val="74"/>
                              </w:numPr>
                              <w:spacing w:line="276" w:lineRule="auto"/>
                            </w:pPr>
                            <w:r>
                              <w:t xml:space="preserve">Implement a 12-month pilot project to capture additional pre- and post-kidney transplant data points in an expanded ANZDATA data collection protocol. </w:t>
                            </w:r>
                          </w:p>
                          <w:p w14:paraId="78801471" w14:textId="77777777" w:rsidR="00A41391" w:rsidRPr="007A7E06" w:rsidRDefault="00A41391" w:rsidP="00782640">
                            <w:pPr>
                              <w:pStyle w:val="ListParagraph"/>
                              <w:numPr>
                                <w:ilvl w:val="0"/>
                                <w:numId w:val="74"/>
                              </w:numPr>
                              <w:spacing w:line="276" w:lineRule="auto"/>
                            </w:pPr>
                            <w:r>
                              <w:t xml:space="preserve">Incorporate a specific chapter in the ANZDATA annual report on kidney </w:t>
                            </w:r>
                            <w:r w:rsidRPr="007A7E06">
                              <w:t xml:space="preserve">transplantation </w:t>
                            </w:r>
                            <w:r>
                              <w:t>among Aboriginal and Torres Strait Islander people.</w:t>
                            </w:r>
                          </w:p>
                          <w:p w14:paraId="649D3B45" w14:textId="77777777" w:rsidR="00A41391" w:rsidRPr="007A7E06" w:rsidRDefault="00A41391" w:rsidP="00782640">
                            <w:pPr>
                              <w:pStyle w:val="ListParagraph"/>
                              <w:numPr>
                                <w:ilvl w:val="0"/>
                                <w:numId w:val="74"/>
                              </w:numPr>
                              <w:spacing w:line="276" w:lineRule="auto"/>
                            </w:pPr>
                            <w:r w:rsidRPr="007A7E06">
                              <w:t>Undertake additional data linkage and research projects that target Indigenous patients’ post-transplant outcomes, enabling identification of best practice immunosuppression, infective prophylaxis and vascular complication protocols</w:t>
                            </w:r>
                            <w:r>
                              <w:t>.</w:t>
                            </w:r>
                          </w:p>
                          <w:p w14:paraId="7EF7A898" w14:textId="77777777" w:rsidR="00A41391" w:rsidRPr="00FC23DE" w:rsidRDefault="00A41391" w:rsidP="009D683D">
                            <w:pPr>
                              <w:spacing w:line="276" w:lineRule="auto"/>
                              <w:ind w:left="360"/>
                              <w:jc w:val="both"/>
                            </w:pPr>
                          </w:p>
                        </w:txbxContent>
                      </wps:txbx>
                      <wps:bodyPr rot="0" vert="horz" wrap="square" lIns="91440" tIns="45720" rIns="91440" bIns="45720" anchor="t" anchorCtr="0">
                        <a:noAutofit/>
                      </wps:bodyPr>
                    </wps:wsp>
                  </a:graphicData>
                </a:graphic>
              </wp:inline>
            </w:drawing>
          </mc:Choice>
          <mc:Fallback>
            <w:pict>
              <v:shape w14:anchorId="1AAD7757" id="_x0000_s1040" type="#_x0000_t202" style="width:449.25pt;height: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" fillcolor="#e2f0d9">
                <v:textbox>
                  <w:txbxContent>
                    <w:p w14:paraId="3CC47304" w14:textId="77777777" w:rsidR="00A41391" w:rsidRPr="00BB1690" w:rsidRDefault="00A41391" w:rsidP="009D683D">
                      <w:pPr>
                        <w:spacing w:line="276" w:lineRule="auto"/>
                        <w:jc w:val="both"/>
                        <w:rPr>
                          <w:b/>
                          <w:sz w:val="24"/>
                        </w:rPr>
                      </w:pPr>
                      <w:r w:rsidRPr="00BB1690">
                        <w:rPr>
                          <w:b/>
                          <w:sz w:val="24"/>
                        </w:rPr>
                        <w:t xml:space="preserve">Box </w:t>
                      </w:r>
                      <w:r>
                        <w:rPr>
                          <w:b/>
                          <w:sz w:val="24"/>
                        </w:rPr>
                        <w:t>12</w:t>
                      </w:r>
                      <w:r w:rsidRPr="00BB1690">
                        <w:rPr>
                          <w:b/>
                          <w:sz w:val="24"/>
                        </w:rPr>
                        <w:t>: Summary of Recommendations</w:t>
                      </w:r>
                    </w:p>
                    <w:p w14:paraId="577D2EFA" w14:textId="77777777" w:rsidR="00A41391" w:rsidRDefault="00A41391" w:rsidP="00782640">
                      <w:pPr>
                        <w:pStyle w:val="ListParagraph"/>
                        <w:numPr>
                          <w:ilvl w:val="0"/>
                          <w:numId w:val="74"/>
                        </w:numPr>
                        <w:spacing w:line="276" w:lineRule="auto"/>
                      </w:pPr>
                      <w:r>
                        <w:t xml:space="preserve">Implement a 12-month pilot project to capture additional pre- and post-kidney transplant data points in an expanded ANZDATA data collection protocol. </w:t>
                      </w:r>
                    </w:p>
                    <w:p w14:paraId="78801471" w14:textId="77777777" w:rsidR="00A41391" w:rsidRPr="007A7E06" w:rsidRDefault="00A41391" w:rsidP="00782640">
                      <w:pPr>
                        <w:pStyle w:val="ListParagraph"/>
                        <w:numPr>
                          <w:ilvl w:val="0"/>
                          <w:numId w:val="74"/>
                        </w:numPr>
                        <w:spacing w:line="276" w:lineRule="auto"/>
                      </w:pPr>
                      <w:r>
                        <w:t xml:space="preserve">Incorporate a specific chapter in the ANZDATA annual report on kidney </w:t>
                      </w:r>
                      <w:r w:rsidRPr="007A7E06">
                        <w:t xml:space="preserve">transplantation </w:t>
                      </w:r>
                      <w:r>
                        <w:t>among Aboriginal and Torres Strait Islander people.</w:t>
                      </w:r>
                    </w:p>
                    <w:p w14:paraId="649D3B45" w14:textId="77777777" w:rsidR="00A41391" w:rsidRPr="007A7E06" w:rsidRDefault="00A41391" w:rsidP="00782640">
                      <w:pPr>
                        <w:pStyle w:val="ListParagraph"/>
                        <w:numPr>
                          <w:ilvl w:val="0"/>
                          <w:numId w:val="74"/>
                        </w:numPr>
                        <w:spacing w:line="276" w:lineRule="auto"/>
                      </w:pPr>
                      <w:r w:rsidRPr="007A7E06">
                        <w:t>Undertake additional data linkage and research projects that target Indigenous patients’ post-transplant outcomes, enabling identification of best practice immunosuppression, infective prophylaxis and vascular complication protocols</w:t>
                      </w:r>
                      <w:r>
                        <w:t>.</w:t>
                      </w:r>
                    </w:p>
                    <w:p w14:paraId="7EF7A898" w14:textId="77777777" w:rsidR="00A41391" w:rsidRPr="00FC23DE" w:rsidRDefault="00A41391" w:rsidP="009D683D">
                      <w:pPr>
                        <w:spacing w:line="276" w:lineRule="auto"/>
                        <w:ind w:left="360"/>
                        <w:jc w:val="both"/>
                      </w:pPr>
                    </w:p>
                  </w:txbxContent>
                </v:textbox>
                <w10:anchorlock/>
              </v:shape>
            </w:pict>
          </mc:Fallback>
        </mc:AlternateContent>
      </w:r>
    </w:p>
    <w:p w14:paraId="78454A4C" w14:textId="77777777" w:rsidR="0055104B" w:rsidRDefault="0055104B" w:rsidP="009D683D">
      <w:pPr>
        <w:keepNext/>
        <w:keepLines/>
        <w:numPr>
          <w:ilvl w:val="1"/>
          <w:numId w:val="0"/>
        </w:numPr>
        <w:spacing w:before="40" w:after="0"/>
        <w:ind w:left="576" w:hanging="576"/>
        <w:outlineLvl w:val="1"/>
        <w:rPr>
          <w:rFonts w:ascii="Calibri Light" w:eastAsia="Times New Roman" w:hAnsi="Calibri Light" w:cs="Times New Roman"/>
          <w:sz w:val="26"/>
          <w:szCs w:val="26"/>
        </w:rPr>
      </w:pPr>
    </w:p>
    <w:p w14:paraId="1D9B34FF" w14:textId="5F8123BF" w:rsidR="009D683D" w:rsidRPr="009D683D" w:rsidRDefault="009D683D" w:rsidP="009D683D">
      <w:pPr>
        <w:keepNext/>
        <w:keepLines/>
        <w:numPr>
          <w:ilvl w:val="1"/>
          <w:numId w:val="0"/>
        </w:numPr>
        <w:spacing w:before="40" w:after="0"/>
        <w:ind w:left="576" w:hanging="576"/>
        <w:outlineLvl w:val="1"/>
        <w:rPr>
          <w:rFonts w:ascii="Calibri Light" w:eastAsia="Times New Roman" w:hAnsi="Calibri Light" w:cs="Times New Roman"/>
          <w:sz w:val="26"/>
          <w:szCs w:val="26"/>
        </w:rPr>
      </w:pPr>
      <w:r w:rsidRPr="009D683D">
        <w:rPr>
          <w:rFonts w:ascii="Calibri Light" w:eastAsia="Times New Roman" w:hAnsi="Calibri Light" w:cs="Times New Roman"/>
          <w:sz w:val="26"/>
          <w:szCs w:val="26"/>
        </w:rPr>
        <w:t>Enhancing data collection &amp; reporting</w:t>
      </w:r>
      <w:bookmarkEnd w:id="59"/>
    </w:p>
    <w:p w14:paraId="664CDCCC"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The Australian and New Zealand Dialysis and Transplant Registry (ANZDATA) collects information about all people with ESKD in Australia and New Zealand who are being treated with either dialysis or a kidney transplant. It is funded by the Australian Organ and Tissue Donation and Transplantation Authority, the New Zealand Ministry of Health and Kidney Health Australia. All dialysis and transplant units throughout Australia and New Zealand provide a variety of patient data across two basic streams to ANZDATA. First and foremost, the registry is notified in ‘real-time’ (in reality, within 30 days) of key events (dialysis, transplantation, death, and loss of transplant function). In addition, a cross-sectional survey is conducted of all patients at 31 December each year. </w:t>
      </w:r>
    </w:p>
    <w:p w14:paraId="2DBF66DC"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The survey includes substantial amounts of process information about the treatment modality. For those receiving haemodialysis, this includes dialyser type, dialysis prescription, dry weight, and type of dialysis access; for peritoneal dialysis patients, episodes of peritonitis are collected, as are PET results and fluids used. Basic biochemistry (haemoglobin, calcium and phosphate) are collected for all </w:t>
      </w:r>
      <w:r w:rsidRPr="009D683D">
        <w:rPr>
          <w:rFonts w:ascii="Calibri" w:eastAsia="Calibri" w:hAnsi="Calibri" w:cs="Times New Roman"/>
          <w:sz w:val="22"/>
        </w:rPr>
        <w:lastRenderedPageBreak/>
        <w:t>dialysis patients. For transplant recipients, graft function, rejection episodes and immunosuppressive drug use and dosage are recorded. This information has been critical in documenting and highlighting the problems this report seeks to address.</w:t>
      </w:r>
    </w:p>
    <w:p w14:paraId="22D9DD37"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However, ANZDATA does not currently capture a number of critical pre- and post-transplant milestones and outcomes, which are of relevance to assessing progress and changes in this area. A </w:t>
      </w:r>
      <w:bookmarkStart w:id="60" w:name="_Hlk948741"/>
      <w:r w:rsidRPr="009D683D">
        <w:rPr>
          <w:rFonts w:ascii="Calibri" w:eastAsia="Calibri" w:hAnsi="Calibri" w:cs="Times New Roman"/>
          <w:sz w:val="22"/>
        </w:rPr>
        <w:t xml:space="preserve">12-month pilot project </w:t>
      </w:r>
      <w:bookmarkEnd w:id="60"/>
      <w:r w:rsidRPr="009D683D">
        <w:rPr>
          <w:rFonts w:ascii="Calibri" w:eastAsia="Calibri" w:hAnsi="Calibri" w:cs="Times New Roman"/>
          <w:sz w:val="22"/>
        </w:rPr>
        <w:t xml:space="preserve">involving a select group of tertiary renal health services will enable the identification of measurable and modifiable targets at both the individual and health service level that influence transplant outcomes. This is an important first step in establishing a consistent framework for collecting and reporting data on access to transplantation, which will significantly improve our understanding of the inequities that affect Indigenous patients throughout the pre- and post-transplant journey. </w:t>
      </w:r>
    </w:p>
    <w:p w14:paraId="1B0851E9" w14:textId="77777777" w:rsidR="009D683D" w:rsidRPr="009D683D" w:rsidRDefault="009D683D" w:rsidP="009D683D">
      <w:pPr>
        <w:keepNext/>
        <w:keepLines/>
        <w:numPr>
          <w:ilvl w:val="2"/>
          <w:numId w:val="0"/>
        </w:numPr>
        <w:spacing w:before="40" w:after="0"/>
        <w:ind w:left="720" w:hanging="720"/>
        <w:outlineLvl w:val="2"/>
        <w:rPr>
          <w:rFonts w:ascii="Calibri Light" w:eastAsia="Times New Roman" w:hAnsi="Calibri Light" w:cs="Times New Roman"/>
          <w:sz w:val="24"/>
          <w:szCs w:val="24"/>
        </w:rPr>
      </w:pPr>
      <w:bookmarkStart w:id="61" w:name="_Toc2585819"/>
      <w:r w:rsidRPr="009D683D">
        <w:rPr>
          <w:rFonts w:ascii="Calibri Light" w:eastAsia="Times New Roman" w:hAnsi="Calibri Light" w:cs="Times New Roman"/>
          <w:sz w:val="24"/>
          <w:szCs w:val="24"/>
        </w:rPr>
        <w:t>Facility selection</w:t>
      </w:r>
      <w:bookmarkEnd w:id="61"/>
    </w:p>
    <w:p w14:paraId="293B23B3" w14:textId="77777777" w:rsidR="009D683D" w:rsidRPr="009D683D" w:rsidRDefault="009D683D" w:rsidP="009D683D">
      <w:pPr>
        <w:jc w:val="both"/>
        <w:rPr>
          <w:rFonts w:ascii="Calibri" w:eastAsia="Calibri" w:hAnsi="Calibri" w:cs="Times New Roman"/>
          <w:sz w:val="22"/>
        </w:rPr>
      </w:pPr>
      <w:bookmarkStart w:id="62" w:name="_Hlk1554918"/>
      <w:r w:rsidRPr="009D683D">
        <w:rPr>
          <w:rFonts w:ascii="Calibri" w:eastAsia="Calibri" w:hAnsi="Calibri" w:cs="Times New Roman"/>
          <w:sz w:val="22"/>
        </w:rPr>
        <w:t>Of more than eighty tertiary renal health services coordinating care for Australians receiving RRT, fourteen services coordinate care for approximately 88% of Indigenous Australian patients starting RRT nationally each year. Four services (Royal Darwin Hospital, Alice Springs Hospital, Royal Perth Hospital and Cairns Hospital) care for 62% of all incident Indigenous RRT patients, and a further four (Fiona Stanley Hospital Perth, Royal Adelaide Hospital, Townsville Hospital and Sir Charles Gairdner Hospital Perth) care for an additional 17% of incident Indigenous RRT patients. Another six services, predominantly across NSW, care for a further 9% of incident Indigenous RRT patients. Similarly, only a small proportion of services are responsible for performing transplant surgeries on Indigenous patients, as outlined in Figure 11.</w:t>
      </w:r>
    </w:p>
    <w:p w14:paraId="5CD54B83" w14:textId="77777777" w:rsidR="009D683D" w:rsidRPr="009D683D" w:rsidRDefault="009D683D" w:rsidP="009D683D">
      <w:pPr>
        <w:jc w:val="both"/>
        <w:rPr>
          <w:rFonts w:ascii="Calibri" w:eastAsia="Calibri" w:hAnsi="Calibri" w:cs="Times New Roman"/>
          <w:sz w:val="22"/>
        </w:rPr>
      </w:pPr>
      <w:r w:rsidRPr="009D683D">
        <w:rPr>
          <w:rFonts w:ascii="Calibri" w:eastAsia="Calibri" w:hAnsi="Calibri" w:cs="Times New Roman"/>
          <w:i/>
          <w:sz w:val="22"/>
        </w:rPr>
        <w:t xml:space="preserve">Figure 11: </w:t>
      </w:r>
      <w:r w:rsidRPr="009D683D">
        <w:rPr>
          <w:rFonts w:ascii="Calibri" w:eastAsia="Calibri" w:hAnsi="Calibri" w:cs="Times New Roman"/>
          <w:sz w:val="22"/>
        </w:rPr>
        <w:t>Transplant centres that performed Indigenous kidney transplant surgeries between 2008 and 2017.</w:t>
      </w:r>
    </w:p>
    <w:p w14:paraId="7DBED759" w14:textId="77777777" w:rsidR="009D683D" w:rsidRPr="009D683D" w:rsidRDefault="009D683D" w:rsidP="009D683D">
      <w:pPr>
        <w:jc w:val="both"/>
        <w:rPr>
          <w:rFonts w:ascii="Calibri" w:eastAsia="Calibri" w:hAnsi="Calibri" w:cs="Times New Roman"/>
          <w:sz w:val="22"/>
        </w:rPr>
      </w:pPr>
      <w:r w:rsidRPr="009D683D">
        <w:rPr>
          <w:rFonts w:ascii="Calibri" w:eastAsia="Calibri" w:hAnsi="Calibri" w:cs="Times New Roman"/>
          <w:noProof/>
          <w:sz w:val="22"/>
          <w:lang w:eastAsia="en-AU"/>
        </w:rPr>
        <w:lastRenderedPageBreak/>
        <w:drawing>
          <wp:inline distT="0" distB="0" distL="0" distR="0" wp14:anchorId="138D57E5" wp14:editId="3226B5FE">
            <wp:extent cx="5772150" cy="4219575"/>
            <wp:effectExtent l="0" t="0" r="0" b="9525"/>
            <wp:docPr id="223" name="Chart 223" descr="Bar graph of percentage of Indigenous transplants performed by Australian transplant centres. Central North Adelaide Renal Service had the highest percentage with 29.57%. Princes Margaret Hospital the lowest with 0.33%.">
              <a:extLst xmlns:a="http://schemas.openxmlformats.org/drawingml/2006/main">
                <a:ext uri="{FF2B5EF4-FFF2-40B4-BE49-F238E27FC236}">
                  <a16:creationId xmlns:a16="http://schemas.microsoft.com/office/drawing/2014/main" id="{5E4286EF-5447-449A-AE4C-8C216CA01E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bookmarkEnd w:id="62"/>
    <w:p w14:paraId="1D586DB7" w14:textId="77777777" w:rsidR="009D683D" w:rsidRPr="009D683D" w:rsidRDefault="009D683D" w:rsidP="009D683D">
      <w:pPr>
        <w:jc w:val="both"/>
        <w:rPr>
          <w:rFonts w:ascii="Calibri" w:eastAsia="Calibri" w:hAnsi="Calibri" w:cs="Times New Roman"/>
          <w:sz w:val="22"/>
        </w:rPr>
      </w:pPr>
      <w:r w:rsidRPr="009D683D">
        <w:rPr>
          <w:rFonts w:ascii="Calibri" w:eastAsia="Calibri" w:hAnsi="Calibri" w:cs="Times New Roman"/>
          <w:sz w:val="22"/>
        </w:rPr>
        <w:t>It is recommended that all renal health services in Australia be invited to participate in a voluntary 12-month trial of an enhanced and expanded ANZDATA data collection protocol, which would require units to capture a number of additional pre- and post-transplant data points. However, it is anticipated that centres that are individually responsible for the care of a very small number of Indigenous RRT patients may choose to not participate. This will not have a negative effect on the trial, given the inclusion of these centres is expected to increase cost and complexity without significantly increasing the ability to explore pre- and post-transplant barriers for Indigenous RRT patients.</w:t>
      </w:r>
    </w:p>
    <w:p w14:paraId="6475CD09" w14:textId="77777777" w:rsidR="009D683D" w:rsidRPr="009D683D" w:rsidRDefault="009D683D" w:rsidP="009D683D">
      <w:pPr>
        <w:keepNext/>
        <w:keepLines/>
        <w:numPr>
          <w:ilvl w:val="2"/>
          <w:numId w:val="0"/>
        </w:numPr>
        <w:spacing w:before="40" w:after="0"/>
        <w:ind w:left="720" w:hanging="720"/>
        <w:outlineLvl w:val="2"/>
        <w:rPr>
          <w:rFonts w:ascii="Calibri Light" w:eastAsia="Times New Roman" w:hAnsi="Calibri Light" w:cs="Times New Roman"/>
          <w:sz w:val="24"/>
          <w:szCs w:val="24"/>
        </w:rPr>
      </w:pPr>
      <w:bookmarkStart w:id="63" w:name="_Toc2585820"/>
      <w:r w:rsidRPr="009D683D">
        <w:rPr>
          <w:rFonts w:ascii="Calibri Light" w:eastAsia="Times New Roman" w:hAnsi="Calibri Light" w:cs="Times New Roman"/>
          <w:sz w:val="24"/>
          <w:szCs w:val="24"/>
        </w:rPr>
        <w:t>Patient selection</w:t>
      </w:r>
      <w:bookmarkEnd w:id="63"/>
    </w:p>
    <w:p w14:paraId="1647BE05"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All Indigenous and non-Indigenous patients receiving RRT from participating renal health services who are covered under existing ANZDATA consent arrangements will be captured as part of the expanded data collection framework. The inclusion of non-Indigenous patients is critical, as this cohort will serve as a comparator for the Indigenous patient population, enabling meaningful conclusions to be drawn.</w:t>
      </w:r>
    </w:p>
    <w:p w14:paraId="595180EF" w14:textId="77777777" w:rsidR="009D683D" w:rsidRPr="009D683D" w:rsidRDefault="009D683D" w:rsidP="009D683D">
      <w:pPr>
        <w:keepNext/>
        <w:keepLines/>
        <w:numPr>
          <w:ilvl w:val="2"/>
          <w:numId w:val="0"/>
        </w:numPr>
        <w:spacing w:before="40" w:after="0"/>
        <w:ind w:left="720" w:hanging="720"/>
        <w:outlineLvl w:val="2"/>
        <w:rPr>
          <w:rFonts w:ascii="Calibri Light" w:eastAsia="Times New Roman" w:hAnsi="Calibri Light" w:cs="Times New Roman"/>
          <w:sz w:val="24"/>
          <w:szCs w:val="24"/>
        </w:rPr>
      </w:pPr>
      <w:bookmarkStart w:id="64" w:name="_Toc2585821"/>
      <w:r w:rsidRPr="009D683D">
        <w:rPr>
          <w:rFonts w:ascii="Calibri Light" w:eastAsia="Times New Roman" w:hAnsi="Calibri Light" w:cs="Times New Roman"/>
          <w:sz w:val="24"/>
          <w:szCs w:val="24"/>
        </w:rPr>
        <w:t>Data collection</w:t>
      </w:r>
      <w:bookmarkEnd w:id="64"/>
    </w:p>
    <w:p w14:paraId="26CC36BB" w14:textId="77777777" w:rsidR="009D683D" w:rsidRPr="009D683D" w:rsidRDefault="009D683D" w:rsidP="009D683D">
      <w:pPr>
        <w:jc w:val="both"/>
        <w:rPr>
          <w:rFonts w:ascii="Calibri" w:eastAsia="Calibri" w:hAnsi="Calibri" w:cs="Times New Roman"/>
          <w:sz w:val="22"/>
        </w:rPr>
      </w:pPr>
      <w:r w:rsidRPr="009D683D">
        <w:rPr>
          <w:rFonts w:ascii="Calibri" w:eastAsia="Calibri" w:hAnsi="Calibri" w:cs="Times New Roman"/>
          <w:sz w:val="22"/>
        </w:rPr>
        <w:t xml:space="preserve">Currently, ANZDATA requires all dialysis and transplant units in Australia and New Zealand to complete an annual survey at 31 December. This survey encompasses all patient events that have occurred in the previous twelve months as well as a ‘snapshot’ of all dialysis and transplant patients on those dates. </w:t>
      </w:r>
    </w:p>
    <w:p w14:paraId="035C589D" w14:textId="77777777" w:rsidR="009D683D" w:rsidRPr="009D683D" w:rsidRDefault="009D683D" w:rsidP="009D683D">
      <w:pPr>
        <w:jc w:val="both"/>
        <w:rPr>
          <w:rFonts w:ascii="Calibri" w:eastAsia="Calibri" w:hAnsi="Calibri" w:cs="Times New Roman"/>
          <w:sz w:val="22"/>
        </w:rPr>
      </w:pPr>
      <w:r w:rsidRPr="009D683D">
        <w:rPr>
          <w:rFonts w:ascii="Calibri" w:eastAsia="Calibri" w:hAnsi="Calibri" w:cs="Times New Roman"/>
          <w:sz w:val="22"/>
        </w:rPr>
        <w:t xml:space="preserve">Following consultations between ANZDATA, hospitals and other data contributors, data ‘users’, consumers and relevant stakeholders, an expanded survey will be provided to transplant coordinators from participating </w:t>
      </w:r>
      <w:proofErr w:type="spellStart"/>
      <w:r w:rsidRPr="009D683D">
        <w:rPr>
          <w:rFonts w:ascii="Calibri" w:eastAsia="Calibri" w:hAnsi="Calibri" w:cs="Times New Roman"/>
          <w:sz w:val="22"/>
        </w:rPr>
        <w:t>renal</w:t>
      </w:r>
      <w:proofErr w:type="spellEnd"/>
      <w:r w:rsidRPr="009D683D">
        <w:rPr>
          <w:rFonts w:ascii="Calibri" w:eastAsia="Calibri" w:hAnsi="Calibri" w:cs="Times New Roman"/>
          <w:sz w:val="22"/>
        </w:rPr>
        <w:t xml:space="preserve"> units to complete. It is envisaged that the expanded survey will capture additional pre- and post-transplant data points, as outlined in Figures 12 and 13.</w:t>
      </w:r>
    </w:p>
    <w:p w14:paraId="08C026C0" w14:textId="77777777" w:rsidR="009D683D" w:rsidRPr="009D683D" w:rsidRDefault="009D683D" w:rsidP="009D683D">
      <w:pPr>
        <w:spacing w:after="120"/>
        <w:rPr>
          <w:rFonts w:ascii="Calibri" w:eastAsia="Calibri" w:hAnsi="Calibri" w:cs="Times New Roman"/>
          <w:sz w:val="22"/>
        </w:rPr>
      </w:pPr>
      <w:r w:rsidRPr="009D683D">
        <w:rPr>
          <w:rFonts w:ascii="Calibri" w:eastAsia="Calibri" w:hAnsi="Calibri" w:cs="Times New Roman"/>
          <w:i/>
          <w:sz w:val="22"/>
        </w:rPr>
        <w:lastRenderedPageBreak/>
        <w:t>Figure 12</w:t>
      </w:r>
      <w:r w:rsidRPr="009D683D">
        <w:rPr>
          <w:rFonts w:ascii="Calibri" w:eastAsia="Calibri" w:hAnsi="Calibri" w:cs="Times New Roman"/>
          <w:sz w:val="22"/>
        </w:rPr>
        <w:t>: Additional pre-transplant data points.</w:t>
      </w:r>
    </w:p>
    <w:p w14:paraId="4E9B5191" w14:textId="77777777" w:rsidR="009D683D" w:rsidRPr="009D683D" w:rsidRDefault="009D683D" w:rsidP="009D683D">
      <w:pPr>
        <w:spacing w:after="120"/>
        <w:rPr>
          <w:rFonts w:ascii="Calibri" w:eastAsia="Calibri" w:hAnsi="Calibri" w:cs="Times New Roman"/>
          <w:sz w:val="4"/>
        </w:rPr>
      </w:pPr>
    </w:p>
    <w:p w14:paraId="3794FBE5" w14:textId="77777777" w:rsidR="009D683D" w:rsidRPr="009D683D" w:rsidRDefault="009D683D" w:rsidP="009D683D">
      <w:pPr>
        <w:spacing w:after="120"/>
        <w:rPr>
          <w:rFonts w:ascii="Calibri" w:eastAsia="Calibri" w:hAnsi="Calibri" w:cs="Times New Roman"/>
          <w:sz w:val="22"/>
        </w:rPr>
      </w:pPr>
      <w:r w:rsidRPr="009D683D">
        <w:rPr>
          <w:rFonts w:ascii="Calibri" w:eastAsia="Calibri" w:hAnsi="Calibri" w:cs="Times New Roman"/>
          <w:noProof/>
          <w:sz w:val="22"/>
          <w:lang w:eastAsia="en-AU"/>
        </w:rPr>
        <w:drawing>
          <wp:inline distT="0" distB="0" distL="0" distR="0" wp14:anchorId="152930B7" wp14:editId="75B199E5">
            <wp:extent cx="5731510" cy="3138805"/>
            <wp:effectExtent l="19050" t="0" r="21590" b="23495"/>
            <wp:docPr id="15" name="Diagram 15" descr="Recommended pre-transplantation data points covering eligibility, workup and assessmen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69906052" w14:textId="77777777" w:rsidR="009D683D" w:rsidRPr="009D683D" w:rsidRDefault="009D683D" w:rsidP="009D683D">
      <w:pPr>
        <w:keepNext/>
        <w:spacing w:after="120"/>
        <w:rPr>
          <w:rFonts w:ascii="Calibri" w:eastAsia="Calibri" w:hAnsi="Calibri" w:cs="Times New Roman"/>
          <w:sz w:val="22"/>
        </w:rPr>
      </w:pPr>
      <w:r w:rsidRPr="009D683D">
        <w:rPr>
          <w:rFonts w:ascii="Calibri" w:eastAsia="Calibri" w:hAnsi="Calibri" w:cs="Times New Roman"/>
          <w:i/>
          <w:sz w:val="22"/>
        </w:rPr>
        <w:t>Figure 13</w:t>
      </w:r>
      <w:r w:rsidRPr="009D683D">
        <w:rPr>
          <w:rFonts w:ascii="Calibri" w:eastAsia="Calibri" w:hAnsi="Calibri" w:cs="Times New Roman"/>
          <w:sz w:val="22"/>
        </w:rPr>
        <w:t>: Additional post-transplant data points.</w:t>
      </w:r>
    </w:p>
    <w:p w14:paraId="62CC2BB7" w14:textId="77777777" w:rsidR="009D683D" w:rsidRPr="009D683D" w:rsidRDefault="009D683D" w:rsidP="009D683D">
      <w:pPr>
        <w:rPr>
          <w:rFonts w:ascii="Calibri" w:eastAsia="Calibri" w:hAnsi="Calibri" w:cs="Times New Roman"/>
          <w:sz w:val="22"/>
        </w:rPr>
      </w:pPr>
      <w:r w:rsidRPr="009D683D">
        <w:rPr>
          <w:rFonts w:ascii="Calibri" w:eastAsia="Calibri" w:hAnsi="Calibri" w:cs="Times New Roman"/>
          <w:noProof/>
          <w:sz w:val="22"/>
          <w:lang w:eastAsia="en-AU"/>
        </w:rPr>
        <w:drawing>
          <wp:inline distT="0" distB="0" distL="0" distR="0" wp14:anchorId="433F5A83" wp14:editId="1E38D8E7">
            <wp:extent cx="5486400" cy="2800350"/>
            <wp:effectExtent l="0" t="19050" r="0" b="19050"/>
            <wp:docPr id="26" name="Diagram 26" descr="Diagram showing additional post transplant data point recommendations including: residential address, hospitalisations, active infections and immunosuppressant detail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4DB5E3F8"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The burden associated with collecting and reporting additional pre- and post-transplant data points will be reduced by incorporating drop-down list boxes, where applicable, as part of the online survey. This will improve the efficiency of the process for transplant coordinators, who will simply be required to select the appropriate option for each patient (i.e. workup completed - awaiting assessment). The survey will also include date fields where applicable, to improve the monitoring of patients’ pre- and post-transplant trajectories. </w:t>
      </w:r>
    </w:p>
    <w:p w14:paraId="55F78ECA"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To accommodate the additional pre-transplant data points, a new section will be incorporated into the ANZDATA survey titled ‘transplant eligibility and assessment’. The additional post-transplant data points will be incorporated into the existing ‘current graft’ section of the survey. Once data collection, </w:t>
      </w:r>
      <w:r w:rsidRPr="009D683D">
        <w:rPr>
          <w:rFonts w:ascii="Calibri" w:eastAsia="Calibri" w:hAnsi="Calibri" w:cs="Times New Roman"/>
          <w:sz w:val="22"/>
        </w:rPr>
        <w:lastRenderedPageBreak/>
        <w:t>validation, entry and analysis has been completed, it is critical that this information be made available to patients, carers and community members in appropriate formats.</w:t>
      </w:r>
    </w:p>
    <w:p w14:paraId="152DB23A"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Other post-transplant variables, such as socioeconomic, housing and health-related infrastructure factors, also affect post-transplant outcomes. While these variables are difficult to measure on a national scale, work is underway to determine which of these factors contribute to poorer post-transplant outcomes among Indigenous recipients and identify possible solutions.   </w:t>
      </w:r>
    </w:p>
    <w:p w14:paraId="151B228E" w14:textId="77777777" w:rsidR="009D683D" w:rsidRPr="009D683D" w:rsidRDefault="009D683D" w:rsidP="009D683D">
      <w:pPr>
        <w:keepNext/>
        <w:keepLines/>
        <w:numPr>
          <w:ilvl w:val="2"/>
          <w:numId w:val="0"/>
        </w:numPr>
        <w:spacing w:before="40" w:after="0"/>
        <w:ind w:left="720" w:hanging="720"/>
        <w:outlineLvl w:val="2"/>
        <w:rPr>
          <w:rFonts w:ascii="Calibri Light" w:eastAsia="Times New Roman" w:hAnsi="Calibri Light" w:cs="Times New Roman"/>
          <w:sz w:val="24"/>
          <w:szCs w:val="24"/>
        </w:rPr>
      </w:pPr>
      <w:bookmarkStart w:id="65" w:name="_Toc2585822"/>
      <w:r w:rsidRPr="009D683D">
        <w:rPr>
          <w:rFonts w:ascii="Calibri Light" w:eastAsia="Times New Roman" w:hAnsi="Calibri Light" w:cs="Times New Roman"/>
          <w:sz w:val="24"/>
          <w:szCs w:val="24"/>
        </w:rPr>
        <w:t>Feasibility and resourcing</w:t>
      </w:r>
      <w:bookmarkEnd w:id="65"/>
    </w:p>
    <w:p w14:paraId="4D096000"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ANZDATA has the infrastructure and expertise to manage an expanded national data collection protocol, which would enable the inclusion of a separate Indigenous transplant chapter in the ANZDATA annual report. However, the scope of the additional data collection may prove to be a burdensome undertaking for some units without additional resourcing. It is also anticipated that software modifications and more rigorous data submission requirements will create additional costs. The proposed 12-month pilot project will enable participating </w:t>
      </w:r>
      <w:proofErr w:type="spellStart"/>
      <w:r w:rsidRPr="009D683D">
        <w:rPr>
          <w:rFonts w:ascii="Calibri" w:eastAsia="Calibri" w:hAnsi="Calibri" w:cs="Times New Roman"/>
          <w:sz w:val="22"/>
        </w:rPr>
        <w:t>renal</w:t>
      </w:r>
      <w:proofErr w:type="spellEnd"/>
      <w:r w:rsidRPr="009D683D">
        <w:rPr>
          <w:rFonts w:ascii="Calibri" w:eastAsia="Calibri" w:hAnsi="Calibri" w:cs="Times New Roman"/>
          <w:sz w:val="22"/>
        </w:rPr>
        <w:t xml:space="preserve"> units to determine whether it is a sustainable undertaking and identify what additional resourcing they require to maintain enhanced data capture. </w:t>
      </w:r>
    </w:p>
    <w:p w14:paraId="7BB4C599"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The risks associated with this multijurisdictional project include low renal health service recruitment rates and delays in the collection, validation, entry and analysis of additional data points. These risks are expected to be balanced by: a) interest and support in this area from the Australian Government, b) the involvement and support of centres caring for the majority of Indigenous Australian RRT patients nationally, c) the coordinating role of the ANZDATA registry, which has a reputation for data fidelity and completeness, with ‘real-time, on-line’ data entry now the norm for almost all contributing renal services. </w:t>
      </w:r>
    </w:p>
    <w:p w14:paraId="610D8A79" w14:textId="77777777" w:rsidR="009D683D" w:rsidRPr="009D683D" w:rsidRDefault="009D683D" w:rsidP="009D683D">
      <w:pPr>
        <w:keepNext/>
        <w:keepLines/>
        <w:numPr>
          <w:ilvl w:val="2"/>
          <w:numId w:val="0"/>
        </w:numPr>
        <w:spacing w:before="40" w:after="0"/>
        <w:ind w:left="720" w:hanging="720"/>
        <w:outlineLvl w:val="2"/>
        <w:rPr>
          <w:rFonts w:ascii="Calibri Light" w:eastAsia="Times New Roman" w:hAnsi="Calibri Light" w:cs="Times New Roman"/>
          <w:sz w:val="24"/>
          <w:szCs w:val="24"/>
        </w:rPr>
      </w:pPr>
      <w:bookmarkStart w:id="66" w:name="_Toc2585823"/>
      <w:r w:rsidRPr="009D683D">
        <w:rPr>
          <w:rFonts w:ascii="Calibri Light" w:eastAsia="Times New Roman" w:hAnsi="Calibri Light" w:cs="Times New Roman"/>
          <w:sz w:val="24"/>
          <w:szCs w:val="24"/>
        </w:rPr>
        <w:t>Other data linkage and research projects</w:t>
      </w:r>
      <w:bookmarkEnd w:id="66"/>
    </w:p>
    <w:p w14:paraId="5F862297"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The expansion of ANZDATA’s data collection protocol should be complemented by a number of discrete projects that specifically target identified transplantation barriers for Indigenous patients. Additional funding is required to facilitate the implementation of proposed projects, which include: </w:t>
      </w:r>
    </w:p>
    <w:p w14:paraId="37E9E481" w14:textId="77777777" w:rsidR="009D683D" w:rsidRPr="009D683D" w:rsidRDefault="009D683D" w:rsidP="00782640">
      <w:pPr>
        <w:numPr>
          <w:ilvl w:val="0"/>
          <w:numId w:val="86"/>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Linking national hospital separations data to the ANZDATA database to allow examination of episodes of admitted patient care, including post-transplant hospitalisations due to infective complications.</w:t>
      </w:r>
    </w:p>
    <w:p w14:paraId="22F0070D" w14:textId="77777777" w:rsidR="009D683D" w:rsidRPr="009D683D" w:rsidRDefault="009D683D" w:rsidP="00782640">
      <w:pPr>
        <w:numPr>
          <w:ilvl w:val="0"/>
          <w:numId w:val="87"/>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 xml:space="preserve">This would facilitate a comprehensive comparison of Indigenous and non-Indigenous patients’ post-transplant outcomes and would enable a longitudinal examination of the frequency of complications for both patient populations. </w:t>
      </w:r>
    </w:p>
    <w:p w14:paraId="6D4B3D8F" w14:textId="77777777" w:rsidR="009D683D" w:rsidRPr="009D683D" w:rsidRDefault="009D683D" w:rsidP="00782640">
      <w:pPr>
        <w:numPr>
          <w:ilvl w:val="0"/>
          <w:numId w:val="86"/>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A 24-month multicentre prospective cohort study of Indigenous Australian kidney transplant recipients to investigate the occurrence of and antecedents to post-transplant infective complications and vascular events.</w:t>
      </w:r>
    </w:p>
    <w:p w14:paraId="7A858DDB" w14:textId="77777777" w:rsidR="009D683D" w:rsidRPr="009D683D" w:rsidRDefault="009D683D" w:rsidP="00782640">
      <w:pPr>
        <w:numPr>
          <w:ilvl w:val="0"/>
          <w:numId w:val="87"/>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This study would also facilitate an examination of the efficacy of infective prophylaxis and vascular complication protocols for Indigenous kidney transplant recipients.</w:t>
      </w:r>
    </w:p>
    <w:p w14:paraId="70A014F3" w14:textId="77777777" w:rsidR="009D683D" w:rsidRPr="009D683D" w:rsidRDefault="009D683D" w:rsidP="00782640">
      <w:pPr>
        <w:numPr>
          <w:ilvl w:val="0"/>
          <w:numId w:val="86"/>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 xml:space="preserve">An adaptive national platform trial to study the best immunosuppression, antibiotic, antiviral and antifungal therapies for Indigenous kidney transplant recipients. </w:t>
      </w:r>
    </w:p>
    <w:p w14:paraId="48509B00" w14:textId="77777777" w:rsidR="009D683D" w:rsidRPr="009D683D" w:rsidRDefault="009D683D" w:rsidP="00782640">
      <w:pPr>
        <w:numPr>
          <w:ilvl w:val="0"/>
          <w:numId w:val="87"/>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 xml:space="preserve">This would enable a simultaneous study of multiple therapies for Indigenous kidney transplant recipients, resulting in the identification of the most effective therapies for this patient population.  </w:t>
      </w:r>
    </w:p>
    <w:bookmarkStart w:id="67" w:name="_Toc2585824"/>
    <w:p w14:paraId="5DC02E83" w14:textId="77777777" w:rsidR="0055104B" w:rsidRDefault="009D683D" w:rsidP="009D683D">
      <w:pPr>
        <w:keepNext/>
        <w:keepLines/>
        <w:spacing w:before="240" w:after="0"/>
        <w:ind w:left="360" w:hanging="360"/>
        <w:outlineLvl w:val="0"/>
        <w:rPr>
          <w:rFonts w:ascii="Calibri Light" w:eastAsia="Times New Roman" w:hAnsi="Calibri Light" w:cs="Times New Roman"/>
          <w:sz w:val="32"/>
          <w:szCs w:val="32"/>
        </w:rPr>
      </w:pPr>
      <w:r w:rsidRPr="009D683D">
        <w:rPr>
          <w:rFonts w:ascii="Calibri Light" w:eastAsia="Times New Roman" w:hAnsi="Calibri Light" w:cs="Times New Roman"/>
          <w:noProof/>
          <w:sz w:val="32"/>
          <w:szCs w:val="32"/>
          <w:lang w:eastAsia="en-AU"/>
        </w:rPr>
        <w:lastRenderedPageBreak/>
        <mc:AlternateContent>
          <mc:Choice Requires="wps">
            <w:drawing>
              <wp:inline distT="0" distB="0" distL="0" distR="0" wp14:anchorId="007B4537" wp14:editId="5CB991C5">
                <wp:extent cx="5876925" cy="3505200"/>
                <wp:effectExtent l="0" t="0" r="28575" b="1905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3505200"/>
                        </a:xfrm>
                        <a:prstGeom prst="rect">
                          <a:avLst/>
                        </a:prstGeom>
                        <a:solidFill>
                          <a:srgbClr val="70AD47">
                            <a:lumMod val="20000"/>
                            <a:lumOff val="80000"/>
                          </a:srgbClr>
                        </a:solidFill>
                        <a:ln w="9525">
                          <a:solidFill>
                            <a:srgbClr val="000000"/>
                          </a:solidFill>
                          <a:miter lim="800000"/>
                          <a:headEnd/>
                          <a:tailEnd/>
                        </a:ln>
                        <a:effectLst/>
                      </wps:spPr>
                      <wps:txbx>
                        <w:txbxContent>
                          <w:p w14:paraId="254F5D80" w14:textId="77777777" w:rsidR="00A41391" w:rsidRPr="004C426E" w:rsidRDefault="00A41391" w:rsidP="009D683D">
                            <w:pPr>
                              <w:spacing w:line="276" w:lineRule="auto"/>
                              <w:jc w:val="both"/>
                              <w:rPr>
                                <w:b/>
                                <w:sz w:val="24"/>
                              </w:rPr>
                            </w:pPr>
                            <w:r w:rsidRPr="004C426E">
                              <w:rPr>
                                <w:b/>
                                <w:sz w:val="24"/>
                              </w:rPr>
                              <w:t xml:space="preserve">Box </w:t>
                            </w:r>
                            <w:r>
                              <w:rPr>
                                <w:b/>
                                <w:sz w:val="24"/>
                              </w:rPr>
                              <w:t>13</w:t>
                            </w:r>
                            <w:r w:rsidRPr="004C426E">
                              <w:rPr>
                                <w:b/>
                                <w:sz w:val="24"/>
                              </w:rPr>
                              <w:t>: Summary of pre-transplant barriers</w:t>
                            </w:r>
                          </w:p>
                          <w:p w14:paraId="70C2B277" w14:textId="77777777" w:rsidR="00A41391" w:rsidRDefault="00A41391" w:rsidP="009D683D">
                            <w:pPr>
                              <w:spacing w:line="276" w:lineRule="auto"/>
                              <w:jc w:val="both"/>
                            </w:pPr>
                            <w:r>
                              <w:t>Indigenous patients face multiple, complex barriers to accessing pre-transplant information and education, assessment and workup. Many of these barriers also impede Indigenous patients’ ability to stay healthy on the waitlist, reducing their chances of receiving a transplant. Pre-transplant barriers include:</w:t>
                            </w:r>
                          </w:p>
                          <w:p w14:paraId="78457D8E" w14:textId="77777777" w:rsidR="00A41391" w:rsidRDefault="00A41391" w:rsidP="00782640">
                            <w:pPr>
                              <w:pStyle w:val="ListParagraph"/>
                              <w:numPr>
                                <w:ilvl w:val="0"/>
                                <w:numId w:val="41"/>
                              </w:numPr>
                              <w:spacing w:line="276" w:lineRule="auto"/>
                              <w:jc w:val="both"/>
                            </w:pPr>
                            <w:r>
                              <w:t>Low health literacy and challenges in understanding the transplantation process;</w:t>
                            </w:r>
                          </w:p>
                          <w:p w14:paraId="1CEEBA62" w14:textId="77777777" w:rsidR="00A41391" w:rsidRDefault="00A41391" w:rsidP="00782640">
                            <w:pPr>
                              <w:pStyle w:val="ListParagraph"/>
                              <w:numPr>
                                <w:ilvl w:val="0"/>
                                <w:numId w:val="41"/>
                              </w:numPr>
                              <w:spacing w:line="276" w:lineRule="auto"/>
                              <w:jc w:val="both"/>
                            </w:pPr>
                            <w:r>
                              <w:t>Lack of access to culturally appropriate information and education programs;</w:t>
                            </w:r>
                          </w:p>
                          <w:p w14:paraId="0D70F694" w14:textId="77777777" w:rsidR="00A41391" w:rsidRDefault="00A41391" w:rsidP="00782640">
                            <w:pPr>
                              <w:pStyle w:val="ListParagraph"/>
                              <w:numPr>
                                <w:ilvl w:val="0"/>
                                <w:numId w:val="41"/>
                              </w:numPr>
                              <w:spacing w:line="276" w:lineRule="auto"/>
                              <w:jc w:val="both"/>
                            </w:pPr>
                            <w:r>
                              <w:t>Lengthy cultural processes for making important health care decisions;</w:t>
                            </w:r>
                          </w:p>
                          <w:p w14:paraId="41B04F5A" w14:textId="77777777" w:rsidR="00A41391" w:rsidRDefault="00A41391" w:rsidP="00782640">
                            <w:pPr>
                              <w:pStyle w:val="ListParagraph"/>
                              <w:numPr>
                                <w:ilvl w:val="0"/>
                                <w:numId w:val="41"/>
                              </w:numPr>
                              <w:spacing w:line="276" w:lineRule="auto"/>
                              <w:jc w:val="both"/>
                            </w:pPr>
                            <w:r>
                              <w:t>Lack of appropriate structures for patient and community involvement in the patient’s journey to transplantation;</w:t>
                            </w:r>
                          </w:p>
                          <w:p w14:paraId="23E10364" w14:textId="77777777" w:rsidR="00A41391" w:rsidRDefault="00A41391" w:rsidP="00782640">
                            <w:pPr>
                              <w:pStyle w:val="ListParagraph"/>
                              <w:numPr>
                                <w:ilvl w:val="0"/>
                                <w:numId w:val="41"/>
                              </w:numPr>
                              <w:spacing w:line="276" w:lineRule="auto"/>
                              <w:jc w:val="both"/>
                            </w:pPr>
                            <w:r>
                              <w:t>Competing family priorities and cultural obligations;</w:t>
                            </w:r>
                          </w:p>
                          <w:p w14:paraId="0A4BE90D" w14:textId="77777777" w:rsidR="00A41391" w:rsidRDefault="00A41391" w:rsidP="00782640">
                            <w:pPr>
                              <w:pStyle w:val="ListParagraph"/>
                              <w:numPr>
                                <w:ilvl w:val="0"/>
                                <w:numId w:val="41"/>
                              </w:numPr>
                              <w:spacing w:line="276" w:lineRule="auto"/>
                              <w:jc w:val="both"/>
                            </w:pPr>
                            <w:r>
                              <w:t xml:space="preserve">Late referral to dialysis negatively impacting ensuing treatment phases; </w:t>
                            </w:r>
                          </w:p>
                          <w:p w14:paraId="1D384369" w14:textId="77777777" w:rsidR="00A41391" w:rsidRDefault="00A41391" w:rsidP="00782640">
                            <w:pPr>
                              <w:pStyle w:val="ListParagraph"/>
                              <w:numPr>
                                <w:ilvl w:val="0"/>
                                <w:numId w:val="41"/>
                              </w:numPr>
                              <w:spacing w:line="276" w:lineRule="auto"/>
                              <w:jc w:val="both"/>
                            </w:pPr>
                            <w:r>
                              <w:t>Geographical barriers, which pose numerous social, cultural and economic challenges that have the potential to significantly delay access to support, assessment, workup and treatment; and</w:t>
                            </w:r>
                          </w:p>
                          <w:p w14:paraId="127EC2A7" w14:textId="77777777" w:rsidR="00A41391" w:rsidRDefault="00A41391" w:rsidP="00782640">
                            <w:pPr>
                              <w:pStyle w:val="ListParagraph"/>
                              <w:numPr>
                                <w:ilvl w:val="0"/>
                                <w:numId w:val="41"/>
                              </w:numPr>
                              <w:spacing w:line="276" w:lineRule="auto"/>
                              <w:jc w:val="both"/>
                            </w:pPr>
                            <w:r>
                              <w:t>Higher prevalence of surgical risk factors, including obesity and diabetes.</w:t>
                            </w:r>
                          </w:p>
                          <w:p w14:paraId="23FE3A4A" w14:textId="77777777" w:rsidR="00A41391" w:rsidRDefault="00A41391" w:rsidP="009D683D">
                            <w:pPr>
                              <w:spacing w:line="276" w:lineRule="auto"/>
                              <w:jc w:val="both"/>
                            </w:pPr>
                          </w:p>
                        </w:txbxContent>
                      </wps:txbx>
                      <wps:bodyPr rot="0" vert="horz" wrap="square" lIns="91440" tIns="45720" rIns="91440" bIns="45720" anchor="t" anchorCtr="0">
                        <a:noAutofit/>
                      </wps:bodyPr>
                    </wps:wsp>
                  </a:graphicData>
                </a:graphic>
              </wp:inline>
            </w:drawing>
          </mc:Choice>
          <mc:Fallback>
            <w:pict>
              <v:shape w14:anchorId="007B4537" id="_x0000_s1041" type="#_x0000_t202" style="width:462.75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" fillcolor="#e2f0d9">
                <v:textbox>
                  <w:txbxContent>
                    <w:p w14:paraId="254F5D80" w14:textId="77777777" w:rsidR="00A41391" w:rsidRPr="004C426E" w:rsidRDefault="00A41391" w:rsidP="009D683D">
                      <w:pPr>
                        <w:spacing w:line="276" w:lineRule="auto"/>
                        <w:jc w:val="both"/>
                        <w:rPr>
                          <w:b/>
                          <w:sz w:val="24"/>
                        </w:rPr>
                      </w:pPr>
                      <w:r w:rsidRPr="004C426E">
                        <w:rPr>
                          <w:b/>
                          <w:sz w:val="24"/>
                        </w:rPr>
                        <w:t xml:space="preserve">Box </w:t>
                      </w:r>
                      <w:r>
                        <w:rPr>
                          <w:b/>
                          <w:sz w:val="24"/>
                        </w:rPr>
                        <w:t>13</w:t>
                      </w:r>
                      <w:r w:rsidRPr="004C426E">
                        <w:rPr>
                          <w:b/>
                          <w:sz w:val="24"/>
                        </w:rPr>
                        <w:t>: Summary of pre-transplant barriers</w:t>
                      </w:r>
                    </w:p>
                    <w:p w14:paraId="70C2B277" w14:textId="77777777" w:rsidR="00A41391" w:rsidRDefault="00A41391" w:rsidP="009D683D">
                      <w:pPr>
                        <w:spacing w:line="276" w:lineRule="auto"/>
                        <w:jc w:val="both"/>
                      </w:pPr>
                      <w:r>
                        <w:t>Indigenous patients face multiple, complex barriers to accessing pre-transplant information and education, assessment and workup. Many of these barriers also impede Indigenous patients’ ability to stay healthy on the waitlist, reducing their chances of receiving a transplant. Pre-transplant barriers include:</w:t>
                      </w:r>
                    </w:p>
                    <w:p w14:paraId="78457D8E" w14:textId="77777777" w:rsidR="00A41391" w:rsidRDefault="00A41391" w:rsidP="00782640">
                      <w:pPr>
                        <w:pStyle w:val="ListParagraph"/>
                        <w:numPr>
                          <w:ilvl w:val="0"/>
                          <w:numId w:val="41"/>
                        </w:numPr>
                        <w:spacing w:line="276" w:lineRule="auto"/>
                        <w:jc w:val="both"/>
                      </w:pPr>
                      <w:r>
                        <w:t>Low health literacy and challenges in understanding the transplantation process;</w:t>
                      </w:r>
                    </w:p>
                    <w:p w14:paraId="1CEEBA62" w14:textId="77777777" w:rsidR="00A41391" w:rsidRDefault="00A41391" w:rsidP="00782640">
                      <w:pPr>
                        <w:pStyle w:val="ListParagraph"/>
                        <w:numPr>
                          <w:ilvl w:val="0"/>
                          <w:numId w:val="41"/>
                        </w:numPr>
                        <w:spacing w:line="276" w:lineRule="auto"/>
                        <w:jc w:val="both"/>
                      </w:pPr>
                      <w:r>
                        <w:t>Lack of access to culturally appropriate information and education programs;</w:t>
                      </w:r>
                    </w:p>
                    <w:p w14:paraId="0D70F694" w14:textId="77777777" w:rsidR="00A41391" w:rsidRDefault="00A41391" w:rsidP="00782640">
                      <w:pPr>
                        <w:pStyle w:val="ListParagraph"/>
                        <w:numPr>
                          <w:ilvl w:val="0"/>
                          <w:numId w:val="41"/>
                        </w:numPr>
                        <w:spacing w:line="276" w:lineRule="auto"/>
                        <w:jc w:val="both"/>
                      </w:pPr>
                      <w:r>
                        <w:t>Lengthy cultural processes for making important health care decisions;</w:t>
                      </w:r>
                    </w:p>
                    <w:p w14:paraId="41B04F5A" w14:textId="77777777" w:rsidR="00A41391" w:rsidRDefault="00A41391" w:rsidP="00782640">
                      <w:pPr>
                        <w:pStyle w:val="ListParagraph"/>
                        <w:numPr>
                          <w:ilvl w:val="0"/>
                          <w:numId w:val="41"/>
                        </w:numPr>
                        <w:spacing w:line="276" w:lineRule="auto"/>
                        <w:jc w:val="both"/>
                      </w:pPr>
                      <w:r>
                        <w:t>Lack of appropriate structures for patient and community involvement in the patient’s journey to transplantation;</w:t>
                      </w:r>
                    </w:p>
                    <w:p w14:paraId="23E10364" w14:textId="77777777" w:rsidR="00A41391" w:rsidRDefault="00A41391" w:rsidP="00782640">
                      <w:pPr>
                        <w:pStyle w:val="ListParagraph"/>
                        <w:numPr>
                          <w:ilvl w:val="0"/>
                          <w:numId w:val="41"/>
                        </w:numPr>
                        <w:spacing w:line="276" w:lineRule="auto"/>
                        <w:jc w:val="both"/>
                      </w:pPr>
                      <w:r>
                        <w:t>Competing family priorities and cultural obligations;</w:t>
                      </w:r>
                    </w:p>
                    <w:p w14:paraId="0A4BE90D" w14:textId="77777777" w:rsidR="00A41391" w:rsidRDefault="00A41391" w:rsidP="00782640">
                      <w:pPr>
                        <w:pStyle w:val="ListParagraph"/>
                        <w:numPr>
                          <w:ilvl w:val="0"/>
                          <w:numId w:val="41"/>
                        </w:numPr>
                        <w:spacing w:line="276" w:lineRule="auto"/>
                        <w:jc w:val="both"/>
                      </w:pPr>
                      <w:r>
                        <w:t xml:space="preserve">Late referral to dialysis negatively impacting ensuing treatment phases; </w:t>
                      </w:r>
                    </w:p>
                    <w:p w14:paraId="1D384369" w14:textId="77777777" w:rsidR="00A41391" w:rsidRDefault="00A41391" w:rsidP="00782640">
                      <w:pPr>
                        <w:pStyle w:val="ListParagraph"/>
                        <w:numPr>
                          <w:ilvl w:val="0"/>
                          <w:numId w:val="41"/>
                        </w:numPr>
                        <w:spacing w:line="276" w:lineRule="auto"/>
                        <w:jc w:val="both"/>
                      </w:pPr>
                      <w:r>
                        <w:t>Geographical barriers, which pose numerous social, cultural and economic challenges that have the potential to significantly delay access to support, assessment, workup and treatment; and</w:t>
                      </w:r>
                    </w:p>
                    <w:p w14:paraId="127EC2A7" w14:textId="77777777" w:rsidR="00A41391" w:rsidRDefault="00A41391" w:rsidP="00782640">
                      <w:pPr>
                        <w:pStyle w:val="ListParagraph"/>
                        <w:numPr>
                          <w:ilvl w:val="0"/>
                          <w:numId w:val="41"/>
                        </w:numPr>
                        <w:spacing w:line="276" w:lineRule="auto"/>
                        <w:jc w:val="both"/>
                      </w:pPr>
                      <w:r>
                        <w:t>Higher prevalence of surgical risk factors, including obesity and diabetes.</w:t>
                      </w:r>
                    </w:p>
                    <w:p w14:paraId="23FE3A4A" w14:textId="77777777" w:rsidR="00A41391" w:rsidRDefault="00A41391" w:rsidP="009D683D">
                      <w:pPr>
                        <w:spacing w:line="276" w:lineRule="auto"/>
                        <w:jc w:val="both"/>
                      </w:pPr>
                    </w:p>
                  </w:txbxContent>
                </v:textbox>
                <w10:anchorlock/>
              </v:shape>
            </w:pict>
          </mc:Fallback>
        </mc:AlternateContent>
      </w:r>
    </w:p>
    <w:p w14:paraId="5757180E" w14:textId="154045BD" w:rsidR="009D683D" w:rsidRPr="009D683D" w:rsidRDefault="009D683D" w:rsidP="009D683D">
      <w:pPr>
        <w:keepNext/>
        <w:keepLines/>
        <w:spacing w:before="240" w:after="0"/>
        <w:ind w:left="360" w:hanging="360"/>
        <w:outlineLvl w:val="0"/>
        <w:rPr>
          <w:rFonts w:ascii="Calibri Light" w:eastAsia="Times New Roman" w:hAnsi="Calibri Light" w:cs="Times New Roman"/>
          <w:sz w:val="32"/>
          <w:szCs w:val="32"/>
        </w:rPr>
      </w:pPr>
      <w:r w:rsidRPr="009D683D">
        <w:rPr>
          <w:rFonts w:ascii="Calibri Light" w:eastAsia="Times New Roman" w:hAnsi="Calibri Light" w:cs="Times New Roman"/>
          <w:sz w:val="32"/>
          <w:szCs w:val="32"/>
        </w:rPr>
        <w:t>Pre-Transplant Knowledge Gaps and Recommendations</w:t>
      </w:r>
      <w:bookmarkEnd w:id="67"/>
      <w:r w:rsidRPr="009D683D">
        <w:rPr>
          <w:rFonts w:ascii="Calibri Light" w:eastAsia="Times New Roman" w:hAnsi="Calibri Light" w:cs="Times New Roman"/>
          <w:sz w:val="32"/>
          <w:szCs w:val="32"/>
        </w:rPr>
        <w:t xml:space="preserve"> </w:t>
      </w:r>
    </w:p>
    <w:p w14:paraId="4342AEBF" w14:textId="77777777" w:rsidR="009D683D" w:rsidRPr="009D683D" w:rsidRDefault="009D683D" w:rsidP="009D683D">
      <w:pPr>
        <w:keepNext/>
        <w:keepLines/>
        <w:numPr>
          <w:ilvl w:val="1"/>
          <w:numId w:val="0"/>
        </w:numPr>
        <w:spacing w:before="40" w:after="0"/>
        <w:ind w:left="576" w:hanging="576"/>
        <w:outlineLvl w:val="1"/>
        <w:rPr>
          <w:rFonts w:ascii="Calibri Light" w:eastAsia="Times New Roman" w:hAnsi="Calibri Light" w:cs="Times New Roman"/>
          <w:sz w:val="26"/>
          <w:szCs w:val="26"/>
        </w:rPr>
      </w:pPr>
      <w:bookmarkStart w:id="68" w:name="_Toc2585825"/>
      <w:bookmarkEnd w:id="57"/>
      <w:r w:rsidRPr="009D683D">
        <w:rPr>
          <w:rFonts w:ascii="Calibri Light" w:eastAsia="Times New Roman" w:hAnsi="Calibri Light" w:cs="Times New Roman"/>
          <w:sz w:val="26"/>
          <w:szCs w:val="26"/>
        </w:rPr>
        <w:t>Knowledge and data gaps</w:t>
      </w:r>
      <w:bookmarkEnd w:id="68"/>
    </w:p>
    <w:p w14:paraId="7036B12C" w14:textId="77777777" w:rsidR="009D683D" w:rsidRPr="009D683D" w:rsidRDefault="009D683D" w:rsidP="009D683D">
      <w:pPr>
        <w:keepNext/>
        <w:keepLines/>
        <w:numPr>
          <w:ilvl w:val="2"/>
          <w:numId w:val="0"/>
        </w:numPr>
        <w:spacing w:before="40" w:after="0"/>
        <w:ind w:left="720" w:hanging="720"/>
        <w:outlineLvl w:val="2"/>
        <w:rPr>
          <w:rFonts w:ascii="Calibri Light" w:eastAsia="Times New Roman" w:hAnsi="Calibri Light" w:cs="Times New Roman"/>
          <w:sz w:val="24"/>
          <w:szCs w:val="24"/>
        </w:rPr>
      </w:pPr>
      <w:bookmarkStart w:id="69" w:name="_Toc2585826"/>
      <w:r w:rsidRPr="009D683D">
        <w:rPr>
          <w:rFonts w:ascii="Calibri Light" w:eastAsia="Times New Roman" w:hAnsi="Calibri Light" w:cs="Times New Roman"/>
          <w:sz w:val="24"/>
          <w:szCs w:val="24"/>
        </w:rPr>
        <w:t>Informing patients</w:t>
      </w:r>
      <w:bookmarkEnd w:id="69"/>
    </w:p>
    <w:p w14:paraId="7D37D260"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Patient education in general does not currently have a strong disciplinary focus in Australia, with literature describing best practice transplant education and information sharing processes primarily originating from the United States</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 Hidden="1"&gt;&lt;Author&gt;Devitt&lt;/Author&gt;&lt;Year&gt;2008&lt;/Year&gt;&lt;RecNum&gt;27&lt;/RecNum&gt;&lt;record&gt;&lt;rec-number&gt;27&lt;/rec-number&gt;&lt;foreign-keys&gt;&lt;key app="EN" db-id="ews5ve9enfwav7etdtjvztfdrftvwrf9vrsx" timestamp="1543203950"&gt;27&lt;/key&gt;&lt;/foreign-keys&gt;&lt;ref-type name="Journal Article"&gt;17&lt;/ref-type&gt;&lt;contributors&gt;&lt;authors&gt;&lt;author&gt;Devitt, J.&lt;/author&gt;&lt;author&gt;Cass, A.&lt;/author&gt;&lt;author&gt;Cunningham, J.&lt;/author&gt;&lt;author&gt;Preece, C.&lt;/author&gt;&lt;author&gt;Anderson, K.&lt;/author&gt;&lt;author&gt;Snelling, P.&lt;/author&gt;&lt;/authors&gt;&lt;/contributors&gt;&lt;titles&gt;&lt;title&gt;Study Protocol - Improving Access to Kidney Transplants (IMPAKT): a detailed account of a qualitative study investigating barriers to transplant for Australian Indigenous people with end-stage kidney disease&lt;/title&gt;&lt;secondary-title&gt;BMC Health Serv Res&lt;/secondary-title&gt;&lt;/titles&gt;&lt;periodical&gt;&lt;full-title&gt;BMC Health Serv Res&lt;/full-title&gt;&lt;/periodical&gt;&lt;volume&gt;8&lt;/volume&gt;&lt;dates&gt;&lt;year&gt;2008&lt;/year&gt;&lt;/dates&gt;&lt;label&gt;Devitt2008&lt;/label&gt;&lt;urls&gt;&lt;related-urls&gt;&lt;url&gt;https://doi.org/10.1186/1472-6963-8-31&lt;/url&gt;&lt;/related-urls&gt;&lt;/urls&gt;&lt;electronic-resource-num&gt;10.1186/1472-6963-8-31&lt;/electronic-resource-num&gt;&lt;/record&gt;&lt;/Cite&gt;&lt;/EndNote&gt;</w:instrText>
      </w:r>
      <w:r w:rsidRPr="009D683D">
        <w:rPr>
          <w:rFonts w:ascii="Calibri" w:eastAsia="Calibri" w:hAnsi="Calibri" w:cs="Times New Roman"/>
          <w:sz w:val="22"/>
        </w:rPr>
        <w:fldChar w:fldCharType="end"/>
      </w:r>
      <w:r w:rsidRPr="009D683D">
        <w:rPr>
          <w:rFonts w:ascii="Calibri" w:eastAsia="Calibri" w:hAnsi="Calibri" w:cs="Times New Roman"/>
          <w:sz w:val="22"/>
        </w:rPr>
        <w:t>. In particular, there is a dearth of published research on PNP for Australian Indigenous populations, and no studies to date have explored the impact of PNPs in the Indigenous kidney transplant candidate population. As a result, the most effective and appropriate methods and timing of transplant education initiatives for Indigenous ESKD patients remains largely unknown.</w:t>
      </w:r>
    </w:p>
    <w:p w14:paraId="618EB492"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Similarly, while past research has advocated for culturally tailored pre-transplant education programs for Indigenous patients, there are some significant knowledge and data gaps around whether culturally informed health service-level interventions are able to effectively reduce cultural biases in the Australian context. Priority gaps that need to be addressed include:</w:t>
      </w:r>
    </w:p>
    <w:p w14:paraId="3AB21D15" w14:textId="77777777" w:rsidR="009D683D" w:rsidRPr="009D683D" w:rsidRDefault="009D683D" w:rsidP="00782640">
      <w:pPr>
        <w:numPr>
          <w:ilvl w:val="0"/>
          <w:numId w:val="42"/>
        </w:numPr>
        <w:spacing w:after="0" w:line="276" w:lineRule="auto"/>
        <w:jc w:val="both"/>
        <w:rPr>
          <w:rFonts w:ascii="Calibri" w:eastAsia="Calibri" w:hAnsi="Calibri" w:cs="Times New Roman"/>
          <w:sz w:val="22"/>
        </w:rPr>
      </w:pPr>
      <w:r w:rsidRPr="009D683D">
        <w:rPr>
          <w:rFonts w:ascii="Calibri" w:eastAsia="Calibri" w:hAnsi="Calibri" w:cs="Times New Roman"/>
          <w:sz w:val="22"/>
        </w:rPr>
        <w:t>Determining the relationship between existing cultural awareness programs and the extent to which health services deliver culturally informed care;</w:t>
      </w:r>
    </w:p>
    <w:p w14:paraId="5E127283" w14:textId="77777777" w:rsidR="009D683D" w:rsidRPr="009D683D" w:rsidRDefault="009D683D" w:rsidP="00782640">
      <w:pPr>
        <w:numPr>
          <w:ilvl w:val="0"/>
          <w:numId w:val="42"/>
        </w:numPr>
        <w:spacing w:after="0" w:line="276" w:lineRule="auto"/>
        <w:jc w:val="both"/>
        <w:rPr>
          <w:rFonts w:ascii="Calibri" w:eastAsia="Calibri" w:hAnsi="Calibri" w:cs="Times New Roman"/>
          <w:sz w:val="22"/>
        </w:rPr>
      </w:pPr>
      <w:r w:rsidRPr="009D683D">
        <w:rPr>
          <w:rFonts w:ascii="Calibri" w:eastAsia="Calibri" w:hAnsi="Calibri" w:cs="Times New Roman"/>
          <w:sz w:val="22"/>
        </w:rPr>
        <w:t>Exploring whether health service-level interventions (such as those that seek to improve patient-practitioner communication) improve either patient perceptions of bias, practitioner biases, or both; and</w:t>
      </w:r>
    </w:p>
    <w:p w14:paraId="04BFFB29" w14:textId="77777777" w:rsidR="009D683D" w:rsidRPr="009D683D" w:rsidRDefault="009D683D" w:rsidP="00782640">
      <w:pPr>
        <w:numPr>
          <w:ilvl w:val="0"/>
          <w:numId w:val="42"/>
        </w:numPr>
        <w:spacing w:line="276" w:lineRule="auto"/>
        <w:jc w:val="both"/>
        <w:rPr>
          <w:rFonts w:ascii="Calibri" w:eastAsia="Calibri" w:hAnsi="Calibri" w:cs="Times New Roman"/>
          <w:sz w:val="22"/>
        </w:rPr>
      </w:pPr>
      <w:r w:rsidRPr="009D683D">
        <w:rPr>
          <w:rFonts w:ascii="Calibri" w:eastAsia="Calibri" w:hAnsi="Calibri" w:cs="Times New Roman"/>
          <w:sz w:val="22"/>
        </w:rPr>
        <w:t xml:space="preserve">Analysing whether these interventions are able to improve patient-centred outcomes (such as patients’ sense of empowerment in making informed health care decisions). </w:t>
      </w:r>
    </w:p>
    <w:p w14:paraId="54131921" w14:textId="77777777" w:rsidR="009D683D" w:rsidRPr="009D683D" w:rsidRDefault="009D683D" w:rsidP="009D683D">
      <w:pPr>
        <w:keepNext/>
        <w:keepLines/>
        <w:numPr>
          <w:ilvl w:val="2"/>
          <w:numId w:val="0"/>
        </w:numPr>
        <w:spacing w:before="40" w:after="0"/>
        <w:ind w:left="720" w:hanging="720"/>
        <w:outlineLvl w:val="2"/>
        <w:rPr>
          <w:rFonts w:ascii="Calibri Light" w:eastAsia="Times New Roman" w:hAnsi="Calibri Light" w:cs="Times New Roman"/>
          <w:sz w:val="24"/>
          <w:szCs w:val="24"/>
        </w:rPr>
      </w:pPr>
      <w:bookmarkStart w:id="70" w:name="_Toc2585827"/>
      <w:r w:rsidRPr="009D683D">
        <w:rPr>
          <w:rFonts w:ascii="Calibri Light" w:eastAsia="Times New Roman" w:hAnsi="Calibri Light" w:cs="Times New Roman"/>
          <w:sz w:val="24"/>
          <w:szCs w:val="24"/>
        </w:rPr>
        <w:t>Completing workup and assessment</w:t>
      </w:r>
      <w:bookmarkEnd w:id="70"/>
    </w:p>
    <w:p w14:paraId="7BB7DA88"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Although recent studies have described differences between Indigenous and non-Indigenous patients’ likelihood of being placed on the transplant waitlist, this did not extend to a description of the barriers </w:t>
      </w:r>
      <w:r w:rsidRPr="009D683D">
        <w:rPr>
          <w:rFonts w:ascii="Calibri" w:eastAsia="Calibri" w:hAnsi="Calibri" w:cs="Times New Roman"/>
          <w:sz w:val="22"/>
        </w:rPr>
        <w:lastRenderedPageBreak/>
        <w:t>to waitlisting. Currently, the only data available across units is the final stage of the process – placement on the waiting list. Consistent information on the proportion and characteristics of the patients with ESKD who may be suitable for transplant waitlisting, and barriers resulting in delays in the identification and workup processes of suitable patients, is not available.  Further research is required to investigate the potential causative role of socio-demographic factors, including first language spoken, education level, health literacy, housing status and remoteness. There is also limited data on the most prevalent reasons for non-completion of pre-transplant requirements, including attendance at assessment and workup appointments. Improved data collection processes are needed to monitor progress in this area, and inform future interventions that specifically target those variables found to impede Indigenous patients’ ability to be successfully waitlisted.</w:t>
      </w:r>
    </w:p>
    <w:p w14:paraId="5747818D" w14:textId="77777777" w:rsidR="009D683D" w:rsidRPr="009D683D" w:rsidRDefault="009D683D" w:rsidP="009D683D">
      <w:pPr>
        <w:keepNext/>
        <w:keepLines/>
        <w:numPr>
          <w:ilvl w:val="2"/>
          <w:numId w:val="0"/>
        </w:numPr>
        <w:spacing w:before="40" w:after="0"/>
        <w:ind w:left="720" w:hanging="720"/>
        <w:outlineLvl w:val="2"/>
        <w:rPr>
          <w:rFonts w:ascii="Calibri Light" w:eastAsia="Times New Roman" w:hAnsi="Calibri Light" w:cs="Times New Roman"/>
          <w:sz w:val="24"/>
          <w:szCs w:val="24"/>
        </w:rPr>
      </w:pPr>
      <w:bookmarkStart w:id="71" w:name="_Toc2585828"/>
      <w:r w:rsidRPr="009D683D">
        <w:rPr>
          <w:rFonts w:ascii="Calibri Light" w:eastAsia="Times New Roman" w:hAnsi="Calibri Light" w:cs="Times New Roman"/>
          <w:sz w:val="24"/>
          <w:szCs w:val="24"/>
        </w:rPr>
        <w:t>Surgical assessment</w:t>
      </w:r>
      <w:bookmarkEnd w:id="71"/>
    </w:p>
    <w:p w14:paraId="6D41D8A9"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Very little is known about the antecedents and prevalence of surgical complications in the Indigenous kidney transplant recipient cohort, and further research is required to identify:</w:t>
      </w:r>
    </w:p>
    <w:p w14:paraId="1221AE74" w14:textId="77777777" w:rsidR="009D683D" w:rsidRPr="009D683D" w:rsidRDefault="009D683D" w:rsidP="00782640">
      <w:pPr>
        <w:numPr>
          <w:ilvl w:val="0"/>
          <w:numId w:val="45"/>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The best obesity metrics for the Indigenous ESKD patient population;</w:t>
      </w:r>
    </w:p>
    <w:p w14:paraId="312E50B6" w14:textId="77777777" w:rsidR="009D683D" w:rsidRPr="009D683D" w:rsidRDefault="009D683D" w:rsidP="00782640">
      <w:pPr>
        <w:numPr>
          <w:ilvl w:val="0"/>
          <w:numId w:val="45"/>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The most prevalent surgical risk factors for the Indigenous ESKD patient population, and the best strategies to address these prior to surgery; and</w:t>
      </w:r>
    </w:p>
    <w:p w14:paraId="58DB3546" w14:textId="77777777" w:rsidR="009D683D" w:rsidRPr="009D683D" w:rsidRDefault="009D683D" w:rsidP="00782640">
      <w:pPr>
        <w:numPr>
          <w:ilvl w:val="0"/>
          <w:numId w:val="45"/>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 xml:space="preserve">The most prevalent surgical complications among Indigenous kidney transplant recipients, and the best approaches to prevent and treat their occurrence.   </w:t>
      </w:r>
    </w:p>
    <w:p w14:paraId="6C97B27E" w14:textId="77777777" w:rsidR="009D683D" w:rsidRPr="009D683D" w:rsidRDefault="009D683D" w:rsidP="009D683D">
      <w:pPr>
        <w:spacing w:before="240" w:line="276" w:lineRule="auto"/>
        <w:jc w:val="both"/>
        <w:rPr>
          <w:rFonts w:ascii="Calibri" w:eastAsia="Calibri" w:hAnsi="Calibri" w:cs="Times New Roman"/>
          <w:sz w:val="22"/>
        </w:rPr>
      </w:pPr>
      <w:r w:rsidRPr="009D683D">
        <w:rPr>
          <w:rFonts w:ascii="Calibri" w:eastAsia="Calibri" w:hAnsi="Calibri" w:cs="Times New Roman"/>
          <w:sz w:val="22"/>
        </w:rPr>
        <w:t>There also remains a paucity of data on the benefits and risks associated with both conservative weight loss strategies and bariatric surgery for Indigenous kidney transplant candidates. Specific knowledge and data gaps include:</w:t>
      </w:r>
    </w:p>
    <w:p w14:paraId="12A7737A" w14:textId="77777777" w:rsidR="009D683D" w:rsidRPr="009D683D" w:rsidRDefault="009D683D" w:rsidP="00782640">
      <w:pPr>
        <w:numPr>
          <w:ilvl w:val="0"/>
          <w:numId w:val="45"/>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No weight loss programs to date have been tailored for Indigenous patients with ESKD.</w:t>
      </w:r>
    </w:p>
    <w:p w14:paraId="3D05D1C8" w14:textId="77777777" w:rsidR="009D683D" w:rsidRPr="009D683D" w:rsidRDefault="009D683D" w:rsidP="00782640">
      <w:pPr>
        <w:numPr>
          <w:ilvl w:val="0"/>
          <w:numId w:val="44"/>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Evaluations of culturally informed health and weight loss initiatives that are delivered to the broader Indigenous population (such as the PMYU model and NSW Aboriginal Knockout Health Challenge) should be used to guide the development of targeted pilot projects for the Indigenous ESKD patient cohort.</w:t>
      </w:r>
    </w:p>
    <w:p w14:paraId="234DC3EB" w14:textId="77777777" w:rsidR="009D683D" w:rsidRPr="009D683D" w:rsidRDefault="009D683D" w:rsidP="00782640">
      <w:pPr>
        <w:numPr>
          <w:ilvl w:val="0"/>
          <w:numId w:val="43"/>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 xml:space="preserve">No studies to date have specifically explored the health potential of bariatric surgery for the Indigenous ESKD patient population. </w:t>
      </w:r>
    </w:p>
    <w:p w14:paraId="7961D52D" w14:textId="77777777" w:rsidR="009D683D" w:rsidRPr="009D683D" w:rsidRDefault="009D683D" w:rsidP="00782640">
      <w:pPr>
        <w:numPr>
          <w:ilvl w:val="0"/>
          <w:numId w:val="44"/>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 xml:space="preserve">Given the prevalence of obesity is significantly higher among Indigenous Australians compared to the non-Indigenous population, it is critical that future research examine the impacts of bariatric surgery on this cohort to determine whether it is safe and effective in facilitating access to kidney transplantation. </w:t>
      </w:r>
    </w:p>
    <w:bookmarkStart w:id="72" w:name="_Toc2585829"/>
    <w:p w14:paraId="1AA99C3E" w14:textId="77777777" w:rsidR="0055104B" w:rsidRDefault="009D683D" w:rsidP="009D683D">
      <w:pPr>
        <w:keepNext/>
        <w:keepLines/>
        <w:numPr>
          <w:ilvl w:val="1"/>
          <w:numId w:val="0"/>
        </w:numPr>
        <w:spacing w:before="40" w:after="0"/>
        <w:ind w:left="576" w:hanging="576"/>
        <w:outlineLvl w:val="1"/>
        <w:rPr>
          <w:rFonts w:ascii="Calibri Light" w:eastAsia="Times New Roman" w:hAnsi="Calibri Light" w:cs="Times New Roman"/>
          <w:sz w:val="26"/>
          <w:szCs w:val="26"/>
        </w:rPr>
      </w:pPr>
      <w:r w:rsidRPr="009D683D">
        <w:rPr>
          <w:rFonts w:ascii="Calibri Light" w:eastAsia="Times New Roman" w:hAnsi="Calibri Light" w:cs="Times New Roman"/>
          <w:noProof/>
          <w:sz w:val="26"/>
          <w:szCs w:val="26"/>
          <w:lang w:eastAsia="en-AU"/>
        </w:rPr>
        <w:lastRenderedPageBreak/>
        <mc:AlternateContent>
          <mc:Choice Requires="wps">
            <w:drawing>
              <wp:inline distT="0" distB="0" distL="0" distR="0" wp14:anchorId="6A2060D9" wp14:editId="40BF5EED">
                <wp:extent cx="5705475" cy="6419850"/>
                <wp:effectExtent l="0" t="0" r="28575" b="1905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419850"/>
                        </a:xfrm>
                        <a:prstGeom prst="rect">
                          <a:avLst/>
                        </a:prstGeom>
                        <a:solidFill>
                          <a:srgbClr val="70AD47">
                            <a:lumMod val="20000"/>
                            <a:lumOff val="80000"/>
                          </a:srgbClr>
                        </a:solidFill>
                        <a:ln w="9525">
                          <a:solidFill>
                            <a:srgbClr val="000000"/>
                          </a:solidFill>
                          <a:miter lim="800000"/>
                          <a:headEnd/>
                          <a:tailEnd/>
                        </a:ln>
                        <a:effectLst/>
                      </wps:spPr>
                      <wps:txbx>
                        <w:txbxContent>
                          <w:p w14:paraId="3813B9F6" w14:textId="77777777" w:rsidR="00A41391" w:rsidRPr="00BB1690" w:rsidRDefault="00A41391" w:rsidP="009D683D">
                            <w:pPr>
                              <w:spacing w:after="0" w:line="276" w:lineRule="auto"/>
                              <w:jc w:val="both"/>
                              <w:rPr>
                                <w:b/>
                                <w:sz w:val="28"/>
                              </w:rPr>
                            </w:pPr>
                            <w:r w:rsidRPr="004C426E">
                              <w:rPr>
                                <w:b/>
                                <w:sz w:val="24"/>
                              </w:rPr>
                              <w:t xml:space="preserve">Box </w:t>
                            </w:r>
                            <w:r>
                              <w:rPr>
                                <w:b/>
                                <w:sz w:val="24"/>
                              </w:rPr>
                              <w:t>14</w:t>
                            </w:r>
                            <w:r w:rsidRPr="004C426E">
                              <w:rPr>
                                <w:b/>
                                <w:sz w:val="24"/>
                              </w:rPr>
                              <w:t>: Summary of recommendations</w:t>
                            </w:r>
                          </w:p>
                          <w:p w14:paraId="67D1D906" w14:textId="77777777" w:rsidR="00A41391" w:rsidRPr="00C721D7" w:rsidRDefault="00A41391" w:rsidP="009D683D">
                            <w:pPr>
                              <w:spacing w:after="0" w:line="276" w:lineRule="auto"/>
                              <w:jc w:val="both"/>
                              <w:rPr>
                                <w:b/>
                              </w:rPr>
                            </w:pPr>
                            <w:r>
                              <w:rPr>
                                <w:b/>
                              </w:rPr>
                              <w:t>Consumer Engagement and Education</w:t>
                            </w:r>
                          </w:p>
                          <w:p w14:paraId="787FA008" w14:textId="77777777" w:rsidR="00A41391" w:rsidRPr="00DA4BC1" w:rsidRDefault="00A41391" w:rsidP="00782640">
                            <w:pPr>
                              <w:pStyle w:val="ListParagraph"/>
                              <w:numPr>
                                <w:ilvl w:val="0"/>
                                <w:numId w:val="81"/>
                              </w:numPr>
                              <w:spacing w:after="0" w:line="276" w:lineRule="auto"/>
                              <w:jc w:val="both"/>
                            </w:pPr>
                            <w:bookmarkStart w:id="73" w:name="_Hlk535315445"/>
                            <w:r w:rsidRPr="00DA4BC1">
                              <w:t>Trial and evaluate the adoption of patient navigator programs and yarning circles in pre-transplant protocols.</w:t>
                            </w:r>
                          </w:p>
                          <w:p w14:paraId="532B3F7A" w14:textId="77777777" w:rsidR="00A41391" w:rsidRDefault="00A41391" w:rsidP="00782640">
                            <w:pPr>
                              <w:pStyle w:val="ListParagraph"/>
                              <w:numPr>
                                <w:ilvl w:val="0"/>
                                <w:numId w:val="81"/>
                              </w:numPr>
                              <w:spacing w:after="0" w:line="276" w:lineRule="auto"/>
                              <w:contextualSpacing w:val="0"/>
                              <w:jc w:val="both"/>
                            </w:pPr>
                            <w:r w:rsidRPr="00DA4BC1">
                              <w:t>Pilot culturally informed transplant education interventions, including remote language centres</w:t>
                            </w:r>
                            <w:r>
                              <w:t>.</w:t>
                            </w:r>
                          </w:p>
                          <w:p w14:paraId="3D2F0CCD" w14:textId="77777777" w:rsidR="00A41391" w:rsidRPr="0023062E" w:rsidRDefault="00A41391" w:rsidP="009D683D">
                            <w:pPr>
                              <w:spacing w:after="0" w:line="276" w:lineRule="auto"/>
                              <w:jc w:val="both"/>
                              <w:rPr>
                                <w:sz w:val="2"/>
                              </w:rPr>
                            </w:pPr>
                          </w:p>
                          <w:p w14:paraId="510AFA60" w14:textId="77777777" w:rsidR="00A41391" w:rsidRPr="009D683D" w:rsidRDefault="00A41391" w:rsidP="009D683D">
                            <w:pPr>
                              <w:spacing w:after="0"/>
                              <w:jc w:val="both"/>
                              <w:rPr>
                                <w:rFonts w:cs="Calibri"/>
                                <w:b/>
                              </w:rPr>
                            </w:pPr>
                            <w:bookmarkStart w:id="74" w:name="_Toc535585384"/>
                            <w:bookmarkStart w:id="75" w:name="_Toc535585524"/>
                            <w:bookmarkStart w:id="76" w:name="_Toc535587856"/>
                            <w:bookmarkStart w:id="77" w:name="_Toc536183278"/>
                            <w:bookmarkEnd w:id="73"/>
                            <w:r w:rsidRPr="009D683D">
                              <w:rPr>
                                <w:rFonts w:cs="Calibri"/>
                                <w:b/>
                              </w:rPr>
                              <w:t>Improving Equity and Access to Transplant Services</w:t>
                            </w:r>
                          </w:p>
                          <w:p w14:paraId="2D340FEA" w14:textId="77777777" w:rsidR="00A41391" w:rsidRPr="00DA4BC1" w:rsidRDefault="00A41391" w:rsidP="00782640">
                            <w:pPr>
                              <w:pStyle w:val="ListParagraph"/>
                              <w:numPr>
                                <w:ilvl w:val="0"/>
                                <w:numId w:val="81"/>
                              </w:numPr>
                              <w:spacing w:after="0" w:line="276" w:lineRule="auto"/>
                              <w:jc w:val="both"/>
                            </w:pPr>
                            <w:r w:rsidRPr="00DA4BC1">
                              <w:t xml:space="preserve">Evaluate and leverage existing initiatives that target cultural bias in health services to facilitate the rollout of best practice pre-transplant care and support interventions for Indigenous transplant candidates. </w:t>
                            </w:r>
                          </w:p>
                          <w:p w14:paraId="41535215" w14:textId="77777777" w:rsidR="00A41391" w:rsidRPr="00DA4BC1" w:rsidRDefault="00A41391" w:rsidP="00782640">
                            <w:pPr>
                              <w:pStyle w:val="ListParagraph"/>
                              <w:numPr>
                                <w:ilvl w:val="0"/>
                                <w:numId w:val="81"/>
                              </w:numPr>
                              <w:spacing w:after="0" w:line="276" w:lineRule="auto"/>
                              <w:jc w:val="both"/>
                            </w:pPr>
                            <w:r w:rsidRPr="00DA4BC1">
                              <w:t>Ensure Indigenous transplant candidates are connected with primary care services earlier in the ESKD treatment continuum, to enable health issues to be addressed prior to workup.</w:t>
                            </w:r>
                          </w:p>
                          <w:p w14:paraId="3480D3CF" w14:textId="77777777" w:rsidR="00A41391" w:rsidRPr="00DA4BC1" w:rsidRDefault="00A41391" w:rsidP="00782640">
                            <w:pPr>
                              <w:pStyle w:val="ListParagraph"/>
                              <w:numPr>
                                <w:ilvl w:val="0"/>
                                <w:numId w:val="81"/>
                              </w:numPr>
                              <w:spacing w:after="0" w:line="276" w:lineRule="auto"/>
                              <w:jc w:val="both"/>
                            </w:pPr>
                            <w:r w:rsidRPr="00DA4BC1">
                              <w:t>Trial and evaluate weight loss strategies for Indigenous kidney transplant candidates, including conservative, culturally tailored weight loss programs and bariatric surgery.</w:t>
                            </w:r>
                          </w:p>
                          <w:p w14:paraId="4D4A806B" w14:textId="77777777" w:rsidR="00A41391" w:rsidRPr="00DA4BC1" w:rsidRDefault="00A41391" w:rsidP="00782640">
                            <w:pPr>
                              <w:pStyle w:val="ListParagraph"/>
                              <w:numPr>
                                <w:ilvl w:val="0"/>
                                <w:numId w:val="81"/>
                              </w:numPr>
                              <w:spacing w:after="0" w:line="276" w:lineRule="auto"/>
                              <w:jc w:val="both"/>
                            </w:pPr>
                            <w:r w:rsidRPr="00DA4BC1">
                              <w:t>If an empirical evidence base supports the use of bariatric surgery for Indigenous kidney transplant candidates, increase funding for bariatric surgery procedures in public hospitals.</w:t>
                            </w:r>
                          </w:p>
                          <w:p w14:paraId="3E2D6901" w14:textId="77777777" w:rsidR="00A41391" w:rsidRPr="00DA4BC1" w:rsidRDefault="00A41391" w:rsidP="00782640">
                            <w:pPr>
                              <w:pStyle w:val="ListParagraph"/>
                              <w:numPr>
                                <w:ilvl w:val="0"/>
                                <w:numId w:val="81"/>
                              </w:numPr>
                              <w:spacing w:after="0" w:line="276" w:lineRule="auto"/>
                              <w:jc w:val="both"/>
                            </w:pPr>
                            <w:r w:rsidRPr="00DA4BC1">
                              <w:t>Trial a multidisciplinary pre</w:t>
                            </w:r>
                            <w:r>
                              <w:t>-</w:t>
                            </w:r>
                            <w:r w:rsidRPr="00DA4BC1">
                              <w:t>transplant clinic in one major regional centre for 12 months, prioritising the availability of dental and cardiac services, as well as travel and accommodation support for rural and remote patients.</w:t>
                            </w:r>
                          </w:p>
                          <w:p w14:paraId="6F2226EC" w14:textId="77777777" w:rsidR="00A41391" w:rsidRDefault="00A41391" w:rsidP="00782640">
                            <w:pPr>
                              <w:pStyle w:val="ListParagraph"/>
                              <w:numPr>
                                <w:ilvl w:val="0"/>
                                <w:numId w:val="81"/>
                              </w:numPr>
                              <w:spacing w:line="276" w:lineRule="auto"/>
                              <w:jc w:val="both"/>
                            </w:pPr>
                            <w:r w:rsidRPr="00DA4BC1">
                              <w:t>Fund relevant medical and allied health services and positions in regional centres to facilitate the delivery of specialist transplant support outreach services, complementing regional pre-transplant clinics and improving coordination of appointments and services.</w:t>
                            </w:r>
                          </w:p>
                          <w:p w14:paraId="0C3C2A97" w14:textId="77777777" w:rsidR="00A41391" w:rsidRPr="0023062E" w:rsidRDefault="00A41391" w:rsidP="009D683D">
                            <w:pPr>
                              <w:pStyle w:val="ListParagraph"/>
                              <w:spacing w:after="0" w:line="276" w:lineRule="auto"/>
                              <w:jc w:val="both"/>
                              <w:rPr>
                                <w:sz w:val="2"/>
                              </w:rPr>
                            </w:pPr>
                          </w:p>
                          <w:p w14:paraId="7B3AAA42" w14:textId="77777777" w:rsidR="00A41391" w:rsidRPr="009D683D" w:rsidRDefault="00A41391" w:rsidP="009D683D">
                            <w:pPr>
                              <w:spacing w:after="0" w:line="276" w:lineRule="auto"/>
                              <w:jc w:val="both"/>
                              <w:rPr>
                                <w:rFonts w:cs="Calibri"/>
                                <w:b/>
                              </w:rPr>
                            </w:pPr>
                            <w:r w:rsidRPr="009D683D">
                              <w:rPr>
                                <w:rFonts w:cs="Calibri"/>
                                <w:b/>
                              </w:rPr>
                              <w:t>Researching, Developing and Implementing Clinical Guidelines and Protocols</w:t>
                            </w:r>
                          </w:p>
                          <w:p w14:paraId="14A2AA27" w14:textId="77777777" w:rsidR="00A41391" w:rsidRDefault="00A41391" w:rsidP="00782640">
                            <w:pPr>
                              <w:pStyle w:val="ListParagraph"/>
                              <w:numPr>
                                <w:ilvl w:val="0"/>
                                <w:numId w:val="81"/>
                              </w:numPr>
                              <w:spacing w:line="276" w:lineRule="auto"/>
                              <w:jc w:val="both"/>
                            </w:pPr>
                            <w:r w:rsidRPr="00DA4BC1">
                              <w:t>Evaluate the impact of immunological matching at the epitope (eplet) level for allocation of deceased donor kidneys.</w:t>
                            </w:r>
                          </w:p>
                          <w:p w14:paraId="3F665D87" w14:textId="77777777" w:rsidR="00A41391" w:rsidRPr="0023062E" w:rsidRDefault="00A41391" w:rsidP="009D683D">
                            <w:pPr>
                              <w:pStyle w:val="ListParagraph"/>
                              <w:spacing w:line="276" w:lineRule="auto"/>
                              <w:jc w:val="both"/>
                              <w:rPr>
                                <w:sz w:val="2"/>
                              </w:rPr>
                            </w:pPr>
                          </w:p>
                          <w:p w14:paraId="551EE932" w14:textId="77777777" w:rsidR="00A41391" w:rsidRPr="0023062E" w:rsidRDefault="00A41391" w:rsidP="009D683D">
                            <w:pPr>
                              <w:pStyle w:val="ListParagraph"/>
                              <w:spacing w:after="0" w:line="276" w:lineRule="auto"/>
                              <w:jc w:val="both"/>
                              <w:rPr>
                                <w:sz w:val="2"/>
                              </w:rPr>
                            </w:pPr>
                          </w:p>
                          <w:bookmarkEnd w:id="74"/>
                          <w:bookmarkEnd w:id="75"/>
                          <w:bookmarkEnd w:id="76"/>
                          <w:bookmarkEnd w:id="77"/>
                          <w:p w14:paraId="1DE5053F" w14:textId="77777777" w:rsidR="00A41391" w:rsidRPr="009D683D" w:rsidRDefault="00A41391" w:rsidP="009D683D">
                            <w:pPr>
                              <w:spacing w:after="0"/>
                              <w:jc w:val="both"/>
                              <w:rPr>
                                <w:rFonts w:cs="Calibri"/>
                                <w:b/>
                              </w:rPr>
                            </w:pPr>
                            <w:r w:rsidRPr="009D683D">
                              <w:rPr>
                                <w:rFonts w:cs="Calibri"/>
                                <w:b/>
                              </w:rPr>
                              <w:t>Workforce Training and Development</w:t>
                            </w:r>
                          </w:p>
                          <w:p w14:paraId="760712CE" w14:textId="77777777" w:rsidR="00A41391" w:rsidRPr="00DA4BC1" w:rsidRDefault="00A41391" w:rsidP="00782640">
                            <w:pPr>
                              <w:pStyle w:val="ListParagraph"/>
                              <w:numPr>
                                <w:ilvl w:val="0"/>
                                <w:numId w:val="81"/>
                              </w:numPr>
                              <w:spacing w:after="0" w:line="276" w:lineRule="auto"/>
                              <w:jc w:val="both"/>
                            </w:pPr>
                            <w:r w:rsidRPr="00DA4BC1">
                              <w:t>Implement recruitment and training strategies for the renal workforce, particularly in remote areas, to improve the delivery of culturally appropriate pre-transplant care.</w:t>
                            </w:r>
                          </w:p>
                          <w:p w14:paraId="08696FA3" w14:textId="77777777" w:rsidR="00A41391" w:rsidRPr="00CA24D8" w:rsidRDefault="00A41391" w:rsidP="00782640">
                            <w:pPr>
                              <w:pStyle w:val="ListParagraph"/>
                              <w:numPr>
                                <w:ilvl w:val="0"/>
                                <w:numId w:val="81"/>
                              </w:numPr>
                              <w:spacing w:after="0" w:line="276" w:lineRule="auto"/>
                              <w:contextualSpacing w:val="0"/>
                              <w:jc w:val="both"/>
                            </w:pPr>
                            <w:r w:rsidRPr="00DA4BC1">
                              <w:t>Implement transplant-specific ‘train the trainer’ workshops for Indigenous health workers.</w:t>
                            </w:r>
                          </w:p>
                        </w:txbxContent>
                      </wps:txbx>
                      <wps:bodyPr rot="0" vert="horz" wrap="square" lIns="91440" tIns="45720" rIns="91440" bIns="45720" anchor="t" anchorCtr="0">
                        <a:noAutofit/>
                      </wps:bodyPr>
                    </wps:wsp>
                  </a:graphicData>
                </a:graphic>
              </wp:inline>
            </w:drawing>
          </mc:Choice>
          <mc:Fallback>
            <w:pict>
              <v:shape w14:anchorId="6A2060D9" id="_x0000_s1042" type="#_x0000_t202" style="width:449.25pt;height:5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" fillcolor="#e2f0d9">
                <v:textbox>
                  <w:txbxContent>
                    <w:p w14:paraId="3813B9F6" w14:textId="77777777" w:rsidR="00A41391" w:rsidRPr="00BB1690" w:rsidRDefault="00A41391" w:rsidP="009D683D">
                      <w:pPr>
                        <w:spacing w:after="0" w:line="276" w:lineRule="auto"/>
                        <w:jc w:val="both"/>
                        <w:rPr>
                          <w:b/>
                          <w:sz w:val="28"/>
                        </w:rPr>
                      </w:pPr>
                      <w:r w:rsidRPr="004C426E">
                        <w:rPr>
                          <w:b/>
                          <w:sz w:val="24"/>
                        </w:rPr>
                        <w:t xml:space="preserve">Box </w:t>
                      </w:r>
                      <w:r>
                        <w:rPr>
                          <w:b/>
                          <w:sz w:val="24"/>
                        </w:rPr>
                        <w:t>14</w:t>
                      </w:r>
                      <w:r w:rsidRPr="004C426E">
                        <w:rPr>
                          <w:b/>
                          <w:sz w:val="24"/>
                        </w:rPr>
                        <w:t>: Summary of recommendations</w:t>
                      </w:r>
                    </w:p>
                    <w:p w14:paraId="67D1D906" w14:textId="77777777" w:rsidR="00A41391" w:rsidRPr="00C721D7" w:rsidRDefault="00A41391" w:rsidP="009D683D">
                      <w:pPr>
                        <w:spacing w:after="0" w:line="276" w:lineRule="auto"/>
                        <w:jc w:val="both"/>
                        <w:rPr>
                          <w:b/>
                        </w:rPr>
                      </w:pPr>
                      <w:r>
                        <w:rPr>
                          <w:b/>
                        </w:rPr>
                        <w:t>Consumer Engagement and Education</w:t>
                      </w:r>
                    </w:p>
                    <w:p w14:paraId="787FA008" w14:textId="77777777" w:rsidR="00A41391" w:rsidRPr="00DA4BC1" w:rsidRDefault="00A41391" w:rsidP="00782640">
                      <w:pPr>
                        <w:pStyle w:val="ListParagraph"/>
                        <w:numPr>
                          <w:ilvl w:val="0"/>
                          <w:numId w:val="81"/>
                        </w:numPr>
                        <w:spacing w:after="0" w:line="276" w:lineRule="auto"/>
                        <w:jc w:val="both"/>
                      </w:pPr>
                      <w:bookmarkStart w:id="79" w:name="_Hlk535315445"/>
                      <w:r w:rsidRPr="00DA4BC1">
                        <w:t>Trial and evaluate the adoption of patient navigator programs and yarning circles in pre-transplant protocols.</w:t>
                      </w:r>
                    </w:p>
                    <w:p w14:paraId="532B3F7A" w14:textId="77777777" w:rsidR="00A41391" w:rsidRDefault="00A41391" w:rsidP="00782640">
                      <w:pPr>
                        <w:pStyle w:val="ListParagraph"/>
                        <w:numPr>
                          <w:ilvl w:val="0"/>
                          <w:numId w:val="81"/>
                        </w:numPr>
                        <w:spacing w:after="0" w:line="276" w:lineRule="auto"/>
                        <w:contextualSpacing w:val="0"/>
                        <w:jc w:val="both"/>
                      </w:pPr>
                      <w:r w:rsidRPr="00DA4BC1">
                        <w:t>Pilot culturally informed transplant education interventions, including remote language centres</w:t>
                      </w:r>
                      <w:r>
                        <w:t>.</w:t>
                      </w:r>
                    </w:p>
                    <w:p w14:paraId="3D2F0CCD" w14:textId="77777777" w:rsidR="00A41391" w:rsidRPr="0023062E" w:rsidRDefault="00A41391" w:rsidP="009D683D">
                      <w:pPr>
                        <w:spacing w:after="0" w:line="276" w:lineRule="auto"/>
                        <w:jc w:val="both"/>
                        <w:rPr>
                          <w:sz w:val="2"/>
                        </w:rPr>
                      </w:pPr>
                    </w:p>
                    <w:p w14:paraId="510AFA60" w14:textId="77777777" w:rsidR="00A41391" w:rsidRPr="009D683D" w:rsidRDefault="00A41391" w:rsidP="009D683D">
                      <w:pPr>
                        <w:spacing w:after="0"/>
                        <w:jc w:val="both"/>
                        <w:rPr>
                          <w:rFonts w:cs="Calibri"/>
                          <w:b/>
                        </w:rPr>
                      </w:pPr>
                      <w:bookmarkStart w:id="80" w:name="_Toc535585384"/>
                      <w:bookmarkStart w:id="81" w:name="_Toc535585524"/>
                      <w:bookmarkStart w:id="82" w:name="_Toc535587856"/>
                      <w:bookmarkStart w:id="83" w:name="_Toc536183278"/>
                      <w:bookmarkEnd w:id="79"/>
                      <w:r w:rsidRPr="009D683D">
                        <w:rPr>
                          <w:rFonts w:cs="Calibri"/>
                          <w:b/>
                        </w:rPr>
                        <w:t>Improving Equity and Access to Transplant Services</w:t>
                      </w:r>
                    </w:p>
                    <w:p w14:paraId="2D340FEA" w14:textId="77777777" w:rsidR="00A41391" w:rsidRPr="00DA4BC1" w:rsidRDefault="00A41391" w:rsidP="00782640">
                      <w:pPr>
                        <w:pStyle w:val="ListParagraph"/>
                        <w:numPr>
                          <w:ilvl w:val="0"/>
                          <w:numId w:val="81"/>
                        </w:numPr>
                        <w:spacing w:after="0" w:line="276" w:lineRule="auto"/>
                        <w:jc w:val="both"/>
                      </w:pPr>
                      <w:r w:rsidRPr="00DA4BC1">
                        <w:t xml:space="preserve">Evaluate and leverage existing initiatives that target cultural bias in health services to facilitate the rollout of best practice pre-transplant care and support interventions for Indigenous transplant candidates. </w:t>
                      </w:r>
                    </w:p>
                    <w:p w14:paraId="41535215" w14:textId="77777777" w:rsidR="00A41391" w:rsidRPr="00DA4BC1" w:rsidRDefault="00A41391" w:rsidP="00782640">
                      <w:pPr>
                        <w:pStyle w:val="ListParagraph"/>
                        <w:numPr>
                          <w:ilvl w:val="0"/>
                          <w:numId w:val="81"/>
                        </w:numPr>
                        <w:spacing w:after="0" w:line="276" w:lineRule="auto"/>
                        <w:jc w:val="both"/>
                      </w:pPr>
                      <w:r w:rsidRPr="00DA4BC1">
                        <w:t>Ensure Indigenous transplant candidates are connected with primary care services earlier in the ESKD treatment continuum, to enable health issues to be addressed prior to workup.</w:t>
                      </w:r>
                    </w:p>
                    <w:p w14:paraId="3480D3CF" w14:textId="77777777" w:rsidR="00A41391" w:rsidRPr="00DA4BC1" w:rsidRDefault="00A41391" w:rsidP="00782640">
                      <w:pPr>
                        <w:pStyle w:val="ListParagraph"/>
                        <w:numPr>
                          <w:ilvl w:val="0"/>
                          <w:numId w:val="81"/>
                        </w:numPr>
                        <w:spacing w:after="0" w:line="276" w:lineRule="auto"/>
                        <w:jc w:val="both"/>
                      </w:pPr>
                      <w:r w:rsidRPr="00DA4BC1">
                        <w:t>Trial and evaluate weight loss strategies for Indigenous kidney transplant candidates, including conservative, culturally tailored weight loss programs and bariatric surgery.</w:t>
                      </w:r>
                    </w:p>
                    <w:p w14:paraId="4D4A806B" w14:textId="77777777" w:rsidR="00A41391" w:rsidRPr="00DA4BC1" w:rsidRDefault="00A41391" w:rsidP="00782640">
                      <w:pPr>
                        <w:pStyle w:val="ListParagraph"/>
                        <w:numPr>
                          <w:ilvl w:val="0"/>
                          <w:numId w:val="81"/>
                        </w:numPr>
                        <w:spacing w:after="0" w:line="276" w:lineRule="auto"/>
                        <w:jc w:val="both"/>
                      </w:pPr>
                      <w:r w:rsidRPr="00DA4BC1">
                        <w:t>If an empirical evidence base supports the use of bariatric surgery for Indigenous kidney transplant candidates, increase funding for bariatric surgery procedures in public hospitals.</w:t>
                      </w:r>
                    </w:p>
                    <w:p w14:paraId="3E2D6901" w14:textId="77777777" w:rsidR="00A41391" w:rsidRPr="00DA4BC1" w:rsidRDefault="00A41391" w:rsidP="00782640">
                      <w:pPr>
                        <w:pStyle w:val="ListParagraph"/>
                        <w:numPr>
                          <w:ilvl w:val="0"/>
                          <w:numId w:val="81"/>
                        </w:numPr>
                        <w:spacing w:after="0" w:line="276" w:lineRule="auto"/>
                        <w:jc w:val="both"/>
                      </w:pPr>
                      <w:r w:rsidRPr="00DA4BC1">
                        <w:t>Trial a multidisciplinary pre</w:t>
                      </w:r>
                      <w:r>
                        <w:t>-</w:t>
                      </w:r>
                      <w:r w:rsidRPr="00DA4BC1">
                        <w:t>transplant clinic in one major regional centre for 12 months, prioritising the availability of dental and cardiac services, as well as travel and accommodation support for rural and remote patients.</w:t>
                      </w:r>
                    </w:p>
                    <w:p w14:paraId="6F2226EC" w14:textId="77777777" w:rsidR="00A41391" w:rsidRDefault="00A41391" w:rsidP="00782640">
                      <w:pPr>
                        <w:pStyle w:val="ListParagraph"/>
                        <w:numPr>
                          <w:ilvl w:val="0"/>
                          <w:numId w:val="81"/>
                        </w:numPr>
                        <w:spacing w:line="276" w:lineRule="auto"/>
                        <w:jc w:val="both"/>
                      </w:pPr>
                      <w:r w:rsidRPr="00DA4BC1">
                        <w:t>Fund relevant medical and allied health services and positions in regional centres to facilitate the delivery of specialist transplant support outreach services, complementing regional pre-transplant clinics and improving coordination of appointments and services.</w:t>
                      </w:r>
                    </w:p>
                    <w:p w14:paraId="0C3C2A97" w14:textId="77777777" w:rsidR="00A41391" w:rsidRPr="0023062E" w:rsidRDefault="00A41391" w:rsidP="009D683D">
                      <w:pPr>
                        <w:pStyle w:val="ListParagraph"/>
                        <w:spacing w:after="0" w:line="276" w:lineRule="auto"/>
                        <w:jc w:val="both"/>
                        <w:rPr>
                          <w:sz w:val="2"/>
                        </w:rPr>
                      </w:pPr>
                    </w:p>
                    <w:p w14:paraId="7B3AAA42" w14:textId="77777777" w:rsidR="00A41391" w:rsidRPr="009D683D" w:rsidRDefault="00A41391" w:rsidP="009D683D">
                      <w:pPr>
                        <w:spacing w:after="0" w:line="276" w:lineRule="auto"/>
                        <w:jc w:val="both"/>
                        <w:rPr>
                          <w:rFonts w:cs="Calibri"/>
                          <w:b/>
                        </w:rPr>
                      </w:pPr>
                      <w:r w:rsidRPr="009D683D">
                        <w:rPr>
                          <w:rFonts w:cs="Calibri"/>
                          <w:b/>
                        </w:rPr>
                        <w:t>Researching, Developing and Implementing Clinical Guidelines and Protocols</w:t>
                      </w:r>
                    </w:p>
                    <w:p w14:paraId="14A2AA27" w14:textId="77777777" w:rsidR="00A41391" w:rsidRDefault="00A41391" w:rsidP="00782640">
                      <w:pPr>
                        <w:pStyle w:val="ListParagraph"/>
                        <w:numPr>
                          <w:ilvl w:val="0"/>
                          <w:numId w:val="81"/>
                        </w:numPr>
                        <w:spacing w:line="276" w:lineRule="auto"/>
                        <w:jc w:val="both"/>
                      </w:pPr>
                      <w:r w:rsidRPr="00DA4BC1">
                        <w:t>Evaluate the impact of immunological matching at the epitope (</w:t>
                      </w:r>
                      <w:r w:rsidRPr="00DA4BC1">
                        <w:t>eplet) level for allocation of deceased donor kidneys.</w:t>
                      </w:r>
                    </w:p>
                    <w:p w14:paraId="3F665D87" w14:textId="77777777" w:rsidR="00A41391" w:rsidRPr="0023062E" w:rsidRDefault="00A41391" w:rsidP="009D683D">
                      <w:pPr>
                        <w:pStyle w:val="ListParagraph"/>
                        <w:spacing w:line="276" w:lineRule="auto"/>
                        <w:jc w:val="both"/>
                        <w:rPr>
                          <w:sz w:val="2"/>
                        </w:rPr>
                      </w:pPr>
                    </w:p>
                    <w:p w14:paraId="551EE932" w14:textId="77777777" w:rsidR="00A41391" w:rsidRPr="0023062E" w:rsidRDefault="00A41391" w:rsidP="009D683D">
                      <w:pPr>
                        <w:pStyle w:val="ListParagraph"/>
                        <w:spacing w:after="0" w:line="276" w:lineRule="auto"/>
                        <w:jc w:val="both"/>
                        <w:rPr>
                          <w:sz w:val="2"/>
                        </w:rPr>
                      </w:pPr>
                    </w:p>
                    <w:bookmarkEnd w:id="80"/>
                    <w:bookmarkEnd w:id="81"/>
                    <w:bookmarkEnd w:id="82"/>
                    <w:bookmarkEnd w:id="83"/>
                    <w:p w14:paraId="1DE5053F" w14:textId="77777777" w:rsidR="00A41391" w:rsidRPr="009D683D" w:rsidRDefault="00A41391" w:rsidP="009D683D">
                      <w:pPr>
                        <w:spacing w:after="0"/>
                        <w:jc w:val="both"/>
                        <w:rPr>
                          <w:rFonts w:cs="Calibri"/>
                          <w:b/>
                        </w:rPr>
                      </w:pPr>
                      <w:r w:rsidRPr="009D683D">
                        <w:rPr>
                          <w:rFonts w:cs="Calibri"/>
                          <w:b/>
                        </w:rPr>
                        <w:t>Workforce Training and Development</w:t>
                      </w:r>
                    </w:p>
                    <w:p w14:paraId="760712CE" w14:textId="77777777" w:rsidR="00A41391" w:rsidRPr="00DA4BC1" w:rsidRDefault="00A41391" w:rsidP="00782640">
                      <w:pPr>
                        <w:pStyle w:val="ListParagraph"/>
                        <w:numPr>
                          <w:ilvl w:val="0"/>
                          <w:numId w:val="81"/>
                        </w:numPr>
                        <w:spacing w:after="0" w:line="276" w:lineRule="auto"/>
                        <w:jc w:val="both"/>
                      </w:pPr>
                      <w:r w:rsidRPr="00DA4BC1">
                        <w:t>Implement recruitment and training strategies for the renal workforce, particularly in remote areas, to improve the delivery of culturally appropriate pre-transplant care.</w:t>
                      </w:r>
                    </w:p>
                    <w:p w14:paraId="08696FA3" w14:textId="77777777" w:rsidR="00A41391" w:rsidRPr="00CA24D8" w:rsidRDefault="00A41391" w:rsidP="00782640">
                      <w:pPr>
                        <w:pStyle w:val="ListParagraph"/>
                        <w:numPr>
                          <w:ilvl w:val="0"/>
                          <w:numId w:val="81"/>
                        </w:numPr>
                        <w:spacing w:after="0" w:line="276" w:lineRule="auto"/>
                        <w:contextualSpacing w:val="0"/>
                        <w:jc w:val="both"/>
                      </w:pPr>
                      <w:r w:rsidRPr="00DA4BC1">
                        <w:t>Implement transplant-specific ‘train the trainer’ workshops for Indigenous health workers.</w:t>
                      </w:r>
                    </w:p>
                  </w:txbxContent>
                </v:textbox>
                <w10:anchorlock/>
              </v:shape>
            </w:pict>
          </mc:Fallback>
        </mc:AlternateContent>
      </w:r>
    </w:p>
    <w:p w14:paraId="455CC266" w14:textId="77777777" w:rsidR="0055104B" w:rsidRDefault="0055104B" w:rsidP="009D683D">
      <w:pPr>
        <w:keepNext/>
        <w:keepLines/>
        <w:numPr>
          <w:ilvl w:val="1"/>
          <w:numId w:val="0"/>
        </w:numPr>
        <w:spacing w:before="40" w:after="0"/>
        <w:ind w:left="576" w:hanging="576"/>
        <w:outlineLvl w:val="1"/>
        <w:rPr>
          <w:rFonts w:ascii="Calibri Light" w:eastAsia="Times New Roman" w:hAnsi="Calibri Light" w:cs="Times New Roman"/>
          <w:sz w:val="26"/>
          <w:szCs w:val="26"/>
        </w:rPr>
      </w:pPr>
    </w:p>
    <w:p w14:paraId="393C1223" w14:textId="77DBC68B" w:rsidR="009D683D" w:rsidRPr="009D683D" w:rsidRDefault="009D683D" w:rsidP="009D683D">
      <w:pPr>
        <w:keepNext/>
        <w:keepLines/>
        <w:numPr>
          <w:ilvl w:val="1"/>
          <w:numId w:val="0"/>
        </w:numPr>
        <w:spacing w:before="40" w:after="0"/>
        <w:ind w:left="576" w:hanging="576"/>
        <w:outlineLvl w:val="1"/>
        <w:rPr>
          <w:rFonts w:ascii="Calibri Light" w:eastAsia="Times New Roman" w:hAnsi="Calibri Light" w:cs="Times New Roman"/>
          <w:sz w:val="26"/>
          <w:szCs w:val="26"/>
        </w:rPr>
      </w:pPr>
      <w:r w:rsidRPr="009D683D">
        <w:rPr>
          <w:rFonts w:ascii="Calibri Light" w:eastAsia="Times New Roman" w:hAnsi="Calibri Light" w:cs="Times New Roman"/>
          <w:sz w:val="26"/>
          <w:szCs w:val="26"/>
        </w:rPr>
        <w:t>Next steps and recommendations for research, practice and policy</w:t>
      </w:r>
      <w:bookmarkEnd w:id="72"/>
    </w:p>
    <w:p w14:paraId="5090AD0B" w14:textId="77777777" w:rsidR="009D683D" w:rsidRPr="009D683D" w:rsidRDefault="009D683D" w:rsidP="009D683D">
      <w:pPr>
        <w:keepNext/>
        <w:keepLines/>
        <w:numPr>
          <w:ilvl w:val="2"/>
          <w:numId w:val="0"/>
        </w:numPr>
        <w:spacing w:before="40" w:after="0"/>
        <w:ind w:left="720" w:hanging="720"/>
        <w:outlineLvl w:val="2"/>
        <w:rPr>
          <w:rFonts w:ascii="Calibri Light" w:eastAsia="Times New Roman" w:hAnsi="Calibri Light" w:cs="Times New Roman"/>
          <w:sz w:val="24"/>
          <w:szCs w:val="24"/>
        </w:rPr>
      </w:pPr>
      <w:bookmarkStart w:id="78" w:name="_Toc2585830"/>
      <w:r w:rsidRPr="009D683D">
        <w:rPr>
          <w:rFonts w:ascii="Calibri Light" w:eastAsia="Times New Roman" w:hAnsi="Calibri Light" w:cs="Times New Roman"/>
          <w:sz w:val="24"/>
          <w:szCs w:val="24"/>
        </w:rPr>
        <w:t>Consumer Engagement and Education</w:t>
      </w:r>
      <w:bookmarkEnd w:id="78"/>
    </w:p>
    <w:p w14:paraId="594B6127"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It is recommended that </w:t>
      </w:r>
      <w:proofErr w:type="spellStart"/>
      <w:r w:rsidRPr="009D683D">
        <w:rPr>
          <w:rFonts w:ascii="Calibri" w:eastAsia="Calibri" w:hAnsi="Calibri" w:cs="Times New Roman"/>
          <w:sz w:val="22"/>
        </w:rPr>
        <w:t>renal</w:t>
      </w:r>
      <w:proofErr w:type="spellEnd"/>
      <w:r w:rsidRPr="009D683D">
        <w:rPr>
          <w:rFonts w:ascii="Calibri" w:eastAsia="Calibri" w:hAnsi="Calibri" w:cs="Times New Roman"/>
          <w:sz w:val="22"/>
        </w:rPr>
        <w:t xml:space="preserve"> units, transplant centres and local treatment providers jointly develop culturally informed and region-specific health literacy assessments and education programs, which will require dedicated staff resourcing. Appropriate educational programs and material will, by necessity, take many forms and require input from a variety of personnel including consumers, clinicians, communication and media specialists. </w:t>
      </w:r>
    </w:p>
    <w:p w14:paraId="3BDAED0F"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A general information program should be developed for the Indigenous dialysis patient population and community more broadly, with more specific education resources available for Indigenous kidney </w:t>
      </w:r>
      <w:r w:rsidRPr="009D683D">
        <w:rPr>
          <w:rFonts w:ascii="Calibri" w:eastAsia="Calibri" w:hAnsi="Calibri" w:cs="Times New Roman"/>
          <w:sz w:val="22"/>
        </w:rPr>
        <w:lastRenderedPageBreak/>
        <w:t>transplant candidates undergoing assessment. Information should be articulated in the most appropriate language and format, using accessible technologies, and covering the following topics:</w:t>
      </w:r>
    </w:p>
    <w:p w14:paraId="58C534C2" w14:textId="77777777" w:rsidR="009D683D" w:rsidRPr="009D683D" w:rsidRDefault="009D683D" w:rsidP="00782640">
      <w:pPr>
        <w:numPr>
          <w:ilvl w:val="0"/>
          <w:numId w:val="46"/>
        </w:numPr>
        <w:shd w:val="clear" w:color="auto" w:fill="FFFFFF"/>
        <w:spacing w:beforeLines="1" w:before="2" w:afterLines="1" w:after="2" w:line="276" w:lineRule="auto"/>
        <w:jc w:val="both"/>
        <w:rPr>
          <w:rFonts w:ascii="Calibri" w:eastAsia="Calibri" w:hAnsi="Calibri" w:cs="Times New Roman"/>
          <w:sz w:val="22"/>
          <w:szCs w:val="20"/>
        </w:rPr>
      </w:pPr>
      <w:r w:rsidRPr="009D683D">
        <w:rPr>
          <w:rFonts w:ascii="Calibri" w:eastAsia="Calibri" w:hAnsi="Calibri" w:cs="Times New Roman"/>
          <w:sz w:val="22"/>
          <w:szCs w:val="20"/>
        </w:rPr>
        <w:t>Donor and recipient medical suitability criteria;</w:t>
      </w:r>
    </w:p>
    <w:p w14:paraId="2085EE4A" w14:textId="77777777" w:rsidR="009D683D" w:rsidRPr="009D683D" w:rsidRDefault="009D683D" w:rsidP="00782640">
      <w:pPr>
        <w:numPr>
          <w:ilvl w:val="0"/>
          <w:numId w:val="46"/>
        </w:numPr>
        <w:shd w:val="clear" w:color="auto" w:fill="FFFFFF"/>
        <w:spacing w:beforeLines="1" w:before="2" w:afterLines="1" w:after="2" w:line="276" w:lineRule="auto"/>
        <w:jc w:val="both"/>
        <w:rPr>
          <w:rFonts w:ascii="Calibri" w:eastAsia="Calibri" w:hAnsi="Calibri" w:cs="Times New Roman"/>
          <w:sz w:val="22"/>
          <w:szCs w:val="20"/>
        </w:rPr>
      </w:pPr>
      <w:r w:rsidRPr="009D683D">
        <w:rPr>
          <w:rFonts w:ascii="Calibri" w:eastAsia="Calibri" w:hAnsi="Calibri" w:cs="Times New Roman"/>
          <w:sz w:val="22"/>
          <w:szCs w:val="20"/>
        </w:rPr>
        <w:t>The processes to be wait‐listed for transplantation;</w:t>
      </w:r>
    </w:p>
    <w:p w14:paraId="4D13515E" w14:textId="77777777" w:rsidR="009D683D" w:rsidRPr="009D683D" w:rsidRDefault="009D683D" w:rsidP="00782640">
      <w:pPr>
        <w:numPr>
          <w:ilvl w:val="0"/>
          <w:numId w:val="46"/>
        </w:numPr>
        <w:shd w:val="clear" w:color="auto" w:fill="FFFFFF"/>
        <w:spacing w:beforeLines="1" w:before="2" w:afterLines="1" w:after="2" w:line="276" w:lineRule="auto"/>
        <w:jc w:val="both"/>
        <w:rPr>
          <w:rFonts w:ascii="Calibri" w:eastAsia="Calibri" w:hAnsi="Calibri" w:cs="Times New Roman"/>
          <w:sz w:val="22"/>
          <w:szCs w:val="20"/>
        </w:rPr>
      </w:pPr>
      <w:r w:rsidRPr="009D683D">
        <w:rPr>
          <w:rFonts w:ascii="Calibri" w:eastAsia="Calibri" w:hAnsi="Calibri" w:cs="Times New Roman"/>
          <w:sz w:val="22"/>
          <w:szCs w:val="20"/>
        </w:rPr>
        <w:t>The expected timeframe to achieve a decision for transplant suitability;</w:t>
      </w:r>
    </w:p>
    <w:p w14:paraId="79255DBC" w14:textId="77777777" w:rsidR="009D683D" w:rsidRPr="009D683D" w:rsidRDefault="009D683D" w:rsidP="00782640">
      <w:pPr>
        <w:numPr>
          <w:ilvl w:val="0"/>
          <w:numId w:val="46"/>
        </w:numPr>
        <w:shd w:val="clear" w:color="auto" w:fill="FFFFFF"/>
        <w:spacing w:beforeLines="1" w:before="2" w:afterLines="1" w:after="2" w:line="276" w:lineRule="auto"/>
        <w:jc w:val="both"/>
        <w:rPr>
          <w:rFonts w:ascii="Calibri" w:eastAsia="Calibri" w:hAnsi="Calibri" w:cs="Times New Roman"/>
          <w:sz w:val="22"/>
          <w:szCs w:val="20"/>
        </w:rPr>
      </w:pPr>
      <w:r w:rsidRPr="009D683D">
        <w:rPr>
          <w:rFonts w:ascii="Calibri" w:eastAsia="Calibri" w:hAnsi="Calibri" w:cs="Times New Roman"/>
          <w:sz w:val="22"/>
          <w:szCs w:val="20"/>
        </w:rPr>
        <w:t>The role of local renal and transplant units in kidney transplant assessment and care; and</w:t>
      </w:r>
    </w:p>
    <w:p w14:paraId="2989E64A" w14:textId="77777777" w:rsidR="009D683D" w:rsidRPr="009D683D" w:rsidRDefault="009D683D" w:rsidP="00782640">
      <w:pPr>
        <w:numPr>
          <w:ilvl w:val="0"/>
          <w:numId w:val="46"/>
        </w:numPr>
        <w:shd w:val="clear" w:color="auto" w:fill="FFFFFF"/>
        <w:spacing w:beforeLines="1" w:before="2" w:afterLines="50" w:after="120" w:line="276" w:lineRule="auto"/>
        <w:ind w:left="714" w:hanging="357"/>
        <w:jc w:val="both"/>
        <w:rPr>
          <w:rFonts w:ascii="Calibri" w:eastAsia="Calibri" w:hAnsi="Calibri" w:cs="Times New Roman"/>
          <w:sz w:val="22"/>
          <w:szCs w:val="20"/>
        </w:rPr>
      </w:pPr>
      <w:r w:rsidRPr="009D683D">
        <w:rPr>
          <w:rFonts w:ascii="Calibri" w:eastAsia="Calibri" w:hAnsi="Calibri" w:cs="Times New Roman"/>
          <w:sz w:val="22"/>
          <w:szCs w:val="20"/>
        </w:rPr>
        <w:t>Operative and post‐transplant care.</w:t>
      </w:r>
    </w:p>
    <w:p w14:paraId="2A547B6D" w14:textId="77777777" w:rsidR="009D683D" w:rsidRPr="009D683D" w:rsidRDefault="009D683D" w:rsidP="009D683D">
      <w:pPr>
        <w:keepNext/>
        <w:keepLines/>
        <w:numPr>
          <w:ilvl w:val="3"/>
          <w:numId w:val="0"/>
        </w:numPr>
        <w:spacing w:before="40" w:after="0" w:line="276" w:lineRule="auto"/>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Patient navigator programs</w:t>
      </w:r>
    </w:p>
    <w:p w14:paraId="060FD693"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Models of care with similar characteristics to PNPs have proven effective in other areas of Indigenous health, and early indications from Canadian trials suggest that PNPs can reduce the disparities in health outcomes for Indigenous people. In accordance with insights from recent consumer engagement research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&lt;EndNote&gt;&lt;Cite&gt;&lt;Author&gt;Hughes&lt;/Author&gt;&lt;Year&gt;2018&lt;/Year&gt;&lt;RecNum&gt;320&lt;/RecNum&gt;&lt;DisplayText&gt;(Hughes, Dembski, et al., 2018)&lt;/DisplayText&gt;&lt;record&gt;&lt;rec-number&gt;320&lt;/rec-number&gt;&lt;foreign-keys&gt;&lt;key app="EN" db-id="ews5ve9enfwav7etdtjvztfdrftvwrf9vrsx" timestamp="1545365116"&gt;320&lt;/key&gt;&lt;/foreign-keys&gt;&lt;ref-type name="Journal Article"&gt;17&lt;/ref-type&gt;&lt;contributors&gt;&lt;authors&gt;&lt;author&gt;Hughes, J. T.&lt;/author&gt;&lt;author&gt;Dembski, L.&lt;/author&gt;&lt;author&gt;Kerrigan, V.&lt;/author&gt;&lt;author&gt;Majoni, S. W.&lt;/author&gt;&lt;author&gt;Lawton, P. D.&lt;/author&gt;&lt;author&gt;Cass, A.&lt;/author&gt;&lt;/authors&gt;&lt;/contributors&gt;&lt;auth-address&gt;Menzies School of Health Research, Charles Darwin University, Darwin, Australia.&amp;#xD;Division of Medicine, Royal Darwin Hospital, Darwin, Australia.&amp;#xD;Paperbark Woman, Darwin, Australia.&amp;#xD;Flinders University and Northern Territory Clinical School, Royal Darwin Hospital, Darwin, Australia.&lt;/auth-address&gt;&lt;titles&gt;&lt;title&gt;Gathering Perspectives - Finding Solutions for Chronic and End Stage Kidney Disease&lt;/title&gt;&lt;secondary-title&gt;Nephrology (Carlton)&lt;/secondary-title&gt;&lt;/titles&gt;&lt;periodical&gt;&lt;full-title&gt;Nephrology (Carlton)&lt;/full-title&gt;&lt;/periodical&gt;&lt;pages&gt;5-13&lt;/pages&gt;&lt;volume&gt;23 Suppl 1&lt;/volume&gt;&lt;number&gt;S1&lt;/number&gt;&lt;edition&gt;2018/02/13&lt;/edition&gt;&lt;dates&gt;&lt;year&gt;2018&lt;/year&gt;&lt;pub-dates&gt;&lt;date&gt;Feb&lt;/date&gt;&lt;/pub-dates&gt;&lt;/dates&gt;&lt;isbn&gt;1440-1797 (Electronic)&amp;#xD;1320-5358 (Linking)&lt;/isbn&gt;&lt;accession-num&gt;29436104&lt;/accession-num&gt;&lt;urls&gt;&lt;related-urls&gt;&lt;url&gt;https://www.ncbi.nlm.nih.gov/pubmed/29436104&lt;/url&gt;&lt;/related-urls&gt;&lt;/urls&gt;&lt;electronic-resource-num&gt;10.1111/nep.13233&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(Hughes, Dembski, et al., 2018)</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Australian transplant centres should trial and evaluate the adoption of PNPs to determine: a) their impact on improving access to the transplant waitlist for Indigenous patients, b) their impact on improving medication adherence and post-transplant outcomes, and c) what navigator characteristics have the greatest influence on outcomes (i.e. Indigenous background, lay person, practical or emotional support). </w:t>
      </w:r>
    </w:p>
    <w:p w14:paraId="28A76DF1" w14:textId="77777777" w:rsidR="009D683D" w:rsidRPr="009D683D" w:rsidRDefault="009D683D" w:rsidP="009D683D">
      <w:pPr>
        <w:keepNext/>
        <w:keepLines/>
        <w:numPr>
          <w:ilvl w:val="3"/>
          <w:numId w:val="0"/>
        </w:numPr>
        <w:spacing w:before="40" w:after="0" w:line="276" w:lineRule="auto"/>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Yarning circles</w:t>
      </w:r>
    </w:p>
    <w:p w14:paraId="3A31744B" w14:textId="77777777" w:rsidR="009D683D" w:rsidRPr="009D683D" w:rsidRDefault="009D683D" w:rsidP="009D683D">
      <w:pPr>
        <w:spacing w:line="276" w:lineRule="auto"/>
        <w:jc w:val="both"/>
        <w:rPr>
          <w:rFonts w:ascii="Calibri" w:eastAsia="Calibri" w:hAnsi="Calibri" w:cs="Times New Roman"/>
          <w:sz w:val="22"/>
          <w:szCs w:val="20"/>
          <w:shd w:val="clear" w:color="auto" w:fill="FFFFFF"/>
        </w:rPr>
      </w:pPr>
      <w:r w:rsidRPr="009D683D">
        <w:rPr>
          <w:rFonts w:ascii="Calibri" w:eastAsia="Calibri" w:hAnsi="Calibri" w:cs="Times New Roman"/>
          <w:sz w:val="22"/>
          <w:szCs w:val="35"/>
        </w:rPr>
        <w:t xml:space="preserve">‘Yarning </w:t>
      </w:r>
      <w:proofErr w:type="gramStart"/>
      <w:r w:rsidRPr="009D683D">
        <w:rPr>
          <w:rFonts w:ascii="Calibri" w:eastAsia="Calibri" w:hAnsi="Calibri" w:cs="Times New Roman"/>
          <w:sz w:val="22"/>
          <w:szCs w:val="35"/>
        </w:rPr>
        <w:t>circles’</w:t>
      </w:r>
      <w:proofErr w:type="gramEnd"/>
      <w:r w:rsidRPr="009D683D">
        <w:rPr>
          <w:rFonts w:ascii="Calibri" w:eastAsia="Calibri" w:hAnsi="Calibri" w:cs="Times New Roman"/>
          <w:sz w:val="22"/>
          <w:szCs w:val="35"/>
        </w:rPr>
        <w:t xml:space="preserve"> may prove to be a valuable addition to transplant education programs, as they provide a more effective and culturally appropriate communication platform for Indigenous patients. In Australia, Indigenous peoples recognise yarning as a conversational process that involves </w:t>
      </w:r>
      <w:r w:rsidRPr="009D683D">
        <w:rPr>
          <w:rFonts w:ascii="Calibri" w:eastAsia="Calibri" w:hAnsi="Calibri" w:cs="Times New Roman"/>
          <w:sz w:val="22"/>
          <w:szCs w:val="20"/>
          <w:shd w:val="clear" w:color="auto" w:fill="FFFFFF"/>
        </w:rPr>
        <w:t xml:space="preserve">a meeting of peers or participants of similar status for discussion and exchange of views. To date, health and research organisations, including Kidney Health Australia, the Menzies School of Health Research and the Australian National University, have primarily used yarning circles as part of consumer engagement research projects. Very few health services have trialled yarning circle programs as a way to provide more culturally appropriate education and support to Indigenous patients. It is recommended that transplant centres trial the use of yarning circles amongst the Indigenous kidney transplant candidate population, which will necessitate resourcing of yarning circle facilitators, such as Indigenous health workers and interpreters. A rigorous analysis will be required to determine whether this communication method improves the facilitation of kidney transplant knowledge and offers any further insights into Indigenous patients’ perceived barriers to accessing a transplant. </w:t>
      </w:r>
    </w:p>
    <w:p w14:paraId="16472E80" w14:textId="77777777" w:rsidR="009D683D" w:rsidRPr="009D683D" w:rsidRDefault="009D683D" w:rsidP="009D683D">
      <w:pPr>
        <w:keepNext/>
        <w:keepLines/>
        <w:numPr>
          <w:ilvl w:val="3"/>
          <w:numId w:val="0"/>
        </w:numPr>
        <w:spacing w:before="40" w:after="0" w:line="276" w:lineRule="auto"/>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Remote language centres</w:t>
      </w:r>
    </w:p>
    <w:p w14:paraId="43CFA264"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The delivery of culturally appropriate health services in remote Indigenous communities would be aided by the establishment of ‘language centres’, particularly in areas where English is a second or even less commonly spoken language for the local Indigenous population. These centres would comprise a team of Indigenous translators and interpreters trained in the transplant treatment pathway. Working in remote communities across Australia, their main responsibilities would include:</w:t>
      </w:r>
    </w:p>
    <w:p w14:paraId="0F95B185" w14:textId="77777777" w:rsidR="009D683D" w:rsidRPr="009D683D" w:rsidRDefault="009D683D" w:rsidP="00782640">
      <w:pPr>
        <w:numPr>
          <w:ilvl w:val="0"/>
          <w:numId w:val="50"/>
        </w:numPr>
        <w:spacing w:after="0" w:line="276" w:lineRule="auto"/>
        <w:contextualSpacing/>
        <w:jc w:val="both"/>
        <w:rPr>
          <w:rFonts w:ascii="Calibri" w:eastAsia="Calibri" w:hAnsi="Calibri" w:cs="Times New Roman"/>
          <w:sz w:val="22"/>
        </w:rPr>
      </w:pPr>
      <w:r w:rsidRPr="009D683D">
        <w:rPr>
          <w:rFonts w:ascii="Calibri" w:eastAsia="Calibri" w:hAnsi="Calibri" w:cs="Times New Roman"/>
          <w:sz w:val="22"/>
        </w:rPr>
        <w:t>Establishing a set of bridging terms and concepts for contemporary medical terms and concepts, from the Indigenous language of the region to English; and</w:t>
      </w:r>
    </w:p>
    <w:p w14:paraId="7CC7F0F6" w14:textId="77777777" w:rsidR="009D683D" w:rsidRPr="009D683D" w:rsidRDefault="009D683D" w:rsidP="00782640">
      <w:pPr>
        <w:numPr>
          <w:ilvl w:val="0"/>
          <w:numId w:val="50"/>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Developing word dictionaries and other resources to aid health professionals in delivering culturally appropriate transplant support and care.</w:t>
      </w:r>
    </w:p>
    <w:p w14:paraId="1D740FAC" w14:textId="77777777" w:rsidR="009D683D" w:rsidRPr="009D683D" w:rsidRDefault="009D683D" w:rsidP="009D683D">
      <w:pPr>
        <w:keepNext/>
        <w:keepLines/>
        <w:numPr>
          <w:ilvl w:val="2"/>
          <w:numId w:val="0"/>
        </w:numPr>
        <w:spacing w:before="40" w:after="0"/>
        <w:ind w:left="720" w:hanging="720"/>
        <w:outlineLvl w:val="2"/>
        <w:rPr>
          <w:rFonts w:ascii="Calibri Light" w:eastAsia="Times New Roman" w:hAnsi="Calibri Light" w:cs="Times New Roman"/>
          <w:sz w:val="24"/>
          <w:szCs w:val="24"/>
        </w:rPr>
      </w:pPr>
      <w:bookmarkStart w:id="79" w:name="_Toc2585831"/>
      <w:r w:rsidRPr="009D683D">
        <w:rPr>
          <w:rFonts w:ascii="Calibri Light" w:eastAsia="Times New Roman" w:hAnsi="Calibri Light" w:cs="Times New Roman"/>
          <w:sz w:val="24"/>
          <w:szCs w:val="24"/>
        </w:rPr>
        <w:lastRenderedPageBreak/>
        <w:t>Improving Equity and Access to Transplant Services</w:t>
      </w:r>
      <w:bookmarkEnd w:id="79"/>
    </w:p>
    <w:p w14:paraId="0889E82B" w14:textId="77777777"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Evaluating and leveraging health service-level interventions that target cultural biases</w:t>
      </w:r>
    </w:p>
    <w:p w14:paraId="2D9C7351"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While cultural capability training has been advocated in previous research, no applied research has been undertaken to understand the effect of this training on health service delivery in the context of pre-transplant workup, assessment and referral. Further investigation is required to assess the efficacy of health service-level interventions in reducing cultural biases among renal unit and transplant centre staff for the Indigenous kidney transplant candidate cohort. This research will feed into the development of cultural safety resources and programs that have been proven to address underlying cultural biases in health service providers.</w:t>
      </w:r>
    </w:p>
    <w:p w14:paraId="6600BF05" w14:textId="77777777"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Earlier engagement of primary care services</w:t>
      </w:r>
    </w:p>
    <w:p w14:paraId="45ACFF6E"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In light of the barriers faced by Indigenous patients to accessing pre-transplant assessment and workup tests, particularly those located in rural and remote areas, alternative service delivery models need to be developed and tested. It is critical that these models are regionally specific to account for the great diversity in settings and contexts across the country. </w:t>
      </w:r>
    </w:p>
    <w:p w14:paraId="18CFE5EC"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One possible intervention involves the earlier engagement of primary care services, such as dental check-ups and women’s health assessments, to improve patients’ general health prior to commencing dialysis. Indigenous transplant candidates present with significant comorbidities at a much higher rate than non-Indigenous patients. These comorbidities, including skin, respiratory and urinary tract infections, cardiac disease and poor oral health, commonly require further investigation and multi-specialty treatment, which complicate and delay the pre-transplant workup process. As a result, connecting patients with relevant primary health care services as early in the CKD/ESKD treatment continuum as possible may help to eliminate one of the major causes of delay in the pre-transplant workup process.  </w:t>
      </w:r>
    </w:p>
    <w:p w14:paraId="7AB442BB" w14:textId="77777777"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 xml:space="preserve">Implementing and evaluating conservative prevention and weight loss initiatives for overweight and obese Indigenous kidney transplant candidates  </w:t>
      </w:r>
    </w:p>
    <w:p w14:paraId="70710262"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While Australia’s Closing the </w:t>
      </w:r>
      <w:proofErr w:type="gramStart"/>
      <w:r w:rsidRPr="009D683D">
        <w:rPr>
          <w:rFonts w:ascii="Calibri" w:eastAsia="Calibri" w:hAnsi="Calibri" w:cs="Times New Roman"/>
          <w:sz w:val="22"/>
        </w:rPr>
        <w:t>Gap</w:t>
      </w:r>
      <w:proofErr w:type="gramEnd"/>
      <w:r w:rsidRPr="009D683D">
        <w:rPr>
          <w:rFonts w:ascii="Calibri" w:eastAsia="Calibri" w:hAnsi="Calibri" w:cs="Times New Roman"/>
          <w:sz w:val="22"/>
        </w:rPr>
        <w:t xml:space="preserve"> strategy is heavily focussed on the prevention of chronic disease in the Indigenous population, the adoption of healthy lifestyle choices is equally important for those who have already developed a chronic condition. As such, holistic weight loss projects tailored for Indigenous patients with ESKD should be piloted to determine whether conservative strategies, including nutrition education, exercise and behavioural therapy, can effectively reduce weight and comorbidities, and thus facilitate improved access to the transplant waitlist. The time, cost, adverse events and benefits of these pilot projects must be thoroughly evaluated to determine whether the rollout of a tailored, full-scale weight loss program for the Indigenous kidney transplant candidate population is feasible and worth pursuing. </w:t>
      </w:r>
    </w:p>
    <w:p w14:paraId="3A754C95" w14:textId="77777777"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Investigating the efficacy of surgical approaches for Indigenous patients who are ineligible for waitlisting primarily due to weight</w:t>
      </w:r>
    </w:p>
    <w:p w14:paraId="4107C805"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Further research is required to thoroughly evaluate both the peri-operative safety and long-term outcomes of bariatric surgery in kidney transplant candidates, particularly in the high-risk Indigenous ESKD patient population. Given past research has primarily explored open bariatric surgery procedures, additional investigation is required to determine the safety and efficacy of laparoscopic methods, which is now commonly considered to be the approach of choice. Another area for future exploration concerns whether the pharmacokinetics of immunosuppressive drugs are altered in the </w:t>
      </w:r>
      <w:r w:rsidRPr="009D683D">
        <w:rPr>
          <w:rFonts w:ascii="Calibri" w:eastAsia="Calibri" w:hAnsi="Calibri" w:cs="Times New Roman"/>
          <w:sz w:val="22"/>
        </w:rPr>
        <w:lastRenderedPageBreak/>
        <w:t xml:space="preserve">setting of bariatric surgery, which may impact kidney transplant recipients who are required to maintain an intensive immunosuppressive regimen. </w:t>
      </w:r>
    </w:p>
    <w:p w14:paraId="62914420" w14:textId="77777777" w:rsidR="009D683D" w:rsidRPr="009D683D" w:rsidRDefault="009D683D" w:rsidP="009D683D">
      <w:pPr>
        <w:keepNext/>
        <w:keepLines/>
        <w:numPr>
          <w:ilvl w:val="3"/>
          <w:numId w:val="0"/>
        </w:numPr>
        <w:spacing w:before="40" w:after="0" w:line="276" w:lineRule="auto"/>
        <w:ind w:left="864" w:hanging="864"/>
        <w:jc w:val="both"/>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 xml:space="preserve">Prospective, clinical study of the effect of bariatric surgery in Indigenous transplant candidates </w:t>
      </w:r>
    </w:p>
    <w:p w14:paraId="79EF776F"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An interventional clinical trial is needed to determine the effects of bariatric surgery in adult Indigenous kidney transplant candidates who are unable to be waitlisted, or are at risk of poorer transplant outcomes, due to obesity and/or associated comorbidities. Effects of interest comprise the pharmacokinetics of immunosuppressive medication, height, weight, BMI, abdominal circumference, blood pressure, glycated haemoglobin, average daily insulin requirements, lipid profile, thyroid-stimulating hormone levels, 24-hour urine creatinine clearance and quality of life.</w:t>
      </w:r>
    </w:p>
    <w:p w14:paraId="72C5C82B" w14:textId="77777777" w:rsidR="009D683D" w:rsidRPr="009D683D" w:rsidRDefault="009D683D" w:rsidP="009D683D">
      <w:pPr>
        <w:spacing w:after="0" w:line="276" w:lineRule="auto"/>
        <w:jc w:val="both"/>
        <w:rPr>
          <w:rFonts w:ascii="Calibri" w:eastAsia="Calibri" w:hAnsi="Calibri" w:cs="Times New Roman"/>
          <w:sz w:val="22"/>
        </w:rPr>
      </w:pPr>
      <w:r w:rsidRPr="009D683D">
        <w:rPr>
          <w:rFonts w:ascii="Calibri" w:eastAsia="Calibri" w:hAnsi="Calibri" w:cs="Times New Roman"/>
          <w:sz w:val="22"/>
        </w:rPr>
        <w:t>Proposed primary outcome measures include:</w:t>
      </w:r>
    </w:p>
    <w:p w14:paraId="289D1AB9" w14:textId="77777777" w:rsidR="009D683D" w:rsidRPr="009D683D" w:rsidRDefault="009D683D" w:rsidP="00782640">
      <w:pPr>
        <w:numPr>
          <w:ilvl w:val="0"/>
          <w:numId w:val="29"/>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 xml:space="preserve">Placement on the transplant waitlist. </w:t>
      </w:r>
    </w:p>
    <w:p w14:paraId="2E1703D9" w14:textId="77777777" w:rsidR="009D683D" w:rsidRPr="009D683D" w:rsidRDefault="009D683D" w:rsidP="00782640">
      <w:pPr>
        <w:numPr>
          <w:ilvl w:val="0"/>
          <w:numId w:val="29"/>
        </w:numPr>
        <w:spacing w:after="0" w:line="276" w:lineRule="auto"/>
        <w:contextualSpacing/>
        <w:jc w:val="both"/>
        <w:rPr>
          <w:rFonts w:ascii="Calibri" w:eastAsia="Calibri" w:hAnsi="Calibri" w:cs="Times New Roman"/>
          <w:sz w:val="22"/>
        </w:rPr>
      </w:pPr>
      <w:r w:rsidRPr="009D683D">
        <w:rPr>
          <w:rFonts w:ascii="Calibri" w:eastAsia="Calibri" w:hAnsi="Calibri" w:cs="Times New Roman"/>
          <w:sz w:val="22"/>
        </w:rPr>
        <w:t>Weight loss achieved after bariatric surgery in the ESKD patient.</w:t>
      </w:r>
    </w:p>
    <w:p w14:paraId="43FB711A" w14:textId="77777777" w:rsidR="009D683D" w:rsidRPr="009D683D" w:rsidRDefault="009D683D" w:rsidP="00782640">
      <w:pPr>
        <w:numPr>
          <w:ilvl w:val="0"/>
          <w:numId w:val="36"/>
        </w:numPr>
        <w:spacing w:after="0" w:line="276" w:lineRule="auto"/>
        <w:contextualSpacing/>
        <w:jc w:val="both"/>
        <w:rPr>
          <w:rFonts w:ascii="Calibri" w:eastAsia="Calibri" w:hAnsi="Calibri" w:cs="Times New Roman"/>
          <w:sz w:val="22"/>
        </w:rPr>
      </w:pPr>
      <w:r w:rsidRPr="009D683D">
        <w:rPr>
          <w:rFonts w:ascii="Calibri" w:eastAsia="Calibri" w:hAnsi="Calibri" w:cs="Times New Roman"/>
          <w:sz w:val="22"/>
        </w:rPr>
        <w:t>Time frame: baseline and every 3 months.</w:t>
      </w:r>
    </w:p>
    <w:p w14:paraId="202EC10C" w14:textId="77777777" w:rsidR="009D683D" w:rsidRPr="009D683D" w:rsidRDefault="009D683D" w:rsidP="00782640">
      <w:pPr>
        <w:numPr>
          <w:ilvl w:val="0"/>
          <w:numId w:val="29"/>
        </w:numPr>
        <w:spacing w:after="0" w:line="276" w:lineRule="auto"/>
        <w:contextualSpacing/>
        <w:jc w:val="both"/>
        <w:rPr>
          <w:rFonts w:ascii="Calibri" w:eastAsia="Calibri" w:hAnsi="Calibri" w:cs="Times New Roman"/>
          <w:sz w:val="22"/>
        </w:rPr>
      </w:pPr>
      <w:r w:rsidRPr="009D683D">
        <w:rPr>
          <w:rFonts w:ascii="Calibri" w:eastAsia="Calibri" w:hAnsi="Calibri" w:cs="Times New Roman"/>
          <w:sz w:val="22"/>
        </w:rPr>
        <w:t>Changes in health-related quality of life score.</w:t>
      </w:r>
    </w:p>
    <w:p w14:paraId="3CB0B197" w14:textId="77777777" w:rsidR="009D683D" w:rsidRPr="009D683D" w:rsidRDefault="009D683D" w:rsidP="00782640">
      <w:pPr>
        <w:numPr>
          <w:ilvl w:val="0"/>
          <w:numId w:val="36"/>
        </w:numPr>
        <w:spacing w:line="276" w:lineRule="auto"/>
        <w:ind w:left="1077" w:hanging="357"/>
        <w:jc w:val="both"/>
        <w:rPr>
          <w:rFonts w:ascii="Calibri" w:eastAsia="Calibri" w:hAnsi="Calibri" w:cs="Times New Roman"/>
          <w:sz w:val="22"/>
        </w:rPr>
      </w:pPr>
      <w:r w:rsidRPr="009D683D">
        <w:rPr>
          <w:rFonts w:ascii="Calibri" w:eastAsia="Calibri" w:hAnsi="Calibri" w:cs="Times New Roman"/>
          <w:sz w:val="22"/>
        </w:rPr>
        <w:t>Time frame: baseline and 1 year after bariatric surgery.</w:t>
      </w:r>
    </w:p>
    <w:p w14:paraId="6199CB97" w14:textId="77777777" w:rsidR="009D683D" w:rsidRPr="009D683D" w:rsidRDefault="009D683D" w:rsidP="009D683D">
      <w:pPr>
        <w:spacing w:after="0" w:line="276" w:lineRule="auto"/>
        <w:jc w:val="both"/>
        <w:rPr>
          <w:rFonts w:ascii="Calibri" w:eastAsia="Calibri" w:hAnsi="Calibri" w:cs="Times New Roman"/>
          <w:sz w:val="22"/>
        </w:rPr>
      </w:pPr>
      <w:r w:rsidRPr="009D683D">
        <w:rPr>
          <w:rFonts w:ascii="Calibri" w:eastAsia="Calibri" w:hAnsi="Calibri" w:cs="Times New Roman"/>
          <w:sz w:val="22"/>
        </w:rPr>
        <w:t>Proposed secondary outcome measures include:</w:t>
      </w:r>
    </w:p>
    <w:p w14:paraId="6424429C" w14:textId="77777777" w:rsidR="009D683D" w:rsidRPr="009D683D" w:rsidRDefault="009D683D" w:rsidP="00782640">
      <w:pPr>
        <w:numPr>
          <w:ilvl w:val="0"/>
          <w:numId w:val="29"/>
        </w:numPr>
        <w:spacing w:after="0" w:line="276" w:lineRule="auto"/>
        <w:contextualSpacing/>
        <w:jc w:val="both"/>
        <w:rPr>
          <w:rFonts w:ascii="Calibri" w:eastAsia="Calibri" w:hAnsi="Calibri" w:cs="Times New Roman"/>
          <w:sz w:val="22"/>
        </w:rPr>
      </w:pPr>
      <w:r w:rsidRPr="009D683D">
        <w:rPr>
          <w:rFonts w:ascii="Calibri" w:eastAsia="Calibri" w:hAnsi="Calibri" w:cs="Times New Roman"/>
          <w:sz w:val="22"/>
        </w:rPr>
        <w:t>Changes in the pharmacokinetics of oral immunosuppressive medications due to bariatric surgery, comparing pre-bariatric surgery to 12 months post-operative.</w:t>
      </w:r>
    </w:p>
    <w:p w14:paraId="5E1C43F2" w14:textId="77777777" w:rsidR="009D683D" w:rsidRPr="009D683D" w:rsidRDefault="009D683D" w:rsidP="00782640">
      <w:pPr>
        <w:numPr>
          <w:ilvl w:val="0"/>
          <w:numId w:val="36"/>
        </w:numPr>
        <w:spacing w:after="0" w:line="276" w:lineRule="auto"/>
        <w:contextualSpacing/>
        <w:jc w:val="both"/>
        <w:rPr>
          <w:rFonts w:ascii="Calibri" w:eastAsia="Calibri" w:hAnsi="Calibri" w:cs="Times New Roman"/>
          <w:sz w:val="22"/>
        </w:rPr>
      </w:pPr>
      <w:r w:rsidRPr="009D683D">
        <w:rPr>
          <w:rFonts w:ascii="Calibri" w:eastAsia="Calibri" w:hAnsi="Calibri" w:cs="Times New Roman"/>
          <w:sz w:val="22"/>
        </w:rPr>
        <w:t>Time frame: pre-bariatric surgery and 1 year after bariatric surgery.</w:t>
      </w:r>
    </w:p>
    <w:p w14:paraId="7D677C9E" w14:textId="77777777" w:rsidR="009D683D" w:rsidRPr="009D683D" w:rsidRDefault="009D683D" w:rsidP="00782640">
      <w:pPr>
        <w:numPr>
          <w:ilvl w:val="0"/>
          <w:numId w:val="48"/>
        </w:numPr>
        <w:spacing w:after="0" w:line="276" w:lineRule="auto"/>
        <w:contextualSpacing/>
        <w:jc w:val="both"/>
        <w:rPr>
          <w:rFonts w:ascii="Calibri" w:eastAsia="Calibri" w:hAnsi="Calibri" w:cs="Times New Roman"/>
          <w:sz w:val="22"/>
        </w:rPr>
      </w:pPr>
      <w:r w:rsidRPr="009D683D">
        <w:rPr>
          <w:rFonts w:ascii="Calibri" w:eastAsia="Calibri" w:hAnsi="Calibri" w:cs="Times New Roman"/>
          <w:sz w:val="22"/>
        </w:rPr>
        <w:t>Changes in blood glucose levels.</w:t>
      </w:r>
    </w:p>
    <w:p w14:paraId="0624B436" w14:textId="77777777" w:rsidR="009D683D" w:rsidRPr="009D683D" w:rsidRDefault="009D683D" w:rsidP="00782640">
      <w:pPr>
        <w:numPr>
          <w:ilvl w:val="0"/>
          <w:numId w:val="36"/>
        </w:numPr>
        <w:spacing w:after="0" w:line="276" w:lineRule="auto"/>
        <w:contextualSpacing/>
        <w:jc w:val="both"/>
        <w:rPr>
          <w:rFonts w:ascii="Calibri" w:eastAsia="Calibri" w:hAnsi="Calibri" w:cs="Times New Roman"/>
          <w:sz w:val="22"/>
        </w:rPr>
      </w:pPr>
      <w:r w:rsidRPr="009D683D">
        <w:rPr>
          <w:rFonts w:ascii="Calibri" w:eastAsia="Calibri" w:hAnsi="Calibri" w:cs="Times New Roman"/>
          <w:sz w:val="22"/>
        </w:rPr>
        <w:t xml:space="preserve">Time frame: baseline and 1 year after bariatric surgery. </w:t>
      </w:r>
    </w:p>
    <w:p w14:paraId="49222401" w14:textId="77777777" w:rsidR="009D683D" w:rsidRPr="009D683D" w:rsidRDefault="009D683D" w:rsidP="00782640">
      <w:pPr>
        <w:numPr>
          <w:ilvl w:val="0"/>
          <w:numId w:val="29"/>
        </w:numPr>
        <w:spacing w:after="0" w:line="276" w:lineRule="auto"/>
        <w:contextualSpacing/>
        <w:jc w:val="both"/>
        <w:rPr>
          <w:rFonts w:ascii="Calibri" w:eastAsia="Calibri" w:hAnsi="Calibri" w:cs="Times New Roman"/>
          <w:sz w:val="22"/>
        </w:rPr>
      </w:pPr>
      <w:r w:rsidRPr="009D683D">
        <w:rPr>
          <w:rFonts w:ascii="Calibri" w:eastAsia="Calibri" w:hAnsi="Calibri" w:cs="Times New Roman"/>
          <w:sz w:val="22"/>
        </w:rPr>
        <w:t>Changes in the number and dose of medications required to treat co-morbidities including hypertension, hyperlipidaemia and diabetes mellitus.</w:t>
      </w:r>
    </w:p>
    <w:p w14:paraId="3DCC1088" w14:textId="77777777" w:rsidR="009D683D" w:rsidRPr="009D683D" w:rsidRDefault="009D683D" w:rsidP="00782640">
      <w:pPr>
        <w:numPr>
          <w:ilvl w:val="0"/>
          <w:numId w:val="36"/>
        </w:numPr>
        <w:spacing w:after="0" w:line="276" w:lineRule="auto"/>
        <w:contextualSpacing/>
        <w:jc w:val="both"/>
        <w:rPr>
          <w:rFonts w:ascii="Calibri" w:eastAsia="Calibri" w:hAnsi="Calibri" w:cs="Times New Roman"/>
          <w:sz w:val="22"/>
        </w:rPr>
      </w:pPr>
      <w:r w:rsidRPr="009D683D">
        <w:rPr>
          <w:rFonts w:ascii="Calibri" w:eastAsia="Calibri" w:hAnsi="Calibri" w:cs="Times New Roman"/>
          <w:sz w:val="22"/>
        </w:rPr>
        <w:t>Time frame: baseline and 1 year after bariatric surgery.</w:t>
      </w:r>
    </w:p>
    <w:p w14:paraId="58A306E6" w14:textId="77777777" w:rsidR="009D683D" w:rsidRPr="009D683D" w:rsidRDefault="009D683D" w:rsidP="00782640">
      <w:pPr>
        <w:numPr>
          <w:ilvl w:val="0"/>
          <w:numId w:val="29"/>
        </w:numPr>
        <w:spacing w:after="0" w:line="276" w:lineRule="auto"/>
        <w:contextualSpacing/>
        <w:jc w:val="both"/>
        <w:rPr>
          <w:rFonts w:ascii="Calibri" w:eastAsia="Calibri" w:hAnsi="Calibri" w:cs="Times New Roman"/>
          <w:sz w:val="22"/>
        </w:rPr>
      </w:pPr>
      <w:r w:rsidRPr="009D683D">
        <w:rPr>
          <w:rFonts w:ascii="Calibri" w:eastAsia="Calibri" w:hAnsi="Calibri" w:cs="Times New Roman"/>
          <w:sz w:val="22"/>
        </w:rPr>
        <w:t>Incidence of complications following bariatric surgery.</w:t>
      </w:r>
    </w:p>
    <w:p w14:paraId="014C8910" w14:textId="77777777" w:rsidR="009D683D" w:rsidRPr="009D683D" w:rsidRDefault="009D683D" w:rsidP="00782640">
      <w:pPr>
        <w:numPr>
          <w:ilvl w:val="0"/>
          <w:numId w:val="36"/>
        </w:numPr>
        <w:spacing w:line="276" w:lineRule="auto"/>
        <w:ind w:left="1077" w:hanging="357"/>
        <w:jc w:val="both"/>
        <w:rPr>
          <w:rFonts w:ascii="Calibri" w:eastAsia="Calibri" w:hAnsi="Calibri" w:cs="Times New Roman"/>
          <w:sz w:val="22"/>
        </w:rPr>
      </w:pPr>
      <w:r w:rsidRPr="009D683D">
        <w:rPr>
          <w:rFonts w:ascii="Calibri" w:eastAsia="Calibri" w:hAnsi="Calibri" w:cs="Times New Roman"/>
          <w:sz w:val="22"/>
        </w:rPr>
        <w:t xml:space="preserve">Time frame: 1, 6 and 12 months after bariatric surgery. </w:t>
      </w:r>
    </w:p>
    <w:p w14:paraId="7032E6AD"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To be eligible for inclusion, it is proposed that participants must: be over 18 years of age, identify as Aboriginal or Torres Strait Islander, have a BMI greater than 35, be currently receiving dialysis and have no major comorbidities that would prevent waitlisting. Proposed exclusion criteria include: medically unfit for surgical intervention, previous gastric or intestinal surgery, active gastric disease, pregnancy or lactation, and active infection.</w:t>
      </w:r>
    </w:p>
    <w:p w14:paraId="6BC88012" w14:textId="77777777"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Increasing funding for bariatric surgery procedures in public hospitals</w:t>
      </w:r>
    </w:p>
    <w:p w14:paraId="05E61646"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The heavy economic burden of obesity and its comorbid conditions may be alleviated in the long term by surgical management, despite upfront resource costs. Severely obese individuals incur twofold higher mean annual health care costs ($2788 v $1472) and use double the number of medications annually (11.4 v 5.3 per person) compared with the general population </w:t>
      </w:r>
      <w:r w:rsidRPr="009D683D">
        <w:rPr>
          <w:rFonts w:ascii="Calibri" w:eastAsia="Calibri" w:hAnsi="Calibri" w:cs="Times New Roman"/>
          <w:sz w:val="22"/>
        </w:rPr>
        <w:fldChar w:fldCharType="begin">
          <w:fldData xml:space="preserve">PEVuZE5vdGU+PENpdGU+PEF1dGhvcj5MdWthczwvQXV0aG9yPjxZZWFyPjIwMTQ8L1llYXI+PFJl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PEVuZE5vdGU+PENpdGU+PEF1dGhvcj5MdWthczwvQXV0aG9yPjxZZWFyPjIwMTQ8L1llYXI+PFJl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(Lukas et al., 2014)</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Weight loss surgery can reduce the number of medications required and lower individual health care costs by 26%, a direct saving of $506 per person annually </w:t>
      </w:r>
      <w:r w:rsidRPr="009D683D">
        <w:rPr>
          <w:rFonts w:ascii="Calibri" w:eastAsia="Calibri" w:hAnsi="Calibri" w:cs="Times New Roman"/>
          <w:sz w:val="22"/>
        </w:rPr>
        <w:fldChar w:fldCharType="begin">
          <w:fldData xml:space="preserve">PEVuZE5vdGU+PENpdGU+PEF1dGhvcj5MdWthczwvQXV0aG9yPjxZZWFyPjIwMTQ8L1llYXI+PFJl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PEVuZE5vdGU+PENpdGU+PEF1dGhvcj5MdWthczwvQXV0aG9yPjxZZWFyPjIwMTQ8L1llYXI+PFJl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(Lukas et al., 2014)</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In the context of ESKD, bariatric surgery may provide the only opportunity for obese transplant candidates to be waitlisted for a kidney, which is more likely to be an issue among Indigenous patients. However, bariatric surgery is least accessible to those who are likely to be in the greatest need, due to the lack of funded bariatric surgery </w:t>
      </w:r>
      <w:r w:rsidRPr="009D683D">
        <w:rPr>
          <w:rFonts w:ascii="Calibri" w:eastAsia="Calibri" w:hAnsi="Calibri" w:cs="Times New Roman"/>
          <w:sz w:val="22"/>
        </w:rPr>
        <w:lastRenderedPageBreak/>
        <w:t>procedures in the public sector. It is thus recommended that the Federal, state and territory governments consider increasing the supply of publicly funded bariatric surgery in Australia.</w:t>
      </w:r>
    </w:p>
    <w:p w14:paraId="66F125E9" w14:textId="77777777"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Establishing multidisciplinary pre-transplant clinics in major regional centres</w:t>
      </w:r>
    </w:p>
    <w:p w14:paraId="4C485B79"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Multidisciplinary pre-transplant clinics offer an efficient and effective way to provide care for kidney transplant candidates and improve coordination between the tertiary and primary care sectors. The establishment of ‘one-stop shop’ multidisciplinary pre-transplant clinics in major regional centres would improve rural and remote patients’ access to essential pre-transplant workup and assessments. However, the successful implementation of these clinics is dependent on:</w:t>
      </w:r>
    </w:p>
    <w:p w14:paraId="0EEA0627" w14:textId="77777777" w:rsidR="009D683D" w:rsidRPr="009D683D" w:rsidRDefault="009D683D" w:rsidP="00782640">
      <w:pPr>
        <w:numPr>
          <w:ilvl w:val="0"/>
          <w:numId w:val="50"/>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Funding for additional medical and allied health positions in regional areas;</w:t>
      </w:r>
    </w:p>
    <w:p w14:paraId="42FACDCD" w14:textId="77777777" w:rsidR="009D683D" w:rsidRPr="009D683D" w:rsidRDefault="009D683D" w:rsidP="00782640">
      <w:pPr>
        <w:numPr>
          <w:ilvl w:val="0"/>
          <w:numId w:val="50"/>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Travel and accommodation allowances for remote patients, who will still be required to travel substantial distances to reach their nearest regional centre; and</w:t>
      </w:r>
    </w:p>
    <w:p w14:paraId="2AB5FDD4" w14:textId="77777777" w:rsidR="009D683D" w:rsidRPr="009D683D" w:rsidRDefault="009D683D" w:rsidP="00782640">
      <w:pPr>
        <w:numPr>
          <w:ilvl w:val="0"/>
          <w:numId w:val="50"/>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Rigorous, nationally standardised evaluations, to determine each regional clinic’s effectiveness in facilitating improved access to transplantation for Indigenous patients.</w:t>
      </w:r>
    </w:p>
    <w:p w14:paraId="50DDCAB9" w14:textId="77777777" w:rsidR="0055104B" w:rsidRDefault="0055104B" w:rsidP="009D683D">
      <w:pPr>
        <w:keepNext/>
        <w:keepLines/>
        <w:numPr>
          <w:ilvl w:val="3"/>
          <w:numId w:val="0"/>
        </w:numPr>
        <w:spacing w:before="40" w:after="0"/>
        <w:ind w:left="864" w:hanging="864"/>
        <w:outlineLvl w:val="3"/>
        <w:rPr>
          <w:rFonts w:ascii="Calibri Light" w:eastAsia="Times New Roman" w:hAnsi="Calibri Light" w:cs="Times New Roman"/>
          <w:i/>
          <w:iCs/>
          <w:noProof/>
          <w:sz w:val="22"/>
          <w:lang w:val="en-US"/>
        </w:rPr>
      </w:pPr>
    </w:p>
    <w:p w14:paraId="22D76504" w14:textId="129A9F4B"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noProof/>
          <w:sz w:val="22"/>
          <w:lang w:val="en-US"/>
        </w:rPr>
      </w:pPr>
      <w:r w:rsidRPr="009D683D">
        <w:rPr>
          <w:rFonts w:ascii="Calibri Light" w:eastAsia="Times New Roman" w:hAnsi="Calibri Light" w:cs="Times New Roman"/>
          <w:i/>
          <w:iCs/>
          <w:noProof/>
          <w:sz w:val="22"/>
          <w:lang w:val="en-US"/>
        </w:rPr>
        <w:t>Improving the design of specialist transplant outreach services</w:t>
      </w:r>
    </w:p>
    <w:p w14:paraId="3C4B0A5E" w14:textId="77777777" w:rsidR="009D683D" w:rsidRPr="009D683D" w:rsidRDefault="009D683D" w:rsidP="009D683D">
      <w:pPr>
        <w:spacing w:line="276" w:lineRule="auto"/>
        <w:jc w:val="both"/>
        <w:rPr>
          <w:rFonts w:ascii="Calibri" w:eastAsia="Calibri" w:hAnsi="Calibri" w:cs="Times New Roman"/>
          <w:noProof/>
          <w:sz w:val="22"/>
          <w:lang w:val="en-US"/>
        </w:rPr>
      </w:pPr>
      <w:r w:rsidRPr="009D683D">
        <w:rPr>
          <w:rFonts w:ascii="Calibri" w:eastAsia="Calibri" w:hAnsi="Calibri" w:cs="Times New Roman"/>
          <w:noProof/>
          <w:sz w:val="22"/>
          <w:lang w:val="en-US"/>
        </w:rPr>
        <w:t xml:space="preserve">Maintaining active waitlist status is dependent on patients’ ability to access relevant specialist services regularly. Past research has comprehensively described barriers to accessing specialist services for Indigenous patients, particularly those in rural and remote areas, as well as issues around specialist outreach program design, sustainability and impact. </w:t>
      </w:r>
      <w:r w:rsidRPr="009D683D">
        <w:rPr>
          <w:rFonts w:ascii="Calibri" w:eastAsia="Calibri" w:hAnsi="Calibri" w:cs="Calibri"/>
          <w:noProof/>
          <w:sz w:val="22"/>
          <w:lang w:val="en-US"/>
        </w:rPr>
        <w:t>Evidence shows that specialist outreach services enable up to 90% of specialist consultations to be delivered in the community setting within 12 months of referral, without patients needing to travel to hospital outpatient clinics (Gruen, Bailie, Wang, Heard, &amp; Rourke, 2006) . However, a number of changes should be made to the design and implementation of future specialist outreach services to ensure their sustainability and effectiveness for kidney transplant candidates, including:</w:t>
      </w:r>
    </w:p>
    <w:p w14:paraId="25D98FAB" w14:textId="77777777" w:rsidR="009D683D" w:rsidRPr="009D683D" w:rsidRDefault="009D683D" w:rsidP="00782640">
      <w:pPr>
        <w:numPr>
          <w:ilvl w:val="0"/>
          <w:numId w:val="47"/>
        </w:numPr>
        <w:spacing w:after="0" w:line="276" w:lineRule="auto"/>
        <w:jc w:val="both"/>
        <w:rPr>
          <w:rFonts w:ascii="Calibri" w:eastAsia="Calibri" w:hAnsi="Calibri" w:cs="Calibri"/>
          <w:noProof/>
          <w:sz w:val="22"/>
          <w:lang w:val="en-US"/>
        </w:rPr>
      </w:pPr>
      <w:r w:rsidRPr="009D683D">
        <w:rPr>
          <w:rFonts w:ascii="Calibri" w:eastAsia="Calibri" w:hAnsi="Calibri" w:cs="Calibri"/>
          <w:noProof/>
          <w:sz w:val="22"/>
          <w:lang w:val="en-US"/>
        </w:rPr>
        <w:t xml:space="preserve">Outreach services should be delivered by a multidisciplinary team of specialists rather than one or two practitioners in isolation. This will require the recruitment of more specialists to commit to the delivery of regular outreach, and efforts should be made to ensure that outreach activities are valued within health care organisations and systems.   </w:t>
      </w:r>
    </w:p>
    <w:p w14:paraId="26694C98" w14:textId="77777777" w:rsidR="009D683D" w:rsidRPr="009D683D" w:rsidRDefault="009D683D" w:rsidP="00782640">
      <w:pPr>
        <w:numPr>
          <w:ilvl w:val="0"/>
          <w:numId w:val="47"/>
        </w:numPr>
        <w:spacing w:after="0" w:line="276" w:lineRule="auto"/>
        <w:jc w:val="both"/>
        <w:rPr>
          <w:rFonts w:ascii="Calibri" w:eastAsia="Calibri" w:hAnsi="Calibri" w:cs="Calibri"/>
          <w:noProof/>
          <w:sz w:val="22"/>
          <w:lang w:val="en-US"/>
        </w:rPr>
      </w:pPr>
      <w:r w:rsidRPr="009D683D">
        <w:rPr>
          <w:rFonts w:ascii="Calibri" w:eastAsia="Calibri" w:hAnsi="Calibri" w:cs="Calibri"/>
          <w:noProof/>
          <w:sz w:val="22"/>
          <w:lang w:val="en-US"/>
        </w:rPr>
        <w:t xml:space="preserve">The coordination of outreach services can be improved by implementing long-term planning of visits that are scheduled in accordance with community need, rather than scheduling visits only a few weeks in advance when transplant candidates may already have made plans to travel to regional or metropolitan hubs for specialist appointments. </w:t>
      </w:r>
    </w:p>
    <w:p w14:paraId="30AC22E9" w14:textId="77777777" w:rsidR="009D683D" w:rsidRPr="009D683D" w:rsidRDefault="009D683D" w:rsidP="00782640">
      <w:pPr>
        <w:numPr>
          <w:ilvl w:val="0"/>
          <w:numId w:val="47"/>
        </w:numPr>
        <w:spacing w:after="0" w:line="276" w:lineRule="auto"/>
        <w:jc w:val="both"/>
        <w:rPr>
          <w:rFonts w:ascii="Calibri" w:eastAsia="Calibri" w:hAnsi="Calibri" w:cs="Calibri"/>
          <w:noProof/>
          <w:sz w:val="22"/>
          <w:lang w:val="en-US"/>
        </w:rPr>
      </w:pPr>
      <w:r w:rsidRPr="009D683D">
        <w:rPr>
          <w:rFonts w:ascii="Calibri" w:eastAsia="Calibri" w:hAnsi="Calibri" w:cs="Calibri"/>
          <w:noProof/>
          <w:sz w:val="22"/>
          <w:lang w:val="en-US"/>
        </w:rPr>
        <w:t xml:space="preserve">In addition to responding to community needs, outreach visits should be accountable to the referring practitioner and community, provide an appropriate mix of clinical services, education and support, utilise education and training opportunities, and deliver reliable correspondence and good communication. </w:t>
      </w:r>
    </w:p>
    <w:p w14:paraId="56C40741" w14:textId="77777777" w:rsidR="009D683D" w:rsidRPr="009D683D" w:rsidRDefault="009D683D" w:rsidP="00782640">
      <w:pPr>
        <w:numPr>
          <w:ilvl w:val="0"/>
          <w:numId w:val="47"/>
        </w:numPr>
        <w:spacing w:after="0" w:line="276" w:lineRule="auto"/>
        <w:jc w:val="both"/>
        <w:rPr>
          <w:rFonts w:ascii="Calibri" w:eastAsia="Calibri" w:hAnsi="Calibri" w:cs="Calibri"/>
          <w:noProof/>
          <w:sz w:val="22"/>
          <w:lang w:val="en-US"/>
        </w:rPr>
      </w:pPr>
      <w:r w:rsidRPr="009D683D">
        <w:rPr>
          <w:rFonts w:ascii="Calibri" w:eastAsia="Calibri" w:hAnsi="Calibri" w:cs="Calibri"/>
          <w:noProof/>
          <w:sz w:val="22"/>
          <w:lang w:val="en-US"/>
        </w:rPr>
        <w:t xml:space="preserve">To maximise the efficacy of specialist outreach, primary care services must be adequately resourced and staffed. It is critical that specialist outreach be integrated with primary care services to prevent disruptions to the provision of transplant care. </w:t>
      </w:r>
    </w:p>
    <w:p w14:paraId="395734CF" w14:textId="77777777" w:rsidR="009D683D" w:rsidRPr="009D683D" w:rsidRDefault="009D683D" w:rsidP="00782640">
      <w:pPr>
        <w:numPr>
          <w:ilvl w:val="0"/>
          <w:numId w:val="47"/>
        </w:numPr>
        <w:spacing w:line="276" w:lineRule="auto"/>
        <w:jc w:val="both"/>
        <w:rPr>
          <w:rFonts w:ascii="Calibri" w:eastAsia="Calibri" w:hAnsi="Calibri" w:cs="Calibri"/>
          <w:noProof/>
          <w:sz w:val="22"/>
          <w:lang w:val="en-US"/>
        </w:rPr>
      </w:pPr>
      <w:r w:rsidRPr="009D683D">
        <w:rPr>
          <w:rFonts w:ascii="Calibri" w:eastAsia="Calibri" w:hAnsi="Calibri" w:cs="Calibri"/>
          <w:noProof/>
          <w:sz w:val="22"/>
          <w:lang w:val="en-US"/>
        </w:rPr>
        <w:t xml:space="preserve">Specialist outreach services should be complemented by the use of telenephrology to fill service gaps between scheduled community visits. </w:t>
      </w:r>
    </w:p>
    <w:p w14:paraId="6191CE20" w14:textId="77777777" w:rsidR="009D683D" w:rsidRPr="009D683D" w:rsidRDefault="009D683D" w:rsidP="009D683D">
      <w:pPr>
        <w:keepNext/>
        <w:keepLines/>
        <w:numPr>
          <w:ilvl w:val="2"/>
          <w:numId w:val="0"/>
        </w:numPr>
        <w:spacing w:before="40" w:after="0"/>
        <w:ind w:left="720" w:hanging="720"/>
        <w:outlineLvl w:val="2"/>
        <w:rPr>
          <w:rFonts w:ascii="Calibri Light" w:eastAsia="Times New Roman" w:hAnsi="Calibri Light" w:cs="Times New Roman"/>
          <w:sz w:val="24"/>
          <w:szCs w:val="24"/>
        </w:rPr>
      </w:pPr>
      <w:bookmarkStart w:id="80" w:name="_Toc2585832"/>
      <w:r w:rsidRPr="009D683D">
        <w:rPr>
          <w:rFonts w:ascii="Calibri Light" w:eastAsia="Times New Roman" w:hAnsi="Calibri Light" w:cs="Times New Roman"/>
          <w:sz w:val="24"/>
          <w:szCs w:val="24"/>
        </w:rPr>
        <w:lastRenderedPageBreak/>
        <w:t>Researching, Developing and Implementing Clinical Guidelines and Protocols</w:t>
      </w:r>
      <w:bookmarkEnd w:id="80"/>
    </w:p>
    <w:p w14:paraId="319D952A" w14:textId="77777777"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noProof/>
          <w:sz w:val="22"/>
          <w:lang w:val="en-US"/>
        </w:rPr>
      </w:pPr>
      <w:r w:rsidRPr="009D683D">
        <w:rPr>
          <w:rFonts w:ascii="Calibri Light" w:eastAsia="Times New Roman" w:hAnsi="Calibri Light" w:cs="Times New Roman"/>
          <w:i/>
          <w:iCs/>
          <w:noProof/>
          <w:sz w:val="22"/>
          <w:lang w:val="en-US"/>
        </w:rPr>
        <w:t>Determining immunological compatability using both broad antigen and eplet HLA matching</w:t>
      </w:r>
    </w:p>
    <w:p w14:paraId="0570498C" w14:textId="77777777" w:rsidR="009D683D" w:rsidRPr="009D683D" w:rsidRDefault="009D683D" w:rsidP="009D683D">
      <w:pPr>
        <w:spacing w:line="276" w:lineRule="auto"/>
        <w:jc w:val="both"/>
        <w:rPr>
          <w:rFonts w:ascii="Calibri" w:eastAsia="Calibri" w:hAnsi="Calibri" w:cs="Calibri"/>
          <w:noProof/>
          <w:sz w:val="22"/>
          <w:lang w:val="en-US"/>
        </w:rPr>
      </w:pPr>
      <w:r w:rsidRPr="009D683D">
        <w:rPr>
          <w:rFonts w:ascii="Calibri" w:eastAsia="Calibri" w:hAnsi="Calibri" w:cs="Calibri"/>
          <w:noProof/>
          <w:sz w:val="22"/>
          <w:lang w:val="en-US"/>
        </w:rPr>
        <w:t xml:space="preserve">Indigenous patients’ longer waiting times for transplantation are in part attributed to the HLA-antigen mismatch between donors and potential Indigenous transplant candidates. Previous research has found that structural matching at the epitope level (i.e. polymorphic amino acid sequences such as eplets that bind to anti-HLA antibody) may provide a more accurate assessment of immunological risk compared to HLA matching at the broad antigen level. One study that compared the benefits and costs of incorporating an eplet-based matching algorithm to the current allocation of deceased donor kidneys to Indigenous Australians found that the average waiting time for transplantation for 5 recipients (15% of the participant cohort) was reduced by an average of 23 months </w:t>
      </w:r>
      <w:r w:rsidRPr="009D683D">
        <w:rPr>
          <w:rFonts w:ascii="Calibri" w:eastAsia="Calibri" w:hAnsi="Calibri" w:cs="Calibri"/>
          <w:noProof/>
          <w:sz w:val="22"/>
          <w:lang w:val="en-US"/>
        </w:rPr>
        <w:fldChar w:fldCharType="begin"/>
      </w:r>
      <w:r w:rsidRPr="009D683D">
        <w:rPr>
          <w:rFonts w:ascii="Calibri" w:eastAsia="Calibri" w:hAnsi="Calibri" w:cs="Calibri"/>
          <w:noProof/>
          <w:sz w:val="22"/>
          <w:lang w:val="en-US"/>
        </w:rPr>
        <w:instrText xml:space="preserve"> ADDIN EN.CITE &lt;EndNote&gt;&lt;Cite&gt;&lt;Author&gt;Do&lt;/Author&gt;&lt;Year&gt;2015&lt;/Year&gt;&lt;RecNum&gt;377&lt;/RecNum&gt;&lt;DisplayText&gt;(Do et al., 2015)&lt;/DisplayText&gt;&lt;record&gt;&lt;rec-number&gt;377&lt;/rec-number&gt;&lt;foreign-keys&gt;&lt;key app="EN" db-id="ews5ve9enfwav7etdtjvztfdrftvwrf9vrsx" timestamp="1547418965"&gt;377&lt;/key&gt;&lt;/foreign-keys&gt;&lt;ref-type name="Journal Article"&gt;17&lt;/ref-type&gt;&lt;contributors&gt;&lt;authors&gt;&lt;author&gt;Do, H.&lt;/author&gt;&lt;author&gt;Wong, G.&lt;/author&gt;&lt;author&gt;Chapman, J.&lt;/author&gt;&lt;author&gt;Craig, J. C.&lt;/author&gt;&lt;author&gt;D&amp;apos;Orsogna, L.&lt;/author&gt;&lt;author&gt;Lim, W.&lt;/author&gt;&lt;/authors&gt;&lt;/contributors&gt;&lt;titles&gt;&lt;title&gt;Comaprative survival benefits and costs of an eplet and broad antigen based matching system in deceased donor kidney transplant allocation among Indigneous Australians [abstract].&lt;/title&gt;&lt;secondary-title&gt;Am J Transplant&lt;/secondary-title&gt;&lt;/titles&gt;&lt;periodical&gt;&lt;full-title&gt;Am J Transplant&lt;/full-title&gt;&lt;/periodical&gt;&lt;volume&gt;15&lt;/volume&gt;&lt;number&gt;suppl 3&lt;/number&gt;&lt;dates&gt;&lt;year&gt;2015&lt;/year&gt;&lt;/dates&gt;&lt;urls&gt;&lt;related-urls&gt;&lt;url&gt;ttps://atcmeetingabstracts.com/abstract/comparative-survival-benefits-and-costs-of-an-eplet-and-broad-antigen-based-matching-system-in-deceased-donor-kidney-transplant-allocation-among-indigenous-australians/&lt;/url&gt;&lt;/related-urls&gt;&lt;/urls&gt;&lt;access-date&gt;14 January 2019&lt;/access-date&gt;&lt;/record&gt;&lt;/Cite&gt;&lt;/EndNote&gt;</w:instrText>
      </w:r>
      <w:r w:rsidRPr="009D683D">
        <w:rPr>
          <w:rFonts w:ascii="Calibri" w:eastAsia="Calibri" w:hAnsi="Calibri" w:cs="Calibri"/>
          <w:noProof/>
          <w:sz w:val="22"/>
          <w:lang w:val="en-US"/>
        </w:rPr>
        <w:fldChar w:fldCharType="separate"/>
      </w:r>
      <w:r w:rsidRPr="009D683D">
        <w:rPr>
          <w:rFonts w:ascii="Calibri" w:eastAsia="Calibri" w:hAnsi="Calibri" w:cs="Calibri"/>
          <w:noProof/>
          <w:sz w:val="22"/>
          <w:lang w:val="en-US"/>
        </w:rPr>
        <w:t>(Do et al., 2015)</w:t>
      </w:r>
      <w:r w:rsidRPr="009D683D">
        <w:rPr>
          <w:rFonts w:ascii="Calibri" w:eastAsia="Calibri" w:hAnsi="Calibri" w:cs="Calibri"/>
          <w:noProof/>
          <w:sz w:val="22"/>
          <w:lang w:val="en-US"/>
        </w:rPr>
        <w:fldChar w:fldCharType="end"/>
      </w:r>
      <w:r w:rsidRPr="009D683D">
        <w:rPr>
          <w:rFonts w:ascii="Calibri" w:eastAsia="Calibri" w:hAnsi="Calibri" w:cs="Calibri"/>
          <w:noProof/>
          <w:sz w:val="22"/>
          <w:lang w:val="en-US"/>
        </w:rPr>
        <w:t xml:space="preserve">. In addition, the study identified an average incremental gain in 0.004 quality-adjusted life years, with average savings of $3860 using this allocation compared to the current </w:t>
      </w:r>
      <w:r w:rsidRPr="009D683D">
        <w:rPr>
          <w:rFonts w:ascii="Calibri" w:eastAsia="Calibri" w:hAnsi="Calibri" w:cs="Calibri"/>
          <w:noProof/>
          <w:sz w:val="22"/>
          <w:lang w:val="en-US"/>
        </w:rPr>
        <w:fldChar w:fldCharType="begin"/>
      </w:r>
      <w:r w:rsidRPr="009D683D">
        <w:rPr>
          <w:rFonts w:ascii="Calibri" w:eastAsia="Calibri" w:hAnsi="Calibri" w:cs="Calibri"/>
          <w:noProof/>
          <w:sz w:val="22"/>
          <w:lang w:val="en-US"/>
        </w:rPr>
        <w:instrText xml:space="preserve"> ADDIN EN.CITE &lt;EndNote&gt;&lt;Cite&gt;&lt;Author&gt;Do&lt;/Author&gt;&lt;Year&gt;2015&lt;/Year&gt;&lt;RecNum&gt;377&lt;/RecNum&gt;&lt;DisplayText&gt;(Do et al., 2015)&lt;/DisplayText&gt;&lt;record&gt;&lt;rec-number&gt;377&lt;/rec-number&gt;&lt;foreign-keys&gt;&lt;key app="EN" db-id="ews5ve9enfwav7etdtjvztfdrftvwrf9vrsx" timestamp="1547418965"&gt;377&lt;/key&gt;&lt;/foreign-keys&gt;&lt;ref-type name="Journal Article"&gt;17&lt;/ref-type&gt;&lt;contributors&gt;&lt;authors&gt;&lt;author&gt;Do, H.&lt;/author&gt;&lt;author&gt;Wong, G.&lt;/author&gt;&lt;author&gt;Chapman, J.&lt;/author&gt;&lt;author&gt;Craig, J. C.&lt;/author&gt;&lt;author&gt;D&amp;apos;Orsogna, L.&lt;/author&gt;&lt;author&gt;Lim, W.&lt;/author&gt;&lt;/authors&gt;&lt;/contributors&gt;&lt;titles&gt;&lt;title&gt;Comaprative survival benefits and costs of an eplet and broad antigen based matching system in deceased donor kidney transplant allocation among Indigneous Australians [abstract].&lt;/title&gt;&lt;secondary-title&gt;Am J Transplant&lt;/secondary-title&gt;&lt;/titles&gt;&lt;periodical&gt;&lt;full-title&gt;Am J Transplant&lt;/full-title&gt;&lt;/periodical&gt;&lt;volume&gt;15&lt;/volume&gt;&lt;number&gt;suppl 3&lt;/number&gt;&lt;dates&gt;&lt;year&gt;2015&lt;/year&gt;&lt;/dates&gt;&lt;urls&gt;&lt;related-urls&gt;&lt;url&gt;ttps://atcmeetingabstracts.com/abstract/comparative-survival-benefits-and-costs-of-an-eplet-and-broad-antigen-based-matching-system-in-deceased-donor-kidney-transplant-allocation-among-indigenous-australians/&lt;/url&gt;&lt;/related-urls&gt;&lt;/urls&gt;&lt;access-date&gt;14 January 2019&lt;/access-date&gt;&lt;/record&gt;&lt;/Cite&gt;&lt;/EndNote&gt;</w:instrText>
      </w:r>
      <w:r w:rsidRPr="009D683D">
        <w:rPr>
          <w:rFonts w:ascii="Calibri" w:eastAsia="Calibri" w:hAnsi="Calibri" w:cs="Calibri"/>
          <w:noProof/>
          <w:sz w:val="22"/>
          <w:lang w:val="en-US"/>
        </w:rPr>
        <w:fldChar w:fldCharType="separate"/>
      </w:r>
      <w:r w:rsidRPr="009D683D">
        <w:rPr>
          <w:rFonts w:ascii="Calibri" w:eastAsia="Calibri" w:hAnsi="Calibri" w:cs="Calibri"/>
          <w:noProof/>
          <w:sz w:val="22"/>
          <w:lang w:val="en-US"/>
        </w:rPr>
        <w:t>(Do et al., 2015)</w:t>
      </w:r>
      <w:r w:rsidRPr="009D683D">
        <w:rPr>
          <w:rFonts w:ascii="Calibri" w:eastAsia="Calibri" w:hAnsi="Calibri" w:cs="Calibri"/>
          <w:noProof/>
          <w:sz w:val="22"/>
          <w:lang w:val="en-US"/>
        </w:rPr>
        <w:fldChar w:fldCharType="end"/>
      </w:r>
      <w:r w:rsidRPr="009D683D">
        <w:rPr>
          <w:rFonts w:ascii="Calibri" w:eastAsia="Calibri" w:hAnsi="Calibri" w:cs="Calibri"/>
          <w:noProof/>
          <w:sz w:val="22"/>
          <w:lang w:val="en-US"/>
        </w:rPr>
        <w:t xml:space="preserve">. Further research is required to more precisely define the epitopes of each HLA allele in Indigneous people, which are dissimilar to those of non-Indigenous people and are critical in the future application of HLA eplet-based matching in this population. </w:t>
      </w:r>
    </w:p>
    <w:p w14:paraId="3FC238CE" w14:textId="77777777" w:rsidR="009D683D" w:rsidRPr="009D683D" w:rsidRDefault="009D683D" w:rsidP="009D683D">
      <w:pPr>
        <w:keepNext/>
        <w:keepLines/>
        <w:numPr>
          <w:ilvl w:val="2"/>
          <w:numId w:val="0"/>
        </w:numPr>
        <w:spacing w:before="40" w:after="0"/>
        <w:ind w:left="720" w:hanging="720"/>
        <w:outlineLvl w:val="2"/>
        <w:rPr>
          <w:rFonts w:ascii="Calibri Light" w:eastAsia="Times New Roman" w:hAnsi="Calibri Light" w:cs="Times New Roman"/>
          <w:sz w:val="24"/>
          <w:szCs w:val="24"/>
        </w:rPr>
      </w:pPr>
      <w:bookmarkStart w:id="81" w:name="_Toc2585833"/>
      <w:r w:rsidRPr="009D683D">
        <w:rPr>
          <w:rFonts w:ascii="Calibri Light" w:eastAsia="Times New Roman" w:hAnsi="Calibri Light" w:cs="Times New Roman"/>
          <w:sz w:val="24"/>
          <w:szCs w:val="24"/>
        </w:rPr>
        <w:t>Workforce Training and Development</w:t>
      </w:r>
      <w:bookmarkEnd w:id="81"/>
    </w:p>
    <w:p w14:paraId="190A127A" w14:textId="77777777" w:rsidR="009D683D" w:rsidRPr="009D683D" w:rsidRDefault="009D683D" w:rsidP="009D683D">
      <w:pPr>
        <w:keepNext/>
        <w:widowControl w:val="0"/>
        <w:numPr>
          <w:ilvl w:val="3"/>
          <w:numId w:val="0"/>
        </w:numPr>
        <w:spacing w:before="40" w:after="0"/>
        <w:ind w:left="862" w:hanging="862"/>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Engaging and training a culturally capable renal workforce</w:t>
      </w:r>
    </w:p>
    <w:p w14:paraId="32738B6B" w14:textId="77777777" w:rsidR="009D683D" w:rsidRPr="009D683D" w:rsidRDefault="009D683D" w:rsidP="009D683D">
      <w:pPr>
        <w:keepNext/>
        <w:widowControl w:val="0"/>
        <w:spacing w:line="276" w:lineRule="auto"/>
        <w:jc w:val="both"/>
        <w:rPr>
          <w:rFonts w:ascii="Calibri" w:eastAsia="Calibri" w:hAnsi="Calibri" w:cs="Times New Roman"/>
          <w:sz w:val="22"/>
        </w:rPr>
      </w:pPr>
      <w:r w:rsidRPr="009D683D">
        <w:rPr>
          <w:rFonts w:ascii="Calibri" w:eastAsia="Calibri" w:hAnsi="Calibri" w:cs="Times New Roman"/>
          <w:sz w:val="22"/>
        </w:rPr>
        <w:t>In order to improve transplant centres’ ability to address the unique needs of culturally diverse kidney transplant recipients, a range of workforce training and development strategies should be explored, particularly in rural and remote communities. These include:</w:t>
      </w:r>
    </w:p>
    <w:p w14:paraId="15B84B16" w14:textId="77777777" w:rsidR="009D683D" w:rsidRPr="009D683D" w:rsidRDefault="009D683D" w:rsidP="00782640">
      <w:pPr>
        <w:numPr>
          <w:ilvl w:val="0"/>
          <w:numId w:val="49"/>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Integrating cultural awareness training as part of curriculum and continuous professional development for all renal unit and transplant centre staff;</w:t>
      </w:r>
    </w:p>
    <w:p w14:paraId="5A253BD8" w14:textId="77777777" w:rsidR="009D683D" w:rsidRPr="009D683D" w:rsidRDefault="009D683D" w:rsidP="00782640">
      <w:pPr>
        <w:numPr>
          <w:ilvl w:val="0"/>
          <w:numId w:val="49"/>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Diversifying the spread of specialist training positions across rural and remote Australia, and encouraging all renal registrars to undertake an Indigenous community rotation; and</w:t>
      </w:r>
    </w:p>
    <w:p w14:paraId="6175B7CA" w14:textId="77777777" w:rsidR="009D683D" w:rsidRPr="009D683D" w:rsidRDefault="009D683D" w:rsidP="00782640">
      <w:pPr>
        <w:numPr>
          <w:ilvl w:val="0"/>
          <w:numId w:val="49"/>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Increasing the recruitment, training and utility of Indigenous health workers, patient navigators and interpreters nationally, and equipping them with renal knowledge so they can support Indigenous kidney transplant recipients in fulfilling pre-transplant requirements.</w:t>
      </w:r>
    </w:p>
    <w:p w14:paraId="7C18B6EB" w14:textId="77777777" w:rsidR="009D683D" w:rsidRPr="009D683D" w:rsidRDefault="009D683D" w:rsidP="00782640">
      <w:pPr>
        <w:numPr>
          <w:ilvl w:val="0"/>
          <w:numId w:val="49"/>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Establishing stronger partnerships with ACCHS and primary care services more broadly to improve the delivery of culturally appropriate transplant care and support services.</w:t>
      </w:r>
    </w:p>
    <w:p w14:paraId="5B2E3CD9" w14:textId="77777777" w:rsidR="009D683D" w:rsidRPr="009D683D" w:rsidRDefault="009D683D" w:rsidP="00782640">
      <w:pPr>
        <w:numPr>
          <w:ilvl w:val="0"/>
          <w:numId w:val="49"/>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Upskilling primary care providers, including GPs, nurses, and Indigenous health workers, in the delivery of transplant education and care.</w:t>
      </w:r>
    </w:p>
    <w:p w14:paraId="740E3A8F" w14:textId="77777777" w:rsidR="0055104B" w:rsidRDefault="0055104B" w:rsidP="009D683D">
      <w:pPr>
        <w:keepNext/>
        <w:keepLines/>
        <w:numPr>
          <w:ilvl w:val="3"/>
          <w:numId w:val="0"/>
        </w:numPr>
        <w:spacing w:before="40" w:after="0"/>
        <w:ind w:left="864" w:hanging="864"/>
        <w:outlineLvl w:val="3"/>
        <w:rPr>
          <w:rFonts w:ascii="Calibri Light" w:eastAsia="Times New Roman" w:hAnsi="Calibri Light" w:cs="Times New Roman"/>
          <w:i/>
          <w:iCs/>
          <w:sz w:val="22"/>
        </w:rPr>
      </w:pPr>
    </w:p>
    <w:p w14:paraId="17E124D4" w14:textId="67B70A2C"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Implementing ‘train the trainer’ workshops for the Indigenous health workforce</w:t>
      </w:r>
    </w:p>
    <w:p w14:paraId="334EA43F"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‘Train the trainer’ workshops for Indigenous interpreters, health care navigators and health workers need to be implemented across Australia, in metropolitan areas, regional hubs and remote communities, to ensure the Indigenous health workforce is appropriately trained in transplant knowledge and practice before engaging directly with transplant candidates and recipients. While growing the Indigenous health workforce is an important step in facilitating culturally capable education and communication for Indigenous patients, high quality education, support and care can only be provided if the workforce is equipped with a detailed knowledge of kidney issues and the dialysis/transplant journey. In addition to the workshops, new or less experienced Indigenous health workers should be paired with a more senior and experienced Indigenous ‘mentor’, who can provide ongoing support and guidance beyond the workshop setting. </w:t>
      </w:r>
    </w:p>
    <w:bookmarkStart w:id="82" w:name="_Toc2585834"/>
    <w:p w14:paraId="7725BE16" w14:textId="77777777" w:rsidR="0055104B" w:rsidRDefault="009D683D" w:rsidP="009D683D">
      <w:pPr>
        <w:keepNext/>
        <w:keepLines/>
        <w:spacing w:before="240" w:after="0"/>
        <w:ind w:left="360" w:hanging="360"/>
        <w:outlineLvl w:val="0"/>
        <w:rPr>
          <w:rFonts w:ascii="Calibri Light" w:eastAsia="Times New Roman" w:hAnsi="Calibri Light" w:cs="Times New Roman"/>
          <w:sz w:val="32"/>
          <w:szCs w:val="32"/>
        </w:rPr>
      </w:pPr>
      <w:r w:rsidRPr="009D683D">
        <w:rPr>
          <w:rFonts w:ascii="Calibri Light" w:eastAsia="Times New Roman" w:hAnsi="Calibri Light" w:cs="Times New Roman"/>
          <w:noProof/>
          <w:sz w:val="32"/>
          <w:szCs w:val="32"/>
          <w:lang w:eastAsia="en-AU"/>
        </w:rPr>
        <w:lastRenderedPageBreak/>
        <mc:AlternateContent>
          <mc:Choice Requires="wps">
            <w:drawing>
              <wp:inline distT="0" distB="0" distL="0" distR="0" wp14:anchorId="15913834" wp14:editId="6B87B0BA">
                <wp:extent cx="5686425" cy="2476500"/>
                <wp:effectExtent l="0" t="0" r="2857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2476500"/>
                        </a:xfrm>
                        <a:prstGeom prst="rect">
                          <a:avLst/>
                        </a:prstGeom>
                        <a:solidFill>
                          <a:srgbClr val="70AD47">
                            <a:lumMod val="20000"/>
                            <a:lumOff val="80000"/>
                          </a:srgbClr>
                        </a:solidFill>
                        <a:ln w="9525">
                          <a:solidFill>
                            <a:srgbClr val="000000"/>
                          </a:solidFill>
                          <a:miter lim="800000"/>
                          <a:headEnd/>
                          <a:tailEnd/>
                        </a:ln>
                        <a:effectLst/>
                      </wps:spPr>
                      <wps:txbx>
                        <w:txbxContent>
                          <w:p w14:paraId="3BD1ADFA" w14:textId="77777777" w:rsidR="00A41391" w:rsidRPr="004C426E" w:rsidRDefault="00A41391" w:rsidP="009D683D">
                            <w:pPr>
                              <w:spacing w:line="276" w:lineRule="auto"/>
                              <w:jc w:val="both"/>
                              <w:rPr>
                                <w:b/>
                                <w:sz w:val="24"/>
                              </w:rPr>
                            </w:pPr>
                            <w:r w:rsidRPr="004C426E">
                              <w:rPr>
                                <w:b/>
                                <w:sz w:val="24"/>
                              </w:rPr>
                              <w:t>Box</w:t>
                            </w:r>
                            <w:r>
                              <w:rPr>
                                <w:b/>
                                <w:sz w:val="24"/>
                              </w:rPr>
                              <w:t xml:space="preserve"> </w:t>
                            </w:r>
                            <w:r w:rsidRPr="004C426E">
                              <w:rPr>
                                <w:b/>
                                <w:sz w:val="24"/>
                              </w:rPr>
                              <w:t>1</w:t>
                            </w:r>
                            <w:r>
                              <w:rPr>
                                <w:b/>
                                <w:sz w:val="24"/>
                              </w:rPr>
                              <w:t>5</w:t>
                            </w:r>
                            <w:r w:rsidRPr="004C426E">
                              <w:rPr>
                                <w:b/>
                                <w:sz w:val="24"/>
                              </w:rPr>
                              <w:t>: Summary of post-transplant barriers</w:t>
                            </w:r>
                          </w:p>
                          <w:p w14:paraId="760C1487" w14:textId="77777777" w:rsidR="00A41391" w:rsidRDefault="00A41391" w:rsidP="009D683D">
                            <w:pPr>
                              <w:spacing w:line="276" w:lineRule="auto"/>
                              <w:jc w:val="both"/>
                            </w:pPr>
                            <w:r>
                              <w:t>Indigenous transplant recipients experience significantly poorer post-transplant outcomes compared to non-Indigenous recipients. Standardised models of care, including ‘one size fits all’ immunosuppression and infective prophylaxis protocols, is thought to contribute to this disparity. Specific post-transplant barriers include:</w:t>
                            </w:r>
                          </w:p>
                          <w:p w14:paraId="487C6E89" w14:textId="77777777" w:rsidR="00A41391" w:rsidRDefault="00A41391" w:rsidP="00782640">
                            <w:pPr>
                              <w:pStyle w:val="ListParagraph"/>
                              <w:numPr>
                                <w:ilvl w:val="0"/>
                                <w:numId w:val="41"/>
                              </w:numPr>
                              <w:spacing w:line="276" w:lineRule="auto"/>
                              <w:jc w:val="both"/>
                            </w:pPr>
                            <w:r>
                              <w:t>Low health literacy and sociocultural challenges that impede adherence to complex post-transplant care and maintenance requirements;</w:t>
                            </w:r>
                          </w:p>
                          <w:p w14:paraId="68A96265" w14:textId="77777777" w:rsidR="00A41391" w:rsidRDefault="00A41391" w:rsidP="00782640">
                            <w:pPr>
                              <w:pStyle w:val="ListParagraph"/>
                              <w:numPr>
                                <w:ilvl w:val="0"/>
                                <w:numId w:val="41"/>
                              </w:numPr>
                              <w:spacing w:line="276" w:lineRule="auto"/>
                              <w:jc w:val="both"/>
                            </w:pPr>
                            <w:r>
                              <w:t>Limited access to post-transplant treatment, assessment and support services, including pathology and pharmacy services; and</w:t>
                            </w:r>
                          </w:p>
                          <w:p w14:paraId="4530BAB9" w14:textId="77777777" w:rsidR="00A41391" w:rsidRDefault="00A41391" w:rsidP="00782640">
                            <w:pPr>
                              <w:pStyle w:val="ListParagraph"/>
                              <w:numPr>
                                <w:ilvl w:val="0"/>
                                <w:numId w:val="41"/>
                              </w:numPr>
                              <w:spacing w:line="276" w:lineRule="auto"/>
                              <w:jc w:val="both"/>
                            </w:pPr>
                            <w:r>
                              <w:t>Higher risk of exposure to infection, particularly in remote communities where substandard housing and inadequate infrastructure for sanitation is more common.</w:t>
                            </w:r>
                          </w:p>
                          <w:p w14:paraId="7978129C" w14:textId="77777777" w:rsidR="00A41391" w:rsidRDefault="00A41391" w:rsidP="009D683D">
                            <w:pPr>
                              <w:pStyle w:val="ListParagraph"/>
                              <w:spacing w:line="276" w:lineRule="auto"/>
                              <w:ind w:left="769"/>
                              <w:jc w:val="both"/>
                            </w:pPr>
                          </w:p>
                        </w:txbxContent>
                      </wps:txbx>
                      <wps:bodyPr rot="0" vert="horz" wrap="square" lIns="91440" tIns="45720" rIns="91440" bIns="45720" anchor="t" anchorCtr="0">
                        <a:noAutofit/>
                      </wps:bodyPr>
                    </wps:wsp>
                  </a:graphicData>
                </a:graphic>
              </wp:inline>
            </w:drawing>
          </mc:Choice>
          <mc:Fallback>
            <w:pict>
              <v:shape w14:anchorId="15913834" id="_x0000_s1043" type="#_x0000_t202" style="width:447.7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" fillcolor="#e2f0d9">
                <v:textbox>
                  <w:txbxContent>
                    <w:p w14:paraId="3BD1ADFA" w14:textId="77777777" w:rsidR="00A41391" w:rsidRPr="004C426E" w:rsidRDefault="00A41391" w:rsidP="009D683D">
                      <w:pPr>
                        <w:spacing w:line="276" w:lineRule="auto"/>
                        <w:jc w:val="both"/>
                        <w:rPr>
                          <w:b/>
                          <w:sz w:val="24"/>
                        </w:rPr>
                      </w:pPr>
                      <w:r w:rsidRPr="004C426E">
                        <w:rPr>
                          <w:b/>
                          <w:sz w:val="24"/>
                        </w:rPr>
                        <w:t>Box</w:t>
                      </w:r>
                      <w:r>
                        <w:rPr>
                          <w:b/>
                          <w:sz w:val="24"/>
                        </w:rPr>
                        <w:t xml:space="preserve"> </w:t>
                      </w:r>
                      <w:r w:rsidRPr="004C426E">
                        <w:rPr>
                          <w:b/>
                          <w:sz w:val="24"/>
                        </w:rPr>
                        <w:t>1</w:t>
                      </w:r>
                      <w:r>
                        <w:rPr>
                          <w:b/>
                          <w:sz w:val="24"/>
                        </w:rPr>
                        <w:t>5</w:t>
                      </w:r>
                      <w:r w:rsidRPr="004C426E">
                        <w:rPr>
                          <w:b/>
                          <w:sz w:val="24"/>
                        </w:rPr>
                        <w:t>: Summary of post-transplant barriers</w:t>
                      </w:r>
                    </w:p>
                    <w:p w14:paraId="760C1487" w14:textId="77777777" w:rsidR="00A41391" w:rsidRDefault="00A41391" w:rsidP="009D683D">
                      <w:pPr>
                        <w:spacing w:line="276" w:lineRule="auto"/>
                        <w:jc w:val="both"/>
                      </w:pPr>
                      <w:r>
                        <w:t>Indigenous transplant recipients experience significantly poorer post-transplant outcomes compared to non-Indigenous recipients. Standardised models of care, including ‘one size fits all’ immunosuppression and infective prophylaxis protocols, is thought to contribute to this disparity. Specific post-transplant barriers include:</w:t>
                      </w:r>
                    </w:p>
                    <w:p w14:paraId="487C6E89" w14:textId="77777777" w:rsidR="00A41391" w:rsidRDefault="00A41391" w:rsidP="00782640">
                      <w:pPr>
                        <w:pStyle w:val="ListParagraph"/>
                        <w:numPr>
                          <w:ilvl w:val="0"/>
                          <w:numId w:val="41"/>
                        </w:numPr>
                        <w:spacing w:line="276" w:lineRule="auto"/>
                        <w:jc w:val="both"/>
                      </w:pPr>
                      <w:r>
                        <w:t>Low health literacy and sociocultural challenges that impede adherence to complex post-transplant care and maintenance requirements;</w:t>
                      </w:r>
                    </w:p>
                    <w:p w14:paraId="68A96265" w14:textId="77777777" w:rsidR="00A41391" w:rsidRDefault="00A41391" w:rsidP="00782640">
                      <w:pPr>
                        <w:pStyle w:val="ListParagraph"/>
                        <w:numPr>
                          <w:ilvl w:val="0"/>
                          <w:numId w:val="41"/>
                        </w:numPr>
                        <w:spacing w:line="276" w:lineRule="auto"/>
                        <w:jc w:val="both"/>
                      </w:pPr>
                      <w:r>
                        <w:t>Limited access to post-transplant treatment, assessment and support services, including pathology and pharmacy services; and</w:t>
                      </w:r>
                    </w:p>
                    <w:p w14:paraId="4530BAB9" w14:textId="77777777" w:rsidR="00A41391" w:rsidRDefault="00A41391" w:rsidP="00782640">
                      <w:pPr>
                        <w:pStyle w:val="ListParagraph"/>
                        <w:numPr>
                          <w:ilvl w:val="0"/>
                          <w:numId w:val="41"/>
                        </w:numPr>
                        <w:spacing w:line="276" w:lineRule="auto"/>
                        <w:jc w:val="both"/>
                      </w:pPr>
                      <w:r>
                        <w:t>Higher risk of exposure to infection, particularly in remote communities where substandard housing and inadequate infrastructure for sanitation is more common.</w:t>
                      </w:r>
                    </w:p>
                    <w:p w14:paraId="7978129C" w14:textId="77777777" w:rsidR="00A41391" w:rsidRDefault="00A41391" w:rsidP="009D683D">
                      <w:pPr>
                        <w:pStyle w:val="ListParagraph"/>
                        <w:spacing w:line="276" w:lineRule="auto"/>
                        <w:ind w:left="769"/>
                        <w:jc w:val="both"/>
                      </w:pPr>
                    </w:p>
                  </w:txbxContent>
                </v:textbox>
                <w10:anchorlock/>
              </v:shape>
            </w:pict>
          </mc:Fallback>
        </mc:AlternateContent>
      </w:r>
    </w:p>
    <w:p w14:paraId="6AFFC672" w14:textId="60E97476" w:rsidR="009D683D" w:rsidRPr="009D683D" w:rsidRDefault="009D683D" w:rsidP="009D683D">
      <w:pPr>
        <w:keepNext/>
        <w:keepLines/>
        <w:spacing w:before="240" w:after="0"/>
        <w:ind w:left="360" w:hanging="360"/>
        <w:outlineLvl w:val="0"/>
        <w:rPr>
          <w:rFonts w:ascii="Calibri Light" w:eastAsia="Times New Roman" w:hAnsi="Calibri Light" w:cs="Times New Roman"/>
          <w:sz w:val="32"/>
          <w:szCs w:val="32"/>
        </w:rPr>
      </w:pPr>
      <w:r w:rsidRPr="009D683D">
        <w:rPr>
          <w:rFonts w:ascii="Calibri Light" w:eastAsia="Times New Roman" w:hAnsi="Calibri Light" w:cs="Times New Roman"/>
          <w:sz w:val="32"/>
          <w:szCs w:val="32"/>
        </w:rPr>
        <w:t>Post-Transplant Knowledge Gaps and Recommendations</w:t>
      </w:r>
      <w:bookmarkEnd w:id="82"/>
      <w:r w:rsidRPr="009D683D">
        <w:rPr>
          <w:rFonts w:ascii="Calibri Light" w:eastAsia="Times New Roman" w:hAnsi="Calibri Light" w:cs="Times New Roman"/>
          <w:sz w:val="32"/>
          <w:szCs w:val="32"/>
        </w:rPr>
        <w:t xml:space="preserve"> </w:t>
      </w:r>
    </w:p>
    <w:p w14:paraId="716D0124" w14:textId="77777777" w:rsidR="009D683D" w:rsidRPr="009D683D" w:rsidRDefault="009D683D" w:rsidP="009D683D">
      <w:pPr>
        <w:keepNext/>
        <w:keepLines/>
        <w:numPr>
          <w:ilvl w:val="1"/>
          <w:numId w:val="0"/>
        </w:numPr>
        <w:spacing w:before="40" w:after="0"/>
        <w:ind w:left="576" w:hanging="576"/>
        <w:outlineLvl w:val="1"/>
        <w:rPr>
          <w:rFonts w:ascii="Calibri Light" w:eastAsia="Times New Roman" w:hAnsi="Calibri Light" w:cs="Times New Roman"/>
          <w:sz w:val="26"/>
          <w:szCs w:val="26"/>
        </w:rPr>
      </w:pPr>
      <w:bookmarkStart w:id="83" w:name="_Toc2585835"/>
      <w:r w:rsidRPr="009D683D">
        <w:rPr>
          <w:rFonts w:ascii="Calibri Light" w:eastAsia="Times New Roman" w:hAnsi="Calibri Light" w:cs="Times New Roman"/>
          <w:sz w:val="26"/>
          <w:szCs w:val="26"/>
        </w:rPr>
        <w:t>Knowledge and data gaps</w:t>
      </w:r>
      <w:bookmarkEnd w:id="83"/>
    </w:p>
    <w:p w14:paraId="7DD1BA7C" w14:textId="77777777" w:rsidR="009D683D" w:rsidRPr="009D683D" w:rsidRDefault="009D683D" w:rsidP="009D683D">
      <w:pPr>
        <w:keepNext/>
        <w:keepLines/>
        <w:numPr>
          <w:ilvl w:val="2"/>
          <w:numId w:val="0"/>
        </w:numPr>
        <w:spacing w:before="40" w:after="0"/>
        <w:ind w:left="720" w:hanging="720"/>
        <w:outlineLvl w:val="2"/>
        <w:rPr>
          <w:rFonts w:ascii="Calibri Light" w:eastAsia="Times New Roman" w:hAnsi="Calibri Light" w:cs="Times New Roman"/>
          <w:sz w:val="24"/>
          <w:szCs w:val="24"/>
        </w:rPr>
      </w:pPr>
      <w:bookmarkStart w:id="84" w:name="_Toc2585836"/>
      <w:r w:rsidRPr="009D683D">
        <w:rPr>
          <w:rFonts w:ascii="Calibri Light" w:eastAsia="Times New Roman" w:hAnsi="Calibri Light" w:cs="Times New Roman"/>
          <w:sz w:val="24"/>
          <w:szCs w:val="24"/>
        </w:rPr>
        <w:t>Models of Care</w:t>
      </w:r>
      <w:bookmarkEnd w:id="84"/>
    </w:p>
    <w:p w14:paraId="71EC235A" w14:textId="77777777" w:rsidR="009D683D" w:rsidRPr="009D683D" w:rsidRDefault="009D683D" w:rsidP="009D683D">
      <w:pPr>
        <w:spacing w:before="120" w:line="276" w:lineRule="auto"/>
        <w:jc w:val="both"/>
        <w:rPr>
          <w:rFonts w:ascii="Calibri" w:eastAsia="Calibri" w:hAnsi="Calibri" w:cs="Times New Roman"/>
          <w:sz w:val="22"/>
        </w:rPr>
      </w:pPr>
      <w:r w:rsidRPr="009D683D">
        <w:rPr>
          <w:rFonts w:ascii="Calibri" w:eastAsia="Calibri" w:hAnsi="Calibri" w:cs="Times New Roman"/>
          <w:sz w:val="22"/>
        </w:rPr>
        <w:t xml:space="preserve">The Menzies School of Health Research recently investigated how different dialysis treatment models impact on patients, families and other service providers, however, no such work on transplant models of care has been done in Australia. While this chapter has provided a brief overview of current practice and strategies that may facilitate improved post-transplant outcomes, specifically for the Indigenous patient population, it is important that further research be undertaken to comprehensively address this evidence gap. </w:t>
      </w:r>
    </w:p>
    <w:p w14:paraId="0B151ABA"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The need to tailor models of care for Indigenous patients with chronic disease rather than simply apply existing models has been comprehensively documented in the literature, but the majority of research in the Indigenous health field to date has adopted a descriptive approach. While descriptive research provides valuable information on health patterns and determinants, it does not produce change nor provide any direct evidence on how to best create change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&lt;EndNote&gt;&lt;Cite&gt;&lt;Author&gt;Sanson-Fisher&lt;/Author&gt;&lt;Year&gt;2006&lt;/Year&gt;&lt;RecNum&gt;344&lt;/RecNum&gt;&lt;DisplayText&gt;(Sanson-Fisher, Campbell, Perkins, Blunden, &amp;amp; Davis, 2006)&lt;/DisplayText&gt;&lt;record&gt;&lt;rec-number&gt;344&lt;/rec-number&gt;&lt;foreign-keys&gt;&lt;key app="EN" db-id="ews5ve9enfwav7etdtjvztfdrftvwrf9vrsx" timestamp="1546384078"&gt;344&lt;/key&gt;&lt;/foreign-keys&gt;&lt;ref-type name="Book"&gt;6&lt;/ref-type&gt;&lt;contributors&gt;&lt;authors&gt;&lt;author&gt;Sanson-Fisher, Rob.&lt;/author&gt;&lt;author&gt;Campbell, Elizabeth. M.&lt;/author&gt;&lt;author&gt;Perkins, Janice.&lt;/author&gt;&lt;author&gt;Blunden, Steve. V.&lt;/author&gt;&lt;author&gt;Davis, Bob. B.&lt;/author&gt;&lt;/authors&gt;&lt;/contributors&gt;&lt;titles&gt;&lt;title&gt;Indigenous health research: A critical review of outputs over time&lt;/title&gt;&lt;alt-title&gt;The Medical journal of Australia&lt;/alt-title&gt;&lt;/titles&gt;&lt;alt-periodical&gt;&lt;full-title&gt;The Medical journal of Australia&lt;/full-title&gt;&lt;/alt-periodical&gt;&lt;pages&gt;502-5&lt;/pages&gt;&lt;volume&gt;184&lt;/volume&gt;&lt;dates&gt;&lt;year&gt;2006&lt;/year&gt;&lt;/dates&gt;&lt;urls&gt;&lt;/urls&gt;&lt;/record&gt;&lt;/Cite&gt;&lt;/EndNote&gt;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(Sanson-Fisher, Campbell, Perkins, Blunden, &amp; Davis, 2006)</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It is therefore critical that future efforts prioritise intervention research to facilitate effective change in models of care and improve post-transplant outcomes for Indigenous patients.  </w:t>
      </w:r>
    </w:p>
    <w:p w14:paraId="43AEFBC1"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One intervention that has been frequently proposed in the setting of care for chronic disease in remote areas is POCT. Actual clinical trials or large-scale reviews to assess the effectiveness of POCT are much less numerous than publications that describe the potential risks associated with POCT, issues with specific tests or with specific devices. A systematic review of current models of POCT in Australia, including the Quality Assurance for Aboriginal and Torres Strait Islander Medical Services Program, State-wide </w:t>
      </w:r>
      <w:proofErr w:type="spellStart"/>
      <w:r w:rsidRPr="009D683D">
        <w:rPr>
          <w:rFonts w:ascii="Calibri" w:eastAsia="Calibri" w:hAnsi="Calibri" w:cs="Times New Roman"/>
          <w:sz w:val="22"/>
        </w:rPr>
        <w:t>i</w:t>
      </w:r>
      <w:proofErr w:type="spellEnd"/>
      <w:r w:rsidRPr="009D683D">
        <w:rPr>
          <w:rFonts w:ascii="Calibri" w:eastAsia="Calibri" w:hAnsi="Calibri" w:cs="Times New Roman"/>
          <w:sz w:val="22"/>
        </w:rPr>
        <w:t xml:space="preserve">-STAT network, and Integrated Cardiovascular Clinical Network SA, should be undertaken to inform the development of new models that are specifically designed to enhance post-transplant pathology testing and the quality of clinical care in remote Indigenous communities. </w:t>
      </w:r>
    </w:p>
    <w:p w14:paraId="2AFCFF12"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Previous research has posited that </w:t>
      </w:r>
      <w:proofErr w:type="spellStart"/>
      <w:r w:rsidRPr="009D683D">
        <w:rPr>
          <w:rFonts w:ascii="Calibri" w:eastAsia="Calibri" w:hAnsi="Calibri" w:cs="Times New Roman"/>
          <w:sz w:val="22"/>
        </w:rPr>
        <w:t>telepharmacy</w:t>
      </w:r>
      <w:proofErr w:type="spellEnd"/>
      <w:r w:rsidRPr="009D683D">
        <w:rPr>
          <w:rFonts w:ascii="Calibri" w:eastAsia="Calibri" w:hAnsi="Calibri" w:cs="Times New Roman"/>
          <w:sz w:val="22"/>
        </w:rPr>
        <w:t xml:space="preserve"> has the potential to improve health outcomes for patients requiring chronic disease management and improve quality of service delivery in the primary care setting, particularly for patients based in rural and remote areas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&lt;EndNote&gt;&lt;Cite&gt;&lt;Author&gt;Johnstone&lt;/Author&gt;&lt;Year&gt;2017&lt;/Year&gt;&lt;RecNum&gt;343&lt;/RecNum&gt;&lt;DisplayText&gt;(Johnstone, 2017)&lt;/DisplayText&gt;&lt;record&gt;&lt;rec-number&gt;343&lt;/rec-number&gt;&lt;foreign-keys&gt;&lt;key app="EN" db-id="ews5ve9enfwav7etdtjvztfdrftvwrf9vrsx" timestamp="1546383986"&gt;343&lt;/key&gt;&lt;/foreign-keys&gt;&lt;ref-type name="Conference Paper"&gt;47&lt;/ref-type&gt;&lt;contributors&gt;&lt;authors&gt;&lt;author&gt;Johnstone, L.&lt;/author&gt;&lt;/authors&gt;&lt;/contributors&gt;&lt;titles&gt;&lt;title&gt;Telepharmacy and chronic kidney disease - a Making Tracks investment strategy&lt;/title&gt;&lt;secondary-title&gt;14th National Rural Health Conference&lt;/secondary-title&gt;&lt;/titles&gt;&lt;dates&gt;&lt;year&gt;2017&lt;/year&gt;&lt;/dates&gt;&lt;pub-location&gt;Cairns, Queensland&lt;/pub-location&gt;&lt;urls&gt;&lt;/urls&gt;&lt;/record&gt;&lt;/Cite&gt;&lt;/EndNote&gt;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(Johnstone, 2017)</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However, while </w:t>
      </w:r>
      <w:proofErr w:type="spellStart"/>
      <w:r w:rsidRPr="009D683D">
        <w:rPr>
          <w:rFonts w:ascii="Calibri" w:eastAsia="Calibri" w:hAnsi="Calibri" w:cs="Times New Roman"/>
          <w:sz w:val="22"/>
        </w:rPr>
        <w:t>telepharmacy</w:t>
      </w:r>
      <w:proofErr w:type="spellEnd"/>
      <w:r w:rsidRPr="009D683D">
        <w:rPr>
          <w:rFonts w:ascii="Calibri" w:eastAsia="Calibri" w:hAnsi="Calibri" w:cs="Times New Roman"/>
          <w:sz w:val="22"/>
        </w:rPr>
        <w:t xml:space="preserve"> offers potential benefits and efficiencies, evidence of its effectiveness and economic impact is far from extensive. Pharmacy regulation laws, operational difficulties, start-up </w:t>
      </w:r>
      <w:r w:rsidRPr="009D683D">
        <w:rPr>
          <w:rFonts w:ascii="Calibri" w:eastAsia="Calibri" w:hAnsi="Calibri" w:cs="Times New Roman"/>
          <w:sz w:val="22"/>
        </w:rPr>
        <w:lastRenderedPageBreak/>
        <w:t xml:space="preserve">costs, data security issues, and patients’ reluctance to use technology all pose significant barriers that may inhibit the successful uptake of </w:t>
      </w:r>
      <w:proofErr w:type="spellStart"/>
      <w:r w:rsidRPr="009D683D">
        <w:rPr>
          <w:rFonts w:ascii="Calibri" w:eastAsia="Calibri" w:hAnsi="Calibri" w:cs="Times New Roman"/>
          <w:sz w:val="22"/>
        </w:rPr>
        <w:t>telepharmacy</w:t>
      </w:r>
      <w:proofErr w:type="spellEnd"/>
      <w:r w:rsidRPr="009D683D">
        <w:rPr>
          <w:rFonts w:ascii="Calibri" w:eastAsia="Calibri" w:hAnsi="Calibri" w:cs="Times New Roman"/>
          <w:sz w:val="22"/>
        </w:rPr>
        <w:t xml:space="preserve"> in remote communities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&lt;EndNote&gt;&lt;Cite&gt;&lt;Author&gt;Poudel&lt;/Author&gt;&lt;Year&gt;2016&lt;/Year&gt;&lt;RecNum&gt;341&lt;/RecNum&gt;&lt;DisplayText&gt;(Poudel &amp;amp; Nissen, 2016)&lt;/DisplayText&gt;&lt;record&gt;&lt;rec-number&gt;341&lt;/rec-number&gt;&lt;foreign-keys&gt;&lt;key app="EN" db-id="ews5ve9enfwav7etdtjvztfdrftvwrf9vrsx" timestamp="1546383781"&gt;341&lt;/key&gt;&lt;/foreign-keys&gt;&lt;ref-type name="Book"&gt;6&lt;/ref-type&gt;&lt;contributors&gt;&lt;authors&gt;&lt;author&gt;Poudel, Arjun.&lt;/author&gt;&lt;author&gt;Nissen, Lisa.&lt;/author&gt;&lt;/authors&gt;&lt;/contributors&gt;&lt;titles&gt;&lt;title&gt;Telepharmacy: a pharmacist’s perspective on the clinical benefits and challenges&lt;/title&gt;&lt;alt-title&gt;Integrated Pharmacy Research and Practice&lt;/alt-title&gt;&lt;/titles&gt;&lt;pages&gt;75-82&lt;/pages&gt;&lt;volume&gt;5&lt;/volume&gt;&lt;dates&gt;&lt;year&gt;2016&lt;/year&gt;&lt;/dates&gt;&lt;urls&gt;&lt;/urls&gt;&lt;electronic-resource-num&gt;10.2147/IPRP.S101685&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(Poudel &amp; Nissen, 2016)</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A rigorous analysis of </w:t>
      </w:r>
      <w:proofErr w:type="spellStart"/>
      <w:r w:rsidRPr="009D683D">
        <w:rPr>
          <w:rFonts w:ascii="Calibri" w:eastAsia="Calibri" w:hAnsi="Calibri" w:cs="Times New Roman"/>
          <w:sz w:val="22"/>
        </w:rPr>
        <w:t>telepharmacy’s</w:t>
      </w:r>
      <w:proofErr w:type="spellEnd"/>
      <w:r w:rsidRPr="009D683D">
        <w:rPr>
          <w:rFonts w:ascii="Calibri" w:eastAsia="Calibri" w:hAnsi="Calibri" w:cs="Times New Roman"/>
          <w:sz w:val="22"/>
        </w:rPr>
        <w:t xml:space="preserve"> pros and cons is needed to justify an extended rollout across rural and remote Australian communities to aid post-transplant medication management. Furthermore, a systematic review or meta-analysis would help to strengthen the </w:t>
      </w:r>
      <w:proofErr w:type="spellStart"/>
      <w:r w:rsidRPr="009D683D">
        <w:rPr>
          <w:rFonts w:ascii="Calibri" w:eastAsia="Calibri" w:hAnsi="Calibri" w:cs="Times New Roman"/>
          <w:sz w:val="22"/>
        </w:rPr>
        <w:t>telepharmacy</w:t>
      </w:r>
      <w:proofErr w:type="spellEnd"/>
      <w:r w:rsidRPr="009D683D">
        <w:rPr>
          <w:rFonts w:ascii="Calibri" w:eastAsia="Calibri" w:hAnsi="Calibri" w:cs="Times New Roman"/>
          <w:sz w:val="22"/>
        </w:rPr>
        <w:t xml:space="preserve"> literature by providing a more precise measurement of </w:t>
      </w:r>
      <w:proofErr w:type="spellStart"/>
      <w:r w:rsidRPr="009D683D">
        <w:rPr>
          <w:rFonts w:ascii="Calibri" w:eastAsia="Calibri" w:hAnsi="Calibri" w:cs="Times New Roman"/>
          <w:sz w:val="22"/>
        </w:rPr>
        <w:t>telepharmacy’s</w:t>
      </w:r>
      <w:proofErr w:type="spellEnd"/>
      <w:r w:rsidRPr="009D683D">
        <w:rPr>
          <w:rFonts w:ascii="Calibri" w:eastAsia="Calibri" w:hAnsi="Calibri" w:cs="Times New Roman"/>
          <w:sz w:val="22"/>
        </w:rPr>
        <w:t xml:space="preserve"> effects (i.e. increased access to pharmacist advice and medicines).</w:t>
      </w:r>
    </w:p>
    <w:p w14:paraId="46D214DA" w14:textId="77777777" w:rsidR="009D683D" w:rsidRPr="009D683D" w:rsidRDefault="009D683D" w:rsidP="009D683D">
      <w:pPr>
        <w:keepNext/>
        <w:keepLines/>
        <w:numPr>
          <w:ilvl w:val="2"/>
          <w:numId w:val="0"/>
        </w:numPr>
        <w:spacing w:before="40" w:after="0"/>
        <w:ind w:left="720" w:hanging="720"/>
        <w:outlineLvl w:val="2"/>
        <w:rPr>
          <w:rFonts w:ascii="Calibri Light" w:eastAsia="Times New Roman" w:hAnsi="Calibri Light" w:cs="Times New Roman"/>
          <w:sz w:val="24"/>
          <w:szCs w:val="24"/>
        </w:rPr>
      </w:pPr>
      <w:bookmarkStart w:id="85" w:name="_Toc2585837"/>
      <w:r w:rsidRPr="009D683D">
        <w:rPr>
          <w:rFonts w:ascii="Calibri Light" w:eastAsia="Times New Roman" w:hAnsi="Calibri Light" w:cs="Times New Roman"/>
          <w:sz w:val="24"/>
          <w:szCs w:val="24"/>
        </w:rPr>
        <w:t>Immunosuppression</w:t>
      </w:r>
      <w:bookmarkEnd w:id="85"/>
    </w:p>
    <w:p w14:paraId="0476DBB2" w14:textId="77777777" w:rsidR="009D683D" w:rsidRPr="009D683D" w:rsidRDefault="009D683D" w:rsidP="009D683D">
      <w:pPr>
        <w:spacing w:line="276" w:lineRule="auto"/>
        <w:jc w:val="both"/>
        <w:rPr>
          <w:rFonts w:ascii="Calibri" w:eastAsia="Calibri" w:hAnsi="Calibri" w:cs="Calibri"/>
          <w:sz w:val="22"/>
        </w:rPr>
      </w:pPr>
      <w:r w:rsidRPr="009D683D">
        <w:rPr>
          <w:rFonts w:ascii="Calibri" w:eastAsia="Calibri" w:hAnsi="Calibri" w:cs="Calibri"/>
          <w:sz w:val="22"/>
        </w:rPr>
        <w:t xml:space="preserve">Despite anecdote and opinion </w:t>
      </w:r>
      <w:r w:rsidRPr="009D683D">
        <w:rPr>
          <w:rFonts w:ascii="Calibri" w:eastAsia="Calibri" w:hAnsi="Calibri" w:cs="Calibri"/>
          <w:sz w:val="22"/>
        </w:rPr>
        <w:fldChar w:fldCharType="begin">
          <w:fldData xml:space="preserve">PEVuZE5vdGU+PENpdGU+PEF1dGhvcj5BbmRlcnNvbjwvQXV0aG9yPjxZZWFyPjIwMTI8L1llYXI+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</w:fldData>
        </w:fldChar>
      </w:r>
      <w:r w:rsidRPr="009D683D">
        <w:rPr>
          <w:rFonts w:ascii="Calibri" w:eastAsia="Calibri" w:hAnsi="Calibri" w:cs="Calibri"/>
          <w:sz w:val="22"/>
        </w:rPr>
        <w:instrText xml:space="preserve"> ADDIN EN.CITE </w:instrText>
      </w:r>
      <w:r w:rsidRPr="009D683D">
        <w:rPr>
          <w:rFonts w:ascii="Calibri" w:eastAsia="Calibri" w:hAnsi="Calibri" w:cs="Calibri"/>
          <w:sz w:val="22"/>
        </w:rPr>
        <w:fldChar w:fldCharType="begin">
          <w:fldData xml:space="preserve">PEVuZE5vdGU+PENpdGU+PEF1dGhvcj5BbmRlcnNvbjwvQXV0aG9yPjxZZWFyPjIwMTI8L1llYXI+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</w:fldData>
        </w:fldChar>
      </w:r>
      <w:r w:rsidRPr="009D683D">
        <w:rPr>
          <w:rFonts w:ascii="Calibri" w:eastAsia="Calibri" w:hAnsi="Calibri" w:cs="Calibri"/>
          <w:sz w:val="22"/>
        </w:rPr>
        <w:instrText xml:space="preserve"> ADDIN EN.CITE.DATA </w:instrText>
      </w:r>
      <w:r w:rsidRPr="009D683D">
        <w:rPr>
          <w:rFonts w:ascii="Calibri" w:eastAsia="Calibri" w:hAnsi="Calibri" w:cs="Calibri"/>
          <w:sz w:val="22"/>
        </w:rPr>
      </w:r>
      <w:r w:rsidRPr="009D683D">
        <w:rPr>
          <w:rFonts w:ascii="Calibri" w:eastAsia="Calibri" w:hAnsi="Calibri" w:cs="Calibri"/>
          <w:sz w:val="22"/>
        </w:rPr>
        <w:fldChar w:fldCharType="end"/>
      </w:r>
      <w:r w:rsidRPr="009D683D">
        <w:rPr>
          <w:rFonts w:ascii="Calibri" w:eastAsia="Calibri" w:hAnsi="Calibri" w:cs="Calibri"/>
          <w:sz w:val="22"/>
        </w:rPr>
      </w:r>
      <w:r w:rsidRPr="009D683D">
        <w:rPr>
          <w:rFonts w:ascii="Calibri" w:eastAsia="Calibri" w:hAnsi="Calibri" w:cs="Calibri"/>
          <w:sz w:val="22"/>
        </w:rPr>
        <w:fldChar w:fldCharType="separate"/>
      </w:r>
      <w:r w:rsidRPr="009D683D">
        <w:rPr>
          <w:rFonts w:ascii="Calibri" w:eastAsia="Calibri" w:hAnsi="Calibri" w:cs="Calibri"/>
          <w:noProof/>
          <w:sz w:val="22"/>
        </w:rPr>
        <w:t>(Anderson, Devitt, et al., 2012)</w:t>
      </w:r>
      <w:r w:rsidRPr="009D683D">
        <w:rPr>
          <w:rFonts w:ascii="Calibri" w:eastAsia="Calibri" w:hAnsi="Calibri" w:cs="Calibri"/>
          <w:sz w:val="22"/>
        </w:rPr>
        <w:fldChar w:fldCharType="end"/>
      </w:r>
      <w:r w:rsidRPr="009D683D">
        <w:rPr>
          <w:rFonts w:ascii="Calibri" w:eastAsia="Calibri" w:hAnsi="Calibri" w:cs="Calibri"/>
          <w:sz w:val="22"/>
        </w:rPr>
        <w:t xml:space="preserve">, there is a paucity of data that accurately identifies rates and causes of nonadherence in Indigenous kidney transplant recipients. Therefore, the role nonadherence plays in poor health outcomes in Indigenous recipients remains largely unknown although often debated. Similarly, while past research has advocated for a range of targeted adherence support strategies for Indigenous Australians, the efficacy of these strategies has not been evaluated. Additional evidence on the activities that effectively support Indigenous Australians requiring long-term medication, including immunosuppressant drugs, is needed to aid the development and implementation of culturally appropriate adherence education and support resources. </w:t>
      </w:r>
    </w:p>
    <w:p w14:paraId="5ED6EFBD"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There is evidence in the general population that once-daily medication dosing is associated with better uptake and adherence.  The use of this strategy post-transplantation is erratic, and there is no current evidence about the best implementation approach. While prolonged-release tacrolimus has demonstrated good efficacy and tolerability in clinical studies, adherence data after conversion from immediate-release tacrolimus are limited in kidney transplant patients, and no studies have specifically investigated its impact in the Indigenous patient population. These knowledge gaps also apply to novel approaches, such as immunosuppressive agents that require intermittent administration from a clinic base (i.e. </w:t>
      </w:r>
      <w:proofErr w:type="spellStart"/>
      <w:r w:rsidRPr="009D683D">
        <w:rPr>
          <w:rFonts w:ascii="Calibri" w:eastAsia="Calibri" w:hAnsi="Calibri" w:cs="Times New Roman"/>
          <w:sz w:val="22"/>
        </w:rPr>
        <w:t>belatacept</w:t>
      </w:r>
      <w:proofErr w:type="spellEnd"/>
      <w:r w:rsidRPr="009D683D">
        <w:rPr>
          <w:rFonts w:ascii="Calibri" w:eastAsia="Calibri" w:hAnsi="Calibri" w:cs="Times New Roman"/>
          <w:sz w:val="22"/>
        </w:rPr>
        <w:t xml:space="preserve">). </w:t>
      </w:r>
    </w:p>
    <w:p w14:paraId="76B808B6" w14:textId="77777777" w:rsidR="009D683D" w:rsidRPr="009D683D" w:rsidRDefault="009D683D" w:rsidP="009D683D">
      <w:pPr>
        <w:spacing w:line="276" w:lineRule="auto"/>
        <w:jc w:val="both"/>
        <w:rPr>
          <w:rFonts w:ascii="Calibri" w:eastAsia="Calibri" w:hAnsi="Calibri" w:cs="Calibri"/>
          <w:sz w:val="22"/>
        </w:rPr>
      </w:pPr>
      <w:r w:rsidRPr="009D683D">
        <w:rPr>
          <w:rFonts w:ascii="Calibri" w:eastAsia="Calibri" w:hAnsi="Calibri" w:cs="Calibri"/>
          <w:sz w:val="22"/>
        </w:rPr>
        <w:t xml:space="preserve">Previous research has found that Indigenous kidney transplant recipients suffer poorer post-transplant outcomes compared to non-Indigenous recipients, driven in large part by higher rates of infective complications. Although this observation supports the development of tailored immunosuppressive regimens for this patient population, in current clinical practice Indigenous patients are still treated with similar immunosuppressive protocols, at similar doses and target concentrations to those administered to non-Indigenous patients. It is critical that future research comprehensively assess Indigenous Australians’ immunosuppression burden through pharmacokinetic and pharmacogenetic profiling to facilitate the development of tailored immunosuppressive protocols for this cohort. </w:t>
      </w:r>
    </w:p>
    <w:p w14:paraId="0D333345" w14:textId="77777777" w:rsidR="009D683D" w:rsidRPr="009D683D" w:rsidRDefault="009D683D" w:rsidP="009D683D">
      <w:pPr>
        <w:keepNext/>
        <w:keepLines/>
        <w:numPr>
          <w:ilvl w:val="2"/>
          <w:numId w:val="0"/>
        </w:numPr>
        <w:spacing w:before="40" w:after="0"/>
        <w:ind w:left="720" w:hanging="720"/>
        <w:outlineLvl w:val="2"/>
        <w:rPr>
          <w:rFonts w:ascii="Calibri Light" w:eastAsia="Times New Roman" w:hAnsi="Calibri Light" w:cs="Times New Roman"/>
          <w:sz w:val="24"/>
          <w:szCs w:val="24"/>
        </w:rPr>
      </w:pPr>
      <w:bookmarkStart w:id="86" w:name="_Toc2585838"/>
      <w:r w:rsidRPr="009D683D">
        <w:rPr>
          <w:rFonts w:ascii="Calibri Light" w:eastAsia="Times New Roman" w:hAnsi="Calibri Light" w:cs="Times New Roman"/>
          <w:sz w:val="24"/>
          <w:szCs w:val="24"/>
        </w:rPr>
        <w:t>Infective Prophylaxis</w:t>
      </w:r>
      <w:bookmarkEnd w:id="86"/>
    </w:p>
    <w:p w14:paraId="00428901"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Previous studies have demonstrated that Indigenous Australians suffer markedly higher rates of morbidity and mortality due to infective causes, however, the scope of these studies was limited to two individual jurisdictions (i.e. exclusively analysing patients from the Northern Territory and Western Australia). It is important that future work involves a nationwide exploration of the antecedents to serious infection in Indigenous kidney transplant patients, including an analysis of jurisdictional and regional differences, to enable the introduction of regionally specific infective prophylaxis strategies in Australian </w:t>
      </w:r>
      <w:proofErr w:type="spellStart"/>
      <w:r w:rsidRPr="009D683D">
        <w:rPr>
          <w:rFonts w:ascii="Calibri" w:eastAsia="Calibri" w:hAnsi="Calibri" w:cs="Times New Roman"/>
          <w:sz w:val="22"/>
        </w:rPr>
        <w:t>renal</w:t>
      </w:r>
      <w:proofErr w:type="spellEnd"/>
      <w:r w:rsidRPr="009D683D">
        <w:rPr>
          <w:rFonts w:ascii="Calibri" w:eastAsia="Calibri" w:hAnsi="Calibri" w:cs="Times New Roman"/>
          <w:sz w:val="22"/>
        </w:rPr>
        <w:t xml:space="preserve"> units. The establishment of a national prophylactic protocol </w:t>
      </w:r>
      <w:r w:rsidRPr="009D683D">
        <w:rPr>
          <w:rFonts w:ascii="Calibri" w:eastAsia="Calibri" w:hAnsi="Calibri" w:cs="Times New Roman"/>
          <w:sz w:val="22"/>
        </w:rPr>
        <w:lastRenderedPageBreak/>
        <w:t xml:space="preserve">for Indigenous kidney transplant recipients is also critical to improve consistency of care across jurisdictions and aid coordination between </w:t>
      </w:r>
      <w:proofErr w:type="spellStart"/>
      <w:r w:rsidRPr="009D683D">
        <w:rPr>
          <w:rFonts w:ascii="Calibri" w:eastAsia="Calibri" w:hAnsi="Calibri" w:cs="Times New Roman"/>
          <w:sz w:val="22"/>
        </w:rPr>
        <w:t>renal</w:t>
      </w:r>
      <w:proofErr w:type="spellEnd"/>
      <w:r w:rsidRPr="009D683D">
        <w:rPr>
          <w:rFonts w:ascii="Calibri" w:eastAsia="Calibri" w:hAnsi="Calibri" w:cs="Times New Roman"/>
          <w:sz w:val="22"/>
        </w:rPr>
        <w:t xml:space="preserve"> units and primary care providers.   </w:t>
      </w:r>
    </w:p>
    <w:p w14:paraId="138EA1EA"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While a range of social and environmental factors have been theorised to promote infection risk in Indigenous recipients, particularly those returning to a rural or remote community, few studies have explored this association in depth. Future research should seek to identify the specific challenges that pose a risk to the health of Indigenous transplant recipients and evaluate the efficacy of initiatives and modifications that target either behaviour or the environment.  A greater focus on Indigenous patients’ health literacy is also critical to reduce the disparity in post-transplant outcomes. The development and evaluation of culturally informed and region-specific patient education programs and practices is needed to ensure Indigenous transplant recipients fully understand post-transplant care recommendations and relevant maintenance responsibilities. Evaluation of region-specific programs could then serve to inform the establishment of national guidelines for Indigenous patient education. </w:t>
      </w:r>
    </w:p>
    <w:p w14:paraId="61E64A7A"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For all transplant recipients, various methods to prevent infection post-transplantation are in use. However, little is known about the efficacy of various prophylaxis approaches among the Indigenous kidney transplant recipient cohort. Gaps include: pre-transplant screening and vaccination measures; environmental initiatives, such as educating patients about the importance of sanitation and good dietary habits; and the best peri- and post-transplant antimicrobial regimes to prevent the manifestation of common bacterial, fungal and viral infections (such as CMV). The identification and ongoing monitoring of key data points, including baseline immunological screening, post-transplant hospitalisations and active infections, is needed to determine the success of infective prophylaxis protocols, particularly those that are tailored for Indigenous kidney transplant recipients. </w:t>
      </w:r>
    </w:p>
    <w:bookmarkStart w:id="87" w:name="_Toc2585839"/>
    <w:p w14:paraId="70284FB4" w14:textId="77777777" w:rsidR="0055104B" w:rsidRDefault="009D683D" w:rsidP="009D683D">
      <w:pPr>
        <w:keepNext/>
        <w:keepLines/>
        <w:numPr>
          <w:ilvl w:val="1"/>
          <w:numId w:val="0"/>
        </w:numPr>
        <w:spacing w:before="40" w:after="0"/>
        <w:ind w:left="576" w:hanging="576"/>
        <w:outlineLvl w:val="1"/>
        <w:rPr>
          <w:rFonts w:ascii="Calibri Light" w:eastAsia="Times New Roman" w:hAnsi="Calibri Light" w:cs="Times New Roman"/>
          <w:sz w:val="26"/>
          <w:szCs w:val="26"/>
        </w:rPr>
      </w:pPr>
      <w:r w:rsidRPr="009D683D">
        <w:rPr>
          <w:rFonts w:ascii="Calibri Light" w:eastAsia="Times New Roman" w:hAnsi="Calibri Light" w:cs="Times New Roman"/>
          <w:noProof/>
          <w:sz w:val="26"/>
          <w:szCs w:val="26"/>
          <w:lang w:eastAsia="en-AU"/>
        </w:rPr>
        <w:lastRenderedPageBreak/>
        <mc:AlternateContent>
          <mc:Choice Requires="wps">
            <w:drawing>
              <wp:inline distT="0" distB="0" distL="0" distR="0" wp14:anchorId="6AF6964D" wp14:editId="47F23E2D">
                <wp:extent cx="5705475" cy="6612467"/>
                <wp:effectExtent l="0" t="0" r="28575" b="1714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612467"/>
                        </a:xfrm>
                        <a:prstGeom prst="rect">
                          <a:avLst/>
                        </a:prstGeom>
                        <a:solidFill>
                          <a:srgbClr val="70AD47">
                            <a:lumMod val="20000"/>
                            <a:lumOff val="80000"/>
                          </a:srgbClr>
                        </a:solidFill>
                        <a:ln w="9525">
                          <a:solidFill>
                            <a:srgbClr val="000000"/>
                          </a:solidFill>
                          <a:miter lim="800000"/>
                          <a:headEnd/>
                          <a:tailEnd/>
                        </a:ln>
                        <a:effectLst/>
                      </wps:spPr>
                      <wps:txbx>
                        <w:txbxContent>
                          <w:p w14:paraId="50CDBE31" w14:textId="77777777" w:rsidR="00A41391" w:rsidRPr="004C426E" w:rsidRDefault="00A41391" w:rsidP="009D683D">
                            <w:pPr>
                              <w:spacing w:line="276" w:lineRule="auto"/>
                              <w:jc w:val="both"/>
                              <w:rPr>
                                <w:b/>
                                <w:sz w:val="24"/>
                              </w:rPr>
                            </w:pPr>
                            <w:bookmarkStart w:id="88" w:name="_Hlk535320845"/>
                            <w:r w:rsidRPr="004C426E">
                              <w:rPr>
                                <w:b/>
                                <w:sz w:val="24"/>
                              </w:rPr>
                              <w:t>Box 1</w:t>
                            </w:r>
                            <w:r>
                              <w:rPr>
                                <w:b/>
                                <w:sz w:val="24"/>
                              </w:rPr>
                              <w:t>6</w:t>
                            </w:r>
                            <w:r w:rsidRPr="004C426E">
                              <w:rPr>
                                <w:b/>
                                <w:sz w:val="24"/>
                              </w:rPr>
                              <w:t>: Summary of recommendations</w:t>
                            </w:r>
                          </w:p>
                          <w:bookmarkEnd w:id="88"/>
                          <w:p w14:paraId="000642F5" w14:textId="77777777" w:rsidR="00A41391" w:rsidRPr="009D683D" w:rsidRDefault="00A41391" w:rsidP="009D683D">
                            <w:pPr>
                              <w:spacing w:after="0"/>
                              <w:jc w:val="both"/>
                              <w:rPr>
                                <w:rFonts w:cs="Calibri"/>
                                <w:b/>
                              </w:rPr>
                            </w:pPr>
                            <w:r w:rsidRPr="009D683D">
                              <w:rPr>
                                <w:rFonts w:cs="Calibri"/>
                                <w:b/>
                              </w:rPr>
                              <w:t>Consumer Engagement and Education</w:t>
                            </w:r>
                          </w:p>
                          <w:p w14:paraId="0B436CBA" w14:textId="77777777" w:rsidR="00A41391" w:rsidRDefault="00A41391" w:rsidP="00782640">
                            <w:pPr>
                              <w:pStyle w:val="ListParagraph"/>
                              <w:numPr>
                                <w:ilvl w:val="0"/>
                                <w:numId w:val="88"/>
                              </w:numPr>
                              <w:spacing w:line="276" w:lineRule="auto"/>
                              <w:jc w:val="both"/>
                            </w:pPr>
                            <w:r w:rsidRPr="00DA4BC1">
                              <w:t>Pilot culturally informed transplant education interventions, including culturally tailored immunosuppression adherence education videos.</w:t>
                            </w:r>
                          </w:p>
                          <w:p w14:paraId="34AEC622" w14:textId="77777777" w:rsidR="00A41391" w:rsidRPr="009D683D" w:rsidRDefault="00A41391" w:rsidP="009D683D">
                            <w:pPr>
                              <w:spacing w:after="0"/>
                              <w:jc w:val="both"/>
                              <w:rPr>
                                <w:rFonts w:cs="Calibri"/>
                                <w:b/>
                              </w:rPr>
                            </w:pPr>
                            <w:r w:rsidRPr="009D683D">
                              <w:rPr>
                                <w:rFonts w:cs="Calibri"/>
                                <w:b/>
                              </w:rPr>
                              <w:t>Improving Equity and Access to Transplant Services</w:t>
                            </w:r>
                          </w:p>
                          <w:p w14:paraId="2FF3CE14" w14:textId="77777777" w:rsidR="00A41391" w:rsidRPr="00DA4BC1" w:rsidRDefault="00A41391" w:rsidP="00782640">
                            <w:pPr>
                              <w:pStyle w:val="ListParagraph"/>
                              <w:numPr>
                                <w:ilvl w:val="0"/>
                                <w:numId w:val="88"/>
                              </w:numPr>
                              <w:spacing w:after="0" w:line="276" w:lineRule="auto"/>
                              <w:jc w:val="both"/>
                            </w:pPr>
                            <w:r w:rsidRPr="00DA4BC1">
                              <w:t>Trial a multidisciplinary post-transplant clinic in one major regional centre for 12 months, prioritising the availability of dental and cardiac services, as well as travel and accommodation support for rural and remote patients.</w:t>
                            </w:r>
                          </w:p>
                          <w:p w14:paraId="3735A0B8" w14:textId="77777777" w:rsidR="00A41391" w:rsidRPr="00DA4BC1" w:rsidRDefault="00A41391" w:rsidP="00782640">
                            <w:pPr>
                              <w:pStyle w:val="ListParagraph"/>
                              <w:numPr>
                                <w:ilvl w:val="0"/>
                                <w:numId w:val="88"/>
                              </w:numPr>
                              <w:spacing w:after="0" w:line="276" w:lineRule="auto"/>
                              <w:jc w:val="both"/>
                            </w:pPr>
                            <w:r w:rsidRPr="00DA4BC1">
                              <w:t xml:space="preserve">Conduct a study on transplant models of care to quantify the costs for rural and remote Indigenous patients to inform the development of a needs-based funding model. </w:t>
                            </w:r>
                          </w:p>
                          <w:p w14:paraId="1F638950" w14:textId="77777777" w:rsidR="00A41391" w:rsidRPr="00DA4BC1" w:rsidRDefault="00A41391" w:rsidP="00782640">
                            <w:pPr>
                              <w:pStyle w:val="ListParagraph"/>
                              <w:numPr>
                                <w:ilvl w:val="0"/>
                                <w:numId w:val="88"/>
                              </w:numPr>
                              <w:spacing w:after="0" w:line="276" w:lineRule="auto"/>
                              <w:jc w:val="both"/>
                            </w:pPr>
                            <w:r w:rsidRPr="00DA4BC1">
                              <w:t>Undertake a systematic review of Australian POCT models to guide the development of a post-transplant care POCT program, comprising new POCT measures that enable the monitoring of renal function and immunosuppressive drug levels in kidney transplant recipients.</w:t>
                            </w:r>
                          </w:p>
                          <w:p w14:paraId="48978D11" w14:textId="77777777" w:rsidR="00A41391" w:rsidRPr="00DA4BC1" w:rsidRDefault="00A41391" w:rsidP="00782640">
                            <w:pPr>
                              <w:pStyle w:val="ListParagraph"/>
                              <w:numPr>
                                <w:ilvl w:val="0"/>
                                <w:numId w:val="88"/>
                              </w:numPr>
                              <w:spacing w:after="0" w:line="276" w:lineRule="auto"/>
                              <w:jc w:val="both"/>
                            </w:pPr>
                            <w:r w:rsidRPr="00DA4BC1">
                              <w:t xml:space="preserve">Subsidise POCT tests that have been validated by empirical evidence. </w:t>
                            </w:r>
                          </w:p>
                          <w:p w14:paraId="790B9831" w14:textId="77777777" w:rsidR="00A41391" w:rsidRPr="00DA4BC1" w:rsidRDefault="00A41391" w:rsidP="00782640">
                            <w:pPr>
                              <w:pStyle w:val="ListParagraph"/>
                              <w:numPr>
                                <w:ilvl w:val="0"/>
                                <w:numId w:val="88"/>
                              </w:numPr>
                              <w:spacing w:after="0" w:line="276" w:lineRule="auto"/>
                              <w:jc w:val="both"/>
                            </w:pPr>
                            <w:r w:rsidRPr="00DA4BC1">
                              <w:t>Investigate the value of telenephrology and telepharmacy programs for kidney transplant recipients living in rural and regional areas.</w:t>
                            </w:r>
                          </w:p>
                          <w:p w14:paraId="4CDA99E5" w14:textId="77777777" w:rsidR="00A41391" w:rsidRPr="00DA4BC1" w:rsidRDefault="00A41391" w:rsidP="00782640">
                            <w:pPr>
                              <w:pStyle w:val="ListParagraph"/>
                              <w:numPr>
                                <w:ilvl w:val="0"/>
                                <w:numId w:val="88"/>
                              </w:numPr>
                              <w:spacing w:after="0" w:line="276" w:lineRule="auto"/>
                              <w:jc w:val="both"/>
                            </w:pPr>
                            <w:r w:rsidRPr="00DA4BC1">
                              <w:t>Design and implement a remote community pharmacist trial to facilitate improved awareness and knowledge of transplant related maintenance requirements among Indigenous kidney transplant candidates and recipients.</w:t>
                            </w:r>
                          </w:p>
                          <w:p w14:paraId="794EB709" w14:textId="77777777" w:rsidR="00A41391" w:rsidRPr="00DA4BC1" w:rsidRDefault="00A41391" w:rsidP="00782640">
                            <w:pPr>
                              <w:pStyle w:val="ListParagraph"/>
                              <w:numPr>
                                <w:ilvl w:val="0"/>
                                <w:numId w:val="88"/>
                              </w:numPr>
                              <w:spacing w:after="0" w:line="276" w:lineRule="auto"/>
                              <w:jc w:val="both"/>
                            </w:pPr>
                            <w:r w:rsidRPr="00DA4BC1">
                              <w:t xml:space="preserve">Subsidise clinical pharmacy outpatient consults for Indigenous transplant recipients. </w:t>
                            </w:r>
                          </w:p>
                          <w:p w14:paraId="5BD0D419" w14:textId="77777777" w:rsidR="00A41391" w:rsidRPr="00DA4BC1" w:rsidRDefault="00A41391" w:rsidP="00782640">
                            <w:pPr>
                              <w:pStyle w:val="ListParagraph"/>
                              <w:numPr>
                                <w:ilvl w:val="0"/>
                                <w:numId w:val="88"/>
                              </w:numPr>
                              <w:spacing w:after="0" w:line="276" w:lineRule="auto"/>
                              <w:jc w:val="both"/>
                            </w:pPr>
                            <w:r w:rsidRPr="00DA4BC1">
                              <w:t>Broaden the list of eligible prescribers for the Closing the Gap (CTG) PBS Co-payment Measure to include transplant centres.</w:t>
                            </w:r>
                          </w:p>
                          <w:p w14:paraId="7565986C" w14:textId="77777777" w:rsidR="00A41391" w:rsidRPr="009D683D" w:rsidRDefault="00A41391" w:rsidP="009D683D">
                            <w:pPr>
                              <w:spacing w:after="40" w:line="276" w:lineRule="auto"/>
                              <w:jc w:val="both"/>
                              <w:rPr>
                                <w:rFonts w:cs="Calibri"/>
                                <w:b/>
                                <w:sz w:val="2"/>
                              </w:rPr>
                            </w:pPr>
                          </w:p>
                          <w:p w14:paraId="5595632A" w14:textId="77777777" w:rsidR="00A41391" w:rsidRPr="009D683D" w:rsidRDefault="00A41391" w:rsidP="009D683D">
                            <w:pPr>
                              <w:spacing w:after="40" w:line="276" w:lineRule="auto"/>
                              <w:jc w:val="both"/>
                              <w:rPr>
                                <w:rFonts w:cs="Calibri"/>
                                <w:b/>
                              </w:rPr>
                            </w:pPr>
                            <w:r w:rsidRPr="009D683D">
                              <w:rPr>
                                <w:rFonts w:cs="Calibri"/>
                                <w:b/>
                              </w:rPr>
                              <w:t>Researching, Developing and Implementing Clinical Guidelines and Protocols</w:t>
                            </w:r>
                          </w:p>
                          <w:p w14:paraId="5F0A2CE1" w14:textId="77777777" w:rsidR="00A41391" w:rsidRDefault="00A41391" w:rsidP="00782640">
                            <w:pPr>
                              <w:pStyle w:val="ListParagraph"/>
                              <w:numPr>
                                <w:ilvl w:val="0"/>
                                <w:numId w:val="88"/>
                              </w:numPr>
                              <w:spacing w:line="276" w:lineRule="auto"/>
                              <w:jc w:val="both"/>
                            </w:pPr>
                            <w:r w:rsidRPr="00DA4BC1">
                              <w:t>Establish a national dose administration aid protocol and a consistent format for drug information.</w:t>
                            </w:r>
                          </w:p>
                          <w:p w14:paraId="24689FC9" w14:textId="77777777" w:rsidR="00A41391" w:rsidRPr="00DA4BC1" w:rsidRDefault="00A41391" w:rsidP="00782640">
                            <w:pPr>
                              <w:pStyle w:val="ListParagraph"/>
                              <w:numPr>
                                <w:ilvl w:val="0"/>
                                <w:numId w:val="88"/>
                              </w:numPr>
                              <w:spacing w:after="0" w:line="276" w:lineRule="auto"/>
                              <w:jc w:val="both"/>
                            </w:pPr>
                            <w:r w:rsidRPr="00DA4BC1">
                              <w:t>Implement and evaluate novel, long acting immunosuppressive agents in Indigenous transplant recipients.</w:t>
                            </w:r>
                          </w:p>
                          <w:p w14:paraId="5CC6B903" w14:textId="77777777" w:rsidR="00A41391" w:rsidRPr="00DA4BC1" w:rsidRDefault="00A41391" w:rsidP="00782640">
                            <w:pPr>
                              <w:pStyle w:val="ListParagraph"/>
                              <w:numPr>
                                <w:ilvl w:val="0"/>
                                <w:numId w:val="88"/>
                              </w:numPr>
                              <w:spacing w:after="0" w:line="276" w:lineRule="auto"/>
                              <w:jc w:val="both"/>
                            </w:pPr>
                            <w:r w:rsidRPr="00DA4BC1">
                              <w:t>Adopt prolonged-release tacrolimus-based regimens in immunosuppressive protocols.</w:t>
                            </w:r>
                          </w:p>
                          <w:p w14:paraId="4EB47D82" w14:textId="77777777" w:rsidR="00A41391" w:rsidRPr="00DA4BC1" w:rsidRDefault="00A41391" w:rsidP="00782640">
                            <w:pPr>
                              <w:pStyle w:val="ListParagraph"/>
                              <w:numPr>
                                <w:ilvl w:val="0"/>
                                <w:numId w:val="88"/>
                              </w:numPr>
                              <w:spacing w:after="0" w:line="276" w:lineRule="auto"/>
                              <w:jc w:val="both"/>
                            </w:pPr>
                            <w:r w:rsidRPr="00DA4BC1">
                              <w:t>Revise immunosuppressive protocols based on relevant findings from the</w:t>
                            </w:r>
                            <w:r>
                              <w:t xml:space="preserve"> pharmacokinetic study of immunosuppressives in Indigenous transplant recipients.</w:t>
                            </w:r>
                          </w:p>
                          <w:p w14:paraId="7D3FC0C2" w14:textId="77777777" w:rsidR="00A41391" w:rsidRPr="00DA4BC1" w:rsidRDefault="00A41391" w:rsidP="00782640">
                            <w:pPr>
                              <w:pStyle w:val="ListParagraph"/>
                              <w:numPr>
                                <w:ilvl w:val="0"/>
                                <w:numId w:val="88"/>
                              </w:numPr>
                              <w:spacing w:after="0" w:line="276" w:lineRule="auto"/>
                              <w:jc w:val="both"/>
                            </w:pPr>
                            <w:r w:rsidRPr="00DA4BC1">
                              <w:t xml:space="preserve">Design and undertake research projects to identify the antecedents to infective episodes. </w:t>
                            </w:r>
                          </w:p>
                          <w:p w14:paraId="11D2DF32" w14:textId="77777777" w:rsidR="00A41391" w:rsidRPr="00DA4BC1" w:rsidRDefault="00A41391" w:rsidP="00782640">
                            <w:pPr>
                              <w:pStyle w:val="ListParagraph"/>
                              <w:numPr>
                                <w:ilvl w:val="0"/>
                                <w:numId w:val="88"/>
                              </w:numPr>
                              <w:spacing w:after="0" w:line="276" w:lineRule="auto"/>
                              <w:jc w:val="both"/>
                            </w:pPr>
                            <w:r w:rsidRPr="00DA4BC1">
                              <w:t xml:space="preserve">Test and evaluate novel infective prophylaxis interventions for Indigenous transplant recipients. </w:t>
                            </w:r>
                          </w:p>
                          <w:p w14:paraId="61C9396F" w14:textId="77777777" w:rsidR="00A41391" w:rsidRPr="00DA4BC1" w:rsidRDefault="00A41391" w:rsidP="00782640">
                            <w:pPr>
                              <w:pStyle w:val="ListParagraph"/>
                              <w:numPr>
                                <w:ilvl w:val="0"/>
                                <w:numId w:val="88"/>
                              </w:numPr>
                              <w:spacing w:after="0" w:line="276" w:lineRule="auto"/>
                              <w:jc w:val="both"/>
                            </w:pPr>
                            <w:r w:rsidRPr="00DA4BC1">
                              <w:t>Adopt coordinated, nationally consistent clinical data collection, analysis and reporting protocols of infective complications across renal units.</w:t>
                            </w:r>
                          </w:p>
                          <w:p w14:paraId="567B6FDB" w14:textId="595FF9B1" w:rsidR="00A41391" w:rsidRPr="0055104B" w:rsidRDefault="00A41391" w:rsidP="0055104B">
                            <w:pPr>
                              <w:pStyle w:val="ListParagraph"/>
                              <w:numPr>
                                <w:ilvl w:val="0"/>
                                <w:numId w:val="88"/>
                              </w:numPr>
                              <w:spacing w:after="0" w:line="276" w:lineRule="auto"/>
                              <w:jc w:val="both"/>
                            </w:pPr>
                            <w:r w:rsidRPr="00DA4BC1">
                              <w:t>Implement a tailored prophylactic protocol for Indigenous transplant recipients.</w:t>
                            </w:r>
                          </w:p>
                        </w:txbxContent>
                      </wps:txbx>
                      <wps:bodyPr rot="0" vert="horz" wrap="square" lIns="91440" tIns="45720" rIns="91440" bIns="45720" anchor="t" anchorCtr="0">
                        <a:noAutofit/>
                      </wps:bodyPr>
                    </wps:wsp>
                  </a:graphicData>
                </a:graphic>
              </wp:inline>
            </w:drawing>
          </mc:Choice>
          <mc:Fallback>
            <w:pict>
              <v:shape w14:anchorId="6AF6964D" id="_x0000_s1044" type="#_x0000_t202" style="width:449.25pt;height:5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" fillcolor="#e2f0d9">
                <v:textbox>
                  <w:txbxContent>
                    <w:p w14:paraId="50CDBE31" w14:textId="77777777" w:rsidR="00A41391" w:rsidRPr="004C426E" w:rsidRDefault="00A41391" w:rsidP="009D683D">
                      <w:pPr>
                        <w:spacing w:line="276" w:lineRule="auto"/>
                        <w:jc w:val="both"/>
                        <w:rPr>
                          <w:b/>
                          <w:sz w:val="24"/>
                        </w:rPr>
                      </w:pPr>
                      <w:bookmarkStart w:id="95" w:name="_Hlk535320845"/>
                      <w:r w:rsidRPr="004C426E">
                        <w:rPr>
                          <w:b/>
                          <w:sz w:val="24"/>
                        </w:rPr>
                        <w:t>Box 1</w:t>
                      </w:r>
                      <w:r>
                        <w:rPr>
                          <w:b/>
                          <w:sz w:val="24"/>
                        </w:rPr>
                        <w:t>6</w:t>
                      </w:r>
                      <w:r w:rsidRPr="004C426E">
                        <w:rPr>
                          <w:b/>
                          <w:sz w:val="24"/>
                        </w:rPr>
                        <w:t>: Summary of recommendations</w:t>
                      </w:r>
                    </w:p>
                    <w:bookmarkEnd w:id="95"/>
                    <w:p w14:paraId="000642F5" w14:textId="77777777" w:rsidR="00A41391" w:rsidRPr="009D683D" w:rsidRDefault="00A41391" w:rsidP="009D683D">
                      <w:pPr>
                        <w:spacing w:after="0"/>
                        <w:jc w:val="both"/>
                        <w:rPr>
                          <w:rFonts w:cs="Calibri"/>
                          <w:b/>
                        </w:rPr>
                      </w:pPr>
                      <w:r w:rsidRPr="009D683D">
                        <w:rPr>
                          <w:rFonts w:cs="Calibri"/>
                          <w:b/>
                        </w:rPr>
                        <w:t>Consumer Engagement and Education</w:t>
                      </w:r>
                    </w:p>
                    <w:p w14:paraId="0B436CBA" w14:textId="77777777" w:rsidR="00A41391" w:rsidRDefault="00A41391" w:rsidP="00782640">
                      <w:pPr>
                        <w:pStyle w:val="ListParagraph"/>
                        <w:numPr>
                          <w:ilvl w:val="0"/>
                          <w:numId w:val="88"/>
                        </w:numPr>
                        <w:spacing w:line="276" w:lineRule="auto"/>
                        <w:jc w:val="both"/>
                      </w:pPr>
                      <w:r w:rsidRPr="00DA4BC1">
                        <w:t>Pilot culturally informed transplant education interventions, including culturally tailored immunosuppression adherence education videos.</w:t>
                      </w:r>
                    </w:p>
                    <w:p w14:paraId="34AEC622" w14:textId="77777777" w:rsidR="00A41391" w:rsidRPr="009D683D" w:rsidRDefault="00A41391" w:rsidP="009D683D">
                      <w:pPr>
                        <w:spacing w:after="0"/>
                        <w:jc w:val="both"/>
                        <w:rPr>
                          <w:rFonts w:cs="Calibri"/>
                          <w:b/>
                        </w:rPr>
                      </w:pPr>
                      <w:r w:rsidRPr="009D683D">
                        <w:rPr>
                          <w:rFonts w:cs="Calibri"/>
                          <w:b/>
                        </w:rPr>
                        <w:t>Improving Equity and Access to Transplant Services</w:t>
                      </w:r>
                    </w:p>
                    <w:p w14:paraId="2FF3CE14" w14:textId="77777777" w:rsidR="00A41391" w:rsidRPr="00DA4BC1" w:rsidRDefault="00A41391" w:rsidP="00782640">
                      <w:pPr>
                        <w:pStyle w:val="ListParagraph"/>
                        <w:numPr>
                          <w:ilvl w:val="0"/>
                          <w:numId w:val="88"/>
                        </w:numPr>
                        <w:spacing w:after="0" w:line="276" w:lineRule="auto"/>
                        <w:jc w:val="both"/>
                      </w:pPr>
                      <w:r w:rsidRPr="00DA4BC1">
                        <w:t>Trial a multidisciplinary post-transplant clinic in one major regional centre for 12 months, prioritising the availability of dental and cardiac services, as well as travel and accommodation support for rural and remote patients.</w:t>
                      </w:r>
                    </w:p>
                    <w:p w14:paraId="3735A0B8" w14:textId="77777777" w:rsidR="00A41391" w:rsidRPr="00DA4BC1" w:rsidRDefault="00A41391" w:rsidP="00782640">
                      <w:pPr>
                        <w:pStyle w:val="ListParagraph"/>
                        <w:numPr>
                          <w:ilvl w:val="0"/>
                          <w:numId w:val="88"/>
                        </w:numPr>
                        <w:spacing w:after="0" w:line="276" w:lineRule="auto"/>
                        <w:jc w:val="both"/>
                      </w:pPr>
                      <w:r w:rsidRPr="00DA4BC1">
                        <w:t xml:space="preserve">Conduct a study on transplant models of care to quantify the costs for rural and remote Indigenous patients to inform the development of a needs-based funding model. </w:t>
                      </w:r>
                    </w:p>
                    <w:p w14:paraId="1F638950" w14:textId="77777777" w:rsidR="00A41391" w:rsidRPr="00DA4BC1" w:rsidRDefault="00A41391" w:rsidP="00782640">
                      <w:pPr>
                        <w:pStyle w:val="ListParagraph"/>
                        <w:numPr>
                          <w:ilvl w:val="0"/>
                          <w:numId w:val="88"/>
                        </w:numPr>
                        <w:spacing w:after="0" w:line="276" w:lineRule="auto"/>
                        <w:jc w:val="both"/>
                      </w:pPr>
                      <w:r w:rsidRPr="00DA4BC1">
                        <w:t>Undertake a systematic review of Australian POCT models to guide the development of a post-transplant care POCT program, comprising new POCT measures that enable the monitoring of renal function and immunosuppressive drug levels in kidney transplant recipients.</w:t>
                      </w:r>
                    </w:p>
                    <w:p w14:paraId="48978D11" w14:textId="77777777" w:rsidR="00A41391" w:rsidRPr="00DA4BC1" w:rsidRDefault="00A41391" w:rsidP="00782640">
                      <w:pPr>
                        <w:pStyle w:val="ListParagraph"/>
                        <w:numPr>
                          <w:ilvl w:val="0"/>
                          <w:numId w:val="88"/>
                        </w:numPr>
                        <w:spacing w:after="0" w:line="276" w:lineRule="auto"/>
                        <w:jc w:val="both"/>
                      </w:pPr>
                      <w:r w:rsidRPr="00DA4BC1">
                        <w:t xml:space="preserve">Subsidise POCT tests that have been validated by empirical evidence. </w:t>
                      </w:r>
                    </w:p>
                    <w:p w14:paraId="790B9831" w14:textId="77777777" w:rsidR="00A41391" w:rsidRPr="00DA4BC1" w:rsidRDefault="00A41391" w:rsidP="00782640">
                      <w:pPr>
                        <w:pStyle w:val="ListParagraph"/>
                        <w:numPr>
                          <w:ilvl w:val="0"/>
                          <w:numId w:val="88"/>
                        </w:numPr>
                        <w:spacing w:after="0" w:line="276" w:lineRule="auto"/>
                        <w:jc w:val="both"/>
                      </w:pPr>
                      <w:r w:rsidRPr="00DA4BC1">
                        <w:t xml:space="preserve">Investigate the value of </w:t>
                      </w:r>
                      <w:r w:rsidRPr="00DA4BC1">
                        <w:t>telenephrology and telepharmacy programs for kidney transplant recipients living in rural and regional areas.</w:t>
                      </w:r>
                    </w:p>
                    <w:p w14:paraId="4CDA99E5" w14:textId="77777777" w:rsidR="00A41391" w:rsidRPr="00DA4BC1" w:rsidRDefault="00A41391" w:rsidP="00782640">
                      <w:pPr>
                        <w:pStyle w:val="ListParagraph"/>
                        <w:numPr>
                          <w:ilvl w:val="0"/>
                          <w:numId w:val="88"/>
                        </w:numPr>
                        <w:spacing w:after="0" w:line="276" w:lineRule="auto"/>
                        <w:jc w:val="both"/>
                      </w:pPr>
                      <w:r w:rsidRPr="00DA4BC1">
                        <w:t>Design and implement a remote community pharmacist trial to facilitate improved awareness and knowledge of transplant related maintenance requirements among Indigenous kidney transplant candidates and recipients.</w:t>
                      </w:r>
                    </w:p>
                    <w:p w14:paraId="794EB709" w14:textId="77777777" w:rsidR="00A41391" w:rsidRPr="00DA4BC1" w:rsidRDefault="00A41391" w:rsidP="00782640">
                      <w:pPr>
                        <w:pStyle w:val="ListParagraph"/>
                        <w:numPr>
                          <w:ilvl w:val="0"/>
                          <w:numId w:val="88"/>
                        </w:numPr>
                        <w:spacing w:after="0" w:line="276" w:lineRule="auto"/>
                        <w:jc w:val="both"/>
                      </w:pPr>
                      <w:r w:rsidRPr="00DA4BC1">
                        <w:t xml:space="preserve">Subsidise clinical pharmacy outpatient consults for Indigenous transplant recipients. </w:t>
                      </w:r>
                    </w:p>
                    <w:p w14:paraId="5BD0D419" w14:textId="77777777" w:rsidR="00A41391" w:rsidRPr="00DA4BC1" w:rsidRDefault="00A41391" w:rsidP="00782640">
                      <w:pPr>
                        <w:pStyle w:val="ListParagraph"/>
                        <w:numPr>
                          <w:ilvl w:val="0"/>
                          <w:numId w:val="88"/>
                        </w:numPr>
                        <w:spacing w:after="0" w:line="276" w:lineRule="auto"/>
                        <w:jc w:val="both"/>
                      </w:pPr>
                      <w:r w:rsidRPr="00DA4BC1">
                        <w:t>Broaden the list of eligible prescribers for the Closing the Gap (CTG) PBS Co-payment Measure to include transplant centres.</w:t>
                      </w:r>
                    </w:p>
                    <w:p w14:paraId="7565986C" w14:textId="77777777" w:rsidR="00A41391" w:rsidRPr="009D683D" w:rsidRDefault="00A41391" w:rsidP="009D683D">
                      <w:pPr>
                        <w:spacing w:after="40" w:line="276" w:lineRule="auto"/>
                        <w:jc w:val="both"/>
                        <w:rPr>
                          <w:rFonts w:cs="Calibri"/>
                          <w:b/>
                          <w:sz w:val="2"/>
                        </w:rPr>
                      </w:pPr>
                    </w:p>
                    <w:p w14:paraId="5595632A" w14:textId="77777777" w:rsidR="00A41391" w:rsidRPr="009D683D" w:rsidRDefault="00A41391" w:rsidP="009D683D">
                      <w:pPr>
                        <w:spacing w:after="40" w:line="276" w:lineRule="auto"/>
                        <w:jc w:val="both"/>
                        <w:rPr>
                          <w:rFonts w:cs="Calibri"/>
                          <w:b/>
                        </w:rPr>
                      </w:pPr>
                      <w:r w:rsidRPr="009D683D">
                        <w:rPr>
                          <w:rFonts w:cs="Calibri"/>
                          <w:b/>
                        </w:rPr>
                        <w:t>Researching, Developing and Implementing Clinical Guidelines and Protocols</w:t>
                      </w:r>
                    </w:p>
                    <w:p w14:paraId="5F0A2CE1" w14:textId="77777777" w:rsidR="00A41391" w:rsidRDefault="00A41391" w:rsidP="00782640">
                      <w:pPr>
                        <w:pStyle w:val="ListParagraph"/>
                        <w:numPr>
                          <w:ilvl w:val="0"/>
                          <w:numId w:val="88"/>
                        </w:numPr>
                        <w:spacing w:line="276" w:lineRule="auto"/>
                        <w:jc w:val="both"/>
                      </w:pPr>
                      <w:r w:rsidRPr="00DA4BC1">
                        <w:t>Establish a national dose administration aid protocol and a consistent format for drug information.</w:t>
                      </w:r>
                    </w:p>
                    <w:p w14:paraId="24689FC9" w14:textId="77777777" w:rsidR="00A41391" w:rsidRPr="00DA4BC1" w:rsidRDefault="00A41391" w:rsidP="00782640">
                      <w:pPr>
                        <w:pStyle w:val="ListParagraph"/>
                        <w:numPr>
                          <w:ilvl w:val="0"/>
                          <w:numId w:val="88"/>
                        </w:numPr>
                        <w:spacing w:after="0" w:line="276" w:lineRule="auto"/>
                        <w:jc w:val="both"/>
                      </w:pPr>
                      <w:r w:rsidRPr="00DA4BC1">
                        <w:t>Implement and evaluate novel, long acting immunosuppressive agents in Indigenous transplant recipients.</w:t>
                      </w:r>
                    </w:p>
                    <w:p w14:paraId="5CC6B903" w14:textId="77777777" w:rsidR="00A41391" w:rsidRPr="00DA4BC1" w:rsidRDefault="00A41391" w:rsidP="00782640">
                      <w:pPr>
                        <w:pStyle w:val="ListParagraph"/>
                        <w:numPr>
                          <w:ilvl w:val="0"/>
                          <w:numId w:val="88"/>
                        </w:numPr>
                        <w:spacing w:after="0" w:line="276" w:lineRule="auto"/>
                        <w:jc w:val="both"/>
                      </w:pPr>
                      <w:r w:rsidRPr="00DA4BC1">
                        <w:t>Adopt prolonged-release tacrolimus-based regimens in immunosuppressive protocols.</w:t>
                      </w:r>
                    </w:p>
                    <w:p w14:paraId="4EB47D82" w14:textId="77777777" w:rsidR="00A41391" w:rsidRPr="00DA4BC1" w:rsidRDefault="00A41391" w:rsidP="00782640">
                      <w:pPr>
                        <w:pStyle w:val="ListParagraph"/>
                        <w:numPr>
                          <w:ilvl w:val="0"/>
                          <w:numId w:val="88"/>
                        </w:numPr>
                        <w:spacing w:after="0" w:line="276" w:lineRule="auto"/>
                        <w:jc w:val="both"/>
                      </w:pPr>
                      <w:r w:rsidRPr="00DA4BC1">
                        <w:t>Revise immunosuppressive protocols based on relevant findings from the</w:t>
                      </w:r>
                      <w:r>
                        <w:t xml:space="preserve"> pharmacokinetic study of immunosuppressives in Indigenous transplant recipients.</w:t>
                      </w:r>
                    </w:p>
                    <w:p w14:paraId="7D3FC0C2" w14:textId="77777777" w:rsidR="00A41391" w:rsidRPr="00DA4BC1" w:rsidRDefault="00A41391" w:rsidP="00782640">
                      <w:pPr>
                        <w:pStyle w:val="ListParagraph"/>
                        <w:numPr>
                          <w:ilvl w:val="0"/>
                          <w:numId w:val="88"/>
                        </w:numPr>
                        <w:spacing w:after="0" w:line="276" w:lineRule="auto"/>
                        <w:jc w:val="both"/>
                      </w:pPr>
                      <w:r w:rsidRPr="00DA4BC1">
                        <w:t xml:space="preserve">Design and undertake research projects to identify the antecedents to infective episodes. </w:t>
                      </w:r>
                    </w:p>
                    <w:p w14:paraId="11D2DF32" w14:textId="77777777" w:rsidR="00A41391" w:rsidRPr="00DA4BC1" w:rsidRDefault="00A41391" w:rsidP="00782640">
                      <w:pPr>
                        <w:pStyle w:val="ListParagraph"/>
                        <w:numPr>
                          <w:ilvl w:val="0"/>
                          <w:numId w:val="88"/>
                        </w:numPr>
                        <w:spacing w:after="0" w:line="276" w:lineRule="auto"/>
                        <w:jc w:val="both"/>
                      </w:pPr>
                      <w:r w:rsidRPr="00DA4BC1">
                        <w:t xml:space="preserve">Test and evaluate novel infective prophylaxis interventions for Indigenous transplant recipients. </w:t>
                      </w:r>
                    </w:p>
                    <w:p w14:paraId="61C9396F" w14:textId="77777777" w:rsidR="00A41391" w:rsidRPr="00DA4BC1" w:rsidRDefault="00A41391" w:rsidP="00782640">
                      <w:pPr>
                        <w:pStyle w:val="ListParagraph"/>
                        <w:numPr>
                          <w:ilvl w:val="0"/>
                          <w:numId w:val="88"/>
                        </w:numPr>
                        <w:spacing w:after="0" w:line="276" w:lineRule="auto"/>
                        <w:jc w:val="both"/>
                      </w:pPr>
                      <w:r w:rsidRPr="00DA4BC1">
                        <w:t>Adopt coordinated, nationally consistent clinical data collection, analysis and reporting protocols of infective complications across renal units.</w:t>
                      </w:r>
                    </w:p>
                    <w:p w14:paraId="567B6FDB" w14:textId="595FF9B1" w:rsidR="00A41391" w:rsidRPr="0055104B" w:rsidRDefault="00A41391" w:rsidP="0055104B">
                      <w:pPr>
                        <w:pStyle w:val="ListParagraph"/>
                        <w:numPr>
                          <w:ilvl w:val="0"/>
                          <w:numId w:val="88"/>
                        </w:numPr>
                        <w:spacing w:after="0" w:line="276" w:lineRule="auto"/>
                        <w:jc w:val="both"/>
                      </w:pPr>
                      <w:r w:rsidRPr="00DA4BC1">
                        <w:t>Implement a tailored prophylactic protocol for Indigenous transplant recipients.</w:t>
                      </w:r>
                    </w:p>
                  </w:txbxContent>
                </v:textbox>
                <w10:anchorlock/>
              </v:shape>
            </w:pict>
          </mc:Fallback>
        </mc:AlternateContent>
      </w:r>
    </w:p>
    <w:p w14:paraId="27875859" w14:textId="77777777" w:rsidR="0055104B" w:rsidRDefault="0055104B" w:rsidP="009D683D">
      <w:pPr>
        <w:keepNext/>
        <w:keepLines/>
        <w:numPr>
          <w:ilvl w:val="1"/>
          <w:numId w:val="0"/>
        </w:numPr>
        <w:spacing w:before="40" w:after="0"/>
        <w:ind w:left="576" w:hanging="576"/>
        <w:outlineLvl w:val="1"/>
        <w:rPr>
          <w:rFonts w:ascii="Calibri Light" w:eastAsia="Times New Roman" w:hAnsi="Calibri Light" w:cs="Times New Roman"/>
          <w:sz w:val="26"/>
          <w:szCs w:val="26"/>
        </w:rPr>
      </w:pPr>
    </w:p>
    <w:p w14:paraId="5AC40291" w14:textId="55869823" w:rsidR="009D683D" w:rsidRPr="009D683D" w:rsidRDefault="009D683D" w:rsidP="009D683D">
      <w:pPr>
        <w:keepNext/>
        <w:keepLines/>
        <w:numPr>
          <w:ilvl w:val="1"/>
          <w:numId w:val="0"/>
        </w:numPr>
        <w:spacing w:before="40" w:after="0"/>
        <w:ind w:left="576" w:hanging="576"/>
        <w:outlineLvl w:val="1"/>
        <w:rPr>
          <w:rFonts w:ascii="Calibri Light" w:eastAsia="Times New Roman" w:hAnsi="Calibri Light" w:cs="Times New Roman"/>
          <w:color w:val="2F5496"/>
          <w:sz w:val="26"/>
          <w:szCs w:val="26"/>
        </w:rPr>
      </w:pPr>
      <w:r w:rsidRPr="009D683D">
        <w:rPr>
          <w:rFonts w:ascii="Calibri Light" w:eastAsia="Times New Roman" w:hAnsi="Calibri Light" w:cs="Times New Roman"/>
          <w:sz w:val="26"/>
          <w:szCs w:val="26"/>
        </w:rPr>
        <w:t>Next steps and recommendations for research, practice and policy</w:t>
      </w:r>
      <w:bookmarkEnd w:id="87"/>
    </w:p>
    <w:p w14:paraId="2CA35556" w14:textId="77777777" w:rsidR="009D683D" w:rsidRPr="009D683D" w:rsidRDefault="009D683D" w:rsidP="009D683D">
      <w:pPr>
        <w:keepNext/>
        <w:keepLines/>
        <w:numPr>
          <w:ilvl w:val="2"/>
          <w:numId w:val="0"/>
        </w:numPr>
        <w:spacing w:before="40" w:after="0"/>
        <w:ind w:left="720" w:hanging="720"/>
        <w:outlineLvl w:val="2"/>
        <w:rPr>
          <w:rFonts w:ascii="Calibri Light" w:eastAsia="Times New Roman" w:hAnsi="Calibri Light" w:cs="Times New Roman"/>
          <w:sz w:val="24"/>
          <w:szCs w:val="24"/>
        </w:rPr>
      </w:pPr>
      <w:bookmarkStart w:id="89" w:name="_Toc2585840"/>
      <w:r w:rsidRPr="009D683D">
        <w:rPr>
          <w:rFonts w:ascii="Calibri Light" w:eastAsia="Times New Roman" w:hAnsi="Calibri Light" w:cs="Times New Roman"/>
          <w:sz w:val="24"/>
          <w:szCs w:val="24"/>
        </w:rPr>
        <w:t>Consumer Engagement and Education</w:t>
      </w:r>
      <w:bookmarkEnd w:id="89"/>
    </w:p>
    <w:p w14:paraId="110D83DC" w14:textId="77777777"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4"/>
          <w:szCs w:val="24"/>
        </w:rPr>
      </w:pPr>
      <w:r w:rsidRPr="009D683D">
        <w:rPr>
          <w:rFonts w:ascii="Calibri Light" w:eastAsia="Times New Roman" w:hAnsi="Calibri Light" w:cs="Times New Roman"/>
          <w:i/>
          <w:iCs/>
          <w:sz w:val="22"/>
        </w:rPr>
        <w:t>Trialling the use of culturally tailored immunosuppression adherence education</w:t>
      </w:r>
      <w:r w:rsidRPr="009D683D">
        <w:rPr>
          <w:rFonts w:ascii="Calibri Light" w:eastAsia="Times New Roman" w:hAnsi="Calibri Light" w:cs="Times New Roman"/>
          <w:i/>
          <w:iCs/>
          <w:sz w:val="24"/>
          <w:szCs w:val="24"/>
        </w:rPr>
        <w:t xml:space="preserve"> videos </w:t>
      </w:r>
    </w:p>
    <w:p w14:paraId="4E884A90"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Past research has found that Indigenous Australians with chronic conditions are inadequately supported by health professionals to comply with post-transplant care recommendations, particularly with regard to taking medication. Confusion over medicines, perceived lack of advice from health professionals to patients about medicines, and challenges in having effective interactions with medical practitioners and pharmacists all contribute to the manifestation of nonadherence. While tailoring the therapeutic regimen to the needs of the patient (including through prolonged release formulations) is </w:t>
      </w:r>
      <w:r w:rsidRPr="009D683D">
        <w:rPr>
          <w:rFonts w:ascii="Calibri" w:eastAsia="Calibri" w:hAnsi="Calibri" w:cs="Times New Roman"/>
          <w:sz w:val="22"/>
        </w:rPr>
        <w:lastRenderedPageBreak/>
        <w:t xml:space="preserve">a step in the right direction, these efforts need to be bolstered by complementary educational measures that address cultural, social and geographic barriers. </w:t>
      </w:r>
    </w:p>
    <w:p w14:paraId="5DA166A1"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Indigenous ESKD patients have reported that they value hearing about other Indigenous patients’ stories in order to understand the dialysis and transplant journey and its associated demands. Kidney Health Australia and the Menzies School of Health Research have produced a number of educational videos that showcase Indigenous patients’ experiences, but none to date have specifically focussed on the importance of adherence and strategies to ensure the immunosuppression regimen is maintained. As such, culturally tailored immunosuppression adherence education videos should be developed and trialled using a number of platforms, including YouTube, Vimeo and DVD. The success of these videos will be dependent on promotion from health care professionals and patient navigators to ensure patients are aware of the video’s existence and can easily access the relevant content. </w:t>
      </w:r>
    </w:p>
    <w:p w14:paraId="13EB130C" w14:textId="77777777" w:rsidR="009D683D" w:rsidRPr="009D683D" w:rsidRDefault="009D683D" w:rsidP="009D683D">
      <w:pPr>
        <w:keepNext/>
        <w:keepLines/>
        <w:numPr>
          <w:ilvl w:val="2"/>
          <w:numId w:val="0"/>
        </w:numPr>
        <w:spacing w:before="40" w:after="0"/>
        <w:ind w:left="720" w:hanging="720"/>
        <w:outlineLvl w:val="2"/>
        <w:rPr>
          <w:rFonts w:ascii="Calibri Light" w:eastAsia="Times New Roman" w:hAnsi="Calibri Light" w:cs="Times New Roman"/>
          <w:sz w:val="24"/>
          <w:szCs w:val="24"/>
        </w:rPr>
      </w:pPr>
      <w:bookmarkStart w:id="90" w:name="_Toc2585841"/>
      <w:r w:rsidRPr="009D683D">
        <w:rPr>
          <w:rFonts w:ascii="Calibri Light" w:eastAsia="Times New Roman" w:hAnsi="Calibri Light" w:cs="Times New Roman"/>
          <w:sz w:val="24"/>
          <w:szCs w:val="24"/>
        </w:rPr>
        <w:t>Improving Equity and Access to Transplant Services</w:t>
      </w:r>
      <w:bookmarkEnd w:id="90"/>
    </w:p>
    <w:p w14:paraId="3C465DB2" w14:textId="77777777"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Establishing multidisciplinary post-transplant clinics in all major regional centres</w:t>
      </w:r>
    </w:p>
    <w:p w14:paraId="72854130"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Following a kidney transplant, recipients are educated by a multidisciplinary health care team to self-manage their complex medical therapy. However, continued involvement from specialists and allied health providers is vital to ensure recipients are appropriately supported to maintain their transplant. A number of strategies have been identified to mitigate workforce shortages in rural and remote areas and improve the coordination and delivery of post-transplant care for Indigenous recipients.</w:t>
      </w:r>
    </w:p>
    <w:p w14:paraId="7D22D23C"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It is important that multidisciplinary post-transplant clinics, comprising nephrologists, nurses, pharmacists, dieticians, social workers and Indigenous health workers, be made available in major regional centres to assist Indigenous recipients in managing their post-transplant care and facilitate improved coordination between transplant centres and primary care services. Similar to pre-transplant clinics, the successful implementation of post-transplant clinics is dependent on:</w:t>
      </w:r>
    </w:p>
    <w:p w14:paraId="3BE8351E" w14:textId="77777777" w:rsidR="009D683D" w:rsidRPr="009D683D" w:rsidRDefault="009D683D" w:rsidP="00782640">
      <w:pPr>
        <w:numPr>
          <w:ilvl w:val="0"/>
          <w:numId w:val="50"/>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Funding for additional medical and allied health positions in regional areas;</w:t>
      </w:r>
    </w:p>
    <w:p w14:paraId="564A9A56" w14:textId="77777777" w:rsidR="009D683D" w:rsidRPr="009D683D" w:rsidRDefault="009D683D" w:rsidP="00782640">
      <w:pPr>
        <w:numPr>
          <w:ilvl w:val="0"/>
          <w:numId w:val="50"/>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Travel and accommodation allowances for remote patients, who will still be required to travel substantial distances to reach their nearest regional centre; and</w:t>
      </w:r>
    </w:p>
    <w:p w14:paraId="070FB84D" w14:textId="77777777" w:rsidR="009D683D" w:rsidRPr="009D683D" w:rsidRDefault="009D683D" w:rsidP="00782640">
      <w:pPr>
        <w:numPr>
          <w:ilvl w:val="0"/>
          <w:numId w:val="50"/>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Rigorous, nationally standardised evaluations, to determine each regional clinic’s effectiveness in facilitating improved post-transplant outcomes for Indigenous patients.</w:t>
      </w:r>
    </w:p>
    <w:p w14:paraId="7218A6FE" w14:textId="77777777" w:rsidR="0055104B" w:rsidRDefault="0055104B" w:rsidP="009D683D">
      <w:pPr>
        <w:keepNext/>
        <w:keepLines/>
        <w:numPr>
          <w:ilvl w:val="3"/>
          <w:numId w:val="0"/>
        </w:numPr>
        <w:spacing w:before="40" w:after="0"/>
        <w:ind w:left="864" w:hanging="864"/>
        <w:outlineLvl w:val="3"/>
        <w:rPr>
          <w:rFonts w:ascii="Calibri Light" w:eastAsia="Times New Roman" w:hAnsi="Calibri Light" w:cs="Times New Roman"/>
          <w:i/>
          <w:iCs/>
          <w:sz w:val="22"/>
        </w:rPr>
      </w:pPr>
    </w:p>
    <w:p w14:paraId="011E1A66" w14:textId="0E551BD0"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 xml:space="preserve">Developing a needs-based funding model for relocation </w:t>
      </w:r>
    </w:p>
    <w:p w14:paraId="7AE765E9"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The consequences of relocation for kidney transplant treatment and post-transplant care are pervasive. Families are often separated or whole families relocate, sometimes interstate, in order to access transplant centres. For some, the need to relocate from family and country may lead to a decision to forego treatment. In almost all people, the impact of kidney failure on the patient and their family is severe with prolonged ill health, a heavy symptomatic burden, loss of job opportunities and ability to work, financial hardship and very real social disruption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&lt;EndNote&gt;&lt;Cite&gt;&lt;Author&gt;KHA&lt;/Author&gt;&lt;Year&gt;2018&lt;/Year&gt;&lt;RecNum&gt;353&lt;/RecNum&gt;&lt;DisplayText&gt;(KHA, 2018b)&lt;/DisplayText&gt;&lt;record&gt;&lt;rec-number&gt;353&lt;/rec-number&gt;&lt;foreign-keys&gt;&lt;key app="EN" db-id="ews5ve9enfwav7etdtjvztfdrftvwrf9vrsx" timestamp="1546491614"&gt;353&lt;/key&gt;&lt;/foreign-keys&gt;&lt;ref-type name="Web Page"&gt;12&lt;/ref-type&gt;&lt;contributors&gt;&lt;authors&gt;&lt;author&gt;KHA&lt;/author&gt;&lt;/authors&gt;&lt;/contributors&gt;&lt;titles&gt;&lt;title&gt;Kidney Health Australia - Indigenous Kidney Health Program&lt;/title&gt;&lt;/titles&gt;&lt;dates&gt;&lt;year&gt;2018&lt;/year&gt;&lt;/dates&gt;&lt;publisher&gt;Kidney Health Australia&lt;/publisher&gt;&lt;urls&gt;&lt;related-urls&gt;&lt;url&gt;https://kidney.org.au/cms_uploads/docs/kidney-health-australia---indigenous-kidney-health-program-budget-submission.pdf&lt;/url&gt;&lt;/related-urls&gt;&lt;/urls&gt;&lt;/record&gt;&lt;/Cite&gt;&lt;/EndNote&gt;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(KHA, 2018b)</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There are major challenges in the health and social support area for Indigenous patients undergoing kidney transplantation away from home, and recent literature has identified a need for improved social and financial support services when relocating Indigenous patients and their families to urban centres for transplant assessment, treatment and extended post-transplant monitoring (Gorham et al., 2017).   </w:t>
      </w:r>
    </w:p>
    <w:p w14:paraId="1A3D97F4"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As a first step, further analysis is required to accurately quantify the cost of relocation for Indigenous transplant patients, covering urban housing, social support and transport expenses. This research </w:t>
      </w:r>
      <w:r w:rsidRPr="009D683D">
        <w:rPr>
          <w:rFonts w:ascii="Calibri" w:eastAsia="Calibri" w:hAnsi="Calibri" w:cs="Times New Roman"/>
          <w:sz w:val="22"/>
        </w:rPr>
        <w:lastRenderedPageBreak/>
        <w:t>should then be used to inform a needs-based funding model to help combat the multifaceted economic and social challenges that impede the pursuit of transplantation for Indigenous patients.</w:t>
      </w:r>
    </w:p>
    <w:p w14:paraId="47FB37D8" w14:textId="77777777"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Facilitating the</w:t>
      </w:r>
      <w:r w:rsidRPr="009D683D">
        <w:rPr>
          <w:rFonts w:ascii="Calibri Light" w:eastAsia="Times New Roman" w:hAnsi="Calibri Light" w:cs="Times New Roman"/>
          <w:i/>
          <w:iCs/>
          <w:sz w:val="32"/>
          <w:szCs w:val="32"/>
        </w:rPr>
        <w:t xml:space="preserve"> </w:t>
      </w:r>
      <w:r w:rsidRPr="009D683D">
        <w:rPr>
          <w:rFonts w:ascii="Calibri Light" w:eastAsia="Times New Roman" w:hAnsi="Calibri Light" w:cs="Times New Roman"/>
          <w:i/>
          <w:iCs/>
          <w:sz w:val="22"/>
        </w:rPr>
        <w:t>broader rollout of sustainable post-transplant POCT</w:t>
      </w:r>
    </w:p>
    <w:p w14:paraId="0B9A28E5"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Given the cost of POCT to the community is considered to be the most significant barrier to its wider implementation, POCT measures that have been found to be non-inferior to pathology laboratory testing (i.e. tests for measuring glycated haemoglobin, urine albumin, albumin-creatine ratio, total cholesterol and triglyceride levels) should be added to the MBS so that they are covered under Medicare. Furthermore, new POCT measures that enable ACCHS and other community health services to monitor kidney function and immunosuppressive drug levels in remote transplant recipients should be developed and trialled to maximise the value of POCT in the post-transplant context.</w:t>
      </w:r>
    </w:p>
    <w:p w14:paraId="341FA159"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It is also critical that future POCT trials and programs establish a system of progressive knowledge transfer and capacity building, so that as a POCT program is implemented, the community is empowered with the resources to manage and sustain the program in the long term. Existing POCT programs that have successfully implemented a sustainable approach have:</w:t>
      </w:r>
    </w:p>
    <w:p w14:paraId="3C7DAA19" w14:textId="77777777" w:rsidR="009D683D" w:rsidRPr="009D683D" w:rsidRDefault="009D683D" w:rsidP="00782640">
      <w:pPr>
        <w:numPr>
          <w:ilvl w:val="0"/>
          <w:numId w:val="51"/>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Systematically embedded a functional clinical governance structure for the organisation and accountability of POCT;</w:t>
      </w:r>
    </w:p>
    <w:p w14:paraId="3BF367F6" w14:textId="77777777" w:rsidR="009D683D" w:rsidRPr="009D683D" w:rsidRDefault="009D683D" w:rsidP="00782640">
      <w:pPr>
        <w:numPr>
          <w:ilvl w:val="0"/>
          <w:numId w:val="51"/>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Developed a tailored, continuing program for training and competency assessment of POCT device operators;</w:t>
      </w:r>
    </w:p>
    <w:p w14:paraId="03E80AE8" w14:textId="77777777" w:rsidR="009D683D" w:rsidRPr="009D683D" w:rsidRDefault="009D683D" w:rsidP="00782640">
      <w:pPr>
        <w:numPr>
          <w:ilvl w:val="0"/>
          <w:numId w:val="51"/>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Implemented sustainable quality management practices fit for purpose and relevant and appropriate for the device(s) being used; and</w:t>
      </w:r>
    </w:p>
    <w:p w14:paraId="77F72525" w14:textId="77777777" w:rsidR="009D683D" w:rsidRPr="009D683D" w:rsidRDefault="009D683D" w:rsidP="00782640">
      <w:pPr>
        <w:numPr>
          <w:ilvl w:val="0"/>
          <w:numId w:val="51"/>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 xml:space="preserve">Documented policies and procedures in flexible formats, depending on the clinical, cultural and geographic settings where community-based POCT is practiced. </w:t>
      </w:r>
    </w:p>
    <w:p w14:paraId="5F58E57D" w14:textId="77777777" w:rsidR="009D683D" w:rsidRPr="009D683D" w:rsidRDefault="009D683D" w:rsidP="009D683D">
      <w:pPr>
        <w:spacing w:line="276" w:lineRule="auto"/>
        <w:ind w:left="720"/>
        <w:contextualSpacing/>
        <w:jc w:val="both"/>
        <w:rPr>
          <w:rFonts w:ascii="Calibri" w:eastAsia="Calibri" w:hAnsi="Calibri" w:cs="Times New Roman"/>
          <w:sz w:val="8"/>
        </w:rPr>
      </w:pPr>
    </w:p>
    <w:p w14:paraId="7068DFB9"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It is recommended that a systematic review of well-established Australian POCT models be undertaken to guide the development of a new POCT program that is tailored to cater for the unique needs of remote Indigenous kidney transplant recipients. </w:t>
      </w:r>
    </w:p>
    <w:p w14:paraId="025BAAF5" w14:textId="77777777"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 xml:space="preserve">Adopting </w:t>
      </w:r>
      <w:proofErr w:type="spellStart"/>
      <w:r w:rsidRPr="009D683D">
        <w:rPr>
          <w:rFonts w:ascii="Calibri Light" w:eastAsia="Times New Roman" w:hAnsi="Calibri Light" w:cs="Times New Roman"/>
          <w:i/>
          <w:iCs/>
          <w:sz w:val="22"/>
        </w:rPr>
        <w:t>telenephrology</w:t>
      </w:r>
      <w:proofErr w:type="spellEnd"/>
      <w:r w:rsidRPr="009D683D">
        <w:rPr>
          <w:rFonts w:ascii="Calibri Light" w:eastAsia="Times New Roman" w:hAnsi="Calibri Light" w:cs="Times New Roman"/>
          <w:i/>
          <w:iCs/>
          <w:sz w:val="22"/>
        </w:rPr>
        <w:t xml:space="preserve"> and </w:t>
      </w:r>
      <w:proofErr w:type="spellStart"/>
      <w:r w:rsidRPr="009D683D">
        <w:rPr>
          <w:rFonts w:ascii="Calibri Light" w:eastAsia="Times New Roman" w:hAnsi="Calibri Light" w:cs="Times New Roman"/>
          <w:i/>
          <w:iCs/>
          <w:sz w:val="22"/>
        </w:rPr>
        <w:t>telepharmacy</w:t>
      </w:r>
      <w:proofErr w:type="spellEnd"/>
      <w:r w:rsidRPr="009D683D">
        <w:rPr>
          <w:rFonts w:ascii="Calibri Light" w:eastAsia="Times New Roman" w:hAnsi="Calibri Light" w:cs="Times New Roman"/>
          <w:i/>
          <w:iCs/>
          <w:sz w:val="22"/>
        </w:rPr>
        <w:t xml:space="preserve"> as models of care for rural and remote Indigenous kidney transplant recipients</w:t>
      </w:r>
    </w:p>
    <w:p w14:paraId="11BA181A"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While </w:t>
      </w:r>
      <w:proofErr w:type="spellStart"/>
      <w:r w:rsidRPr="009D683D">
        <w:rPr>
          <w:rFonts w:ascii="Calibri" w:eastAsia="Calibri" w:hAnsi="Calibri" w:cs="Times New Roman"/>
          <w:sz w:val="22"/>
        </w:rPr>
        <w:t>telenephrology</w:t>
      </w:r>
      <w:proofErr w:type="spellEnd"/>
      <w:r w:rsidRPr="009D683D">
        <w:rPr>
          <w:rFonts w:ascii="Calibri" w:eastAsia="Calibri" w:hAnsi="Calibri" w:cs="Times New Roman"/>
          <w:sz w:val="22"/>
        </w:rPr>
        <w:t xml:space="preserve"> and </w:t>
      </w:r>
      <w:proofErr w:type="spellStart"/>
      <w:r w:rsidRPr="009D683D">
        <w:rPr>
          <w:rFonts w:ascii="Calibri" w:eastAsia="Calibri" w:hAnsi="Calibri" w:cs="Times New Roman"/>
          <w:sz w:val="22"/>
        </w:rPr>
        <w:t>telepharmacy</w:t>
      </w:r>
      <w:proofErr w:type="spellEnd"/>
      <w:r w:rsidRPr="009D683D">
        <w:rPr>
          <w:rFonts w:ascii="Calibri" w:eastAsia="Calibri" w:hAnsi="Calibri" w:cs="Times New Roman"/>
          <w:sz w:val="22"/>
        </w:rPr>
        <w:t xml:space="preserve"> have been found to deliver effective clinical care for geographically distant dialysis patients, to date there has been no analysis of their impact on transplant-related outcomes, including medication adherence. Consequently, it is proposed that </w:t>
      </w:r>
      <w:proofErr w:type="spellStart"/>
      <w:r w:rsidRPr="009D683D">
        <w:rPr>
          <w:rFonts w:ascii="Calibri" w:eastAsia="Calibri" w:hAnsi="Calibri" w:cs="Times New Roman"/>
          <w:sz w:val="22"/>
        </w:rPr>
        <w:t>telenephrology</w:t>
      </w:r>
      <w:proofErr w:type="spellEnd"/>
      <w:r w:rsidRPr="009D683D">
        <w:rPr>
          <w:rFonts w:ascii="Calibri" w:eastAsia="Calibri" w:hAnsi="Calibri" w:cs="Times New Roman"/>
          <w:sz w:val="22"/>
        </w:rPr>
        <w:t xml:space="preserve"> and </w:t>
      </w:r>
      <w:proofErr w:type="spellStart"/>
      <w:r w:rsidRPr="009D683D">
        <w:rPr>
          <w:rFonts w:ascii="Calibri" w:eastAsia="Calibri" w:hAnsi="Calibri" w:cs="Times New Roman"/>
          <w:sz w:val="22"/>
        </w:rPr>
        <w:t>telepharmacy</w:t>
      </w:r>
      <w:proofErr w:type="spellEnd"/>
      <w:r w:rsidRPr="009D683D">
        <w:rPr>
          <w:rFonts w:ascii="Calibri" w:eastAsia="Calibri" w:hAnsi="Calibri" w:cs="Times New Roman"/>
          <w:sz w:val="22"/>
        </w:rPr>
        <w:t xml:space="preserve"> services be trialled among remote Indigenous kidney transplant recipients to determine their efficacy as models of care in the post-transplant context. Key performance indicators should include:</w:t>
      </w:r>
    </w:p>
    <w:p w14:paraId="2B3B5F89" w14:textId="77777777" w:rsidR="009D683D" w:rsidRPr="009D683D" w:rsidRDefault="009D683D" w:rsidP="00782640">
      <w:pPr>
        <w:numPr>
          <w:ilvl w:val="0"/>
          <w:numId w:val="52"/>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Patient-centred outcomes, including transport distance, costs, convenience, comfort, and perceived quality of video-conferencing sound and picture, clinician communication, and overall experience;</w:t>
      </w:r>
    </w:p>
    <w:p w14:paraId="1FCCDD31" w14:textId="77777777" w:rsidR="009D683D" w:rsidRPr="009D683D" w:rsidRDefault="009D683D" w:rsidP="00782640">
      <w:pPr>
        <w:numPr>
          <w:ilvl w:val="0"/>
          <w:numId w:val="52"/>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Rates of medication nonadherence;</w:t>
      </w:r>
    </w:p>
    <w:p w14:paraId="114E7326" w14:textId="77777777" w:rsidR="009D683D" w:rsidRPr="009D683D" w:rsidRDefault="009D683D" w:rsidP="00782640">
      <w:pPr>
        <w:numPr>
          <w:ilvl w:val="0"/>
          <w:numId w:val="52"/>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Rates of post-transplant hospitalisation; and</w:t>
      </w:r>
    </w:p>
    <w:p w14:paraId="09A44430" w14:textId="77777777" w:rsidR="009D683D" w:rsidRPr="009D683D" w:rsidRDefault="009D683D" w:rsidP="00782640">
      <w:pPr>
        <w:numPr>
          <w:ilvl w:val="0"/>
          <w:numId w:val="52"/>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 xml:space="preserve">Health service cost-benefit analyses. </w:t>
      </w:r>
    </w:p>
    <w:p w14:paraId="7DD88E92" w14:textId="77777777" w:rsidR="009D683D" w:rsidRPr="009D683D" w:rsidRDefault="009D683D" w:rsidP="009D683D">
      <w:pPr>
        <w:spacing w:line="276" w:lineRule="auto"/>
        <w:ind w:left="720"/>
        <w:contextualSpacing/>
        <w:jc w:val="both"/>
        <w:rPr>
          <w:rFonts w:ascii="Calibri" w:eastAsia="Calibri" w:hAnsi="Calibri" w:cs="Times New Roman"/>
          <w:sz w:val="12"/>
        </w:rPr>
      </w:pPr>
    </w:p>
    <w:p w14:paraId="77E26C86"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In addition, it is critical that clinical pharmacy outpatient consults be recognised, endorsed and Medicare funded to ensure equity for patients living in rural and remote communities, and further </w:t>
      </w:r>
      <w:r w:rsidRPr="009D683D">
        <w:rPr>
          <w:rFonts w:ascii="Calibri" w:eastAsia="Calibri" w:hAnsi="Calibri" w:cs="Times New Roman"/>
          <w:sz w:val="22"/>
        </w:rPr>
        <w:lastRenderedPageBreak/>
        <w:t xml:space="preserve">funding should be allocated to establish and maintain telehealth infrastructure in remote and very remote communities that do not currently have the required setup in place.  </w:t>
      </w:r>
    </w:p>
    <w:p w14:paraId="446A49B0" w14:textId="77777777"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Implementing a remote clinical pharmacist trial</w:t>
      </w:r>
    </w:p>
    <w:p w14:paraId="3C99CC44"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A remote clinical pharmacist trial could be implemented by supporting pharmacists based in regional hubs to travel to remote community health centres on a part time basis (i.e. 2 days per week) as part of a ‘hub and spoke’ model. Deploying pharmacists on a regular basis to remote communities is expected to facilitate improved awareness and knowledge of transplant related maintenance requirements, specifically immunosuppressive medication adherence, among Indigenous kidney transplant candidates and recipients. To be involved in the trial, pharmacists would need to undertake training in cultural safety and demonstrate a willingness to work collaboratively with ACCHS and Indigenous health workers.</w:t>
      </w:r>
    </w:p>
    <w:p w14:paraId="733E12AF" w14:textId="77777777"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Enabling transplant centres to provide patients with a CTG annotated script</w:t>
      </w:r>
    </w:p>
    <w:p w14:paraId="2F5FB671"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Indigenous patients with chronic disease have identified medication affordability as one of the key barriers to adherence. Eligible Indigenous patients living with or at risk of chronic diseases have access to low cost of free PBS medicines through the CTG PBS Co-payment Measure. However, transplant centres are currently unable to provide kidney transplant recipients with CTG annotated prescriptions, as eligible prescribers are limited to: </w:t>
      </w:r>
    </w:p>
    <w:p w14:paraId="05E6D210" w14:textId="77777777" w:rsidR="009D683D" w:rsidRPr="009D683D" w:rsidRDefault="009D683D" w:rsidP="00782640">
      <w:pPr>
        <w:numPr>
          <w:ilvl w:val="0"/>
          <w:numId w:val="52"/>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Medical practitioners working in a practice that’s participating in the Indigenous Health Incentive under the Practice Incentives Program (PIP);</w:t>
      </w:r>
    </w:p>
    <w:p w14:paraId="03156E75" w14:textId="77777777" w:rsidR="009D683D" w:rsidRPr="009D683D" w:rsidRDefault="009D683D" w:rsidP="00782640">
      <w:pPr>
        <w:numPr>
          <w:ilvl w:val="0"/>
          <w:numId w:val="52"/>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 xml:space="preserve">Any medical practitioner working in an Indigenous Health Service; and </w:t>
      </w:r>
    </w:p>
    <w:p w14:paraId="683B2C48" w14:textId="77777777" w:rsidR="009D683D" w:rsidRPr="009D683D" w:rsidRDefault="009D683D" w:rsidP="00782640">
      <w:pPr>
        <w:numPr>
          <w:ilvl w:val="0"/>
          <w:numId w:val="52"/>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Any medical specialist provided the patient is: a) eligible for the measure, and b) referred by a clinician working in a practice participating in the Indigenous Health Incentive under PIP.</w:t>
      </w:r>
    </w:p>
    <w:p w14:paraId="411EC5B0"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Enabling transplant centres to provide patients with CTG PBS prescriptions would have a significant impact on the affordability of post-transplant medications, and thus improve Indigenous transplant recipients’ medication adherence</w:t>
      </w:r>
    </w:p>
    <w:p w14:paraId="5492C142" w14:textId="77777777" w:rsidR="009D683D" w:rsidRPr="009D683D" w:rsidRDefault="009D683D" w:rsidP="009D683D">
      <w:pPr>
        <w:keepNext/>
        <w:keepLines/>
        <w:numPr>
          <w:ilvl w:val="2"/>
          <w:numId w:val="0"/>
        </w:numPr>
        <w:spacing w:before="40" w:after="0"/>
        <w:ind w:left="720" w:hanging="720"/>
        <w:outlineLvl w:val="2"/>
        <w:rPr>
          <w:rFonts w:ascii="Calibri Light" w:eastAsia="Times New Roman" w:hAnsi="Calibri Light" w:cs="Times New Roman"/>
          <w:sz w:val="24"/>
          <w:szCs w:val="24"/>
        </w:rPr>
      </w:pPr>
      <w:bookmarkStart w:id="91" w:name="_Toc2585842"/>
      <w:r w:rsidRPr="009D683D">
        <w:rPr>
          <w:rFonts w:ascii="Calibri Light" w:eastAsia="Times New Roman" w:hAnsi="Calibri Light" w:cs="Times New Roman"/>
          <w:sz w:val="24"/>
          <w:szCs w:val="24"/>
        </w:rPr>
        <w:t>Researching, Developing and Implementing Clinical Guidelines and Protocols</w:t>
      </w:r>
      <w:bookmarkEnd w:id="91"/>
    </w:p>
    <w:p w14:paraId="1D0CF664" w14:textId="77777777"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 xml:space="preserve">Adopting consistent dose administration aid protocols </w:t>
      </w:r>
    </w:p>
    <w:p w14:paraId="15552602"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DAAs have proven to be a successful adherence support strategy for kidney transplant recipients, and the provision of DAAs is a standard model of care in Australian transplant centres and </w:t>
      </w:r>
      <w:proofErr w:type="spellStart"/>
      <w:r w:rsidRPr="009D683D">
        <w:rPr>
          <w:rFonts w:ascii="Calibri" w:eastAsia="Calibri" w:hAnsi="Calibri" w:cs="Times New Roman"/>
          <w:sz w:val="22"/>
        </w:rPr>
        <w:t>renal</w:t>
      </w:r>
      <w:proofErr w:type="spellEnd"/>
      <w:r w:rsidRPr="009D683D">
        <w:rPr>
          <w:rFonts w:ascii="Calibri" w:eastAsia="Calibri" w:hAnsi="Calibri" w:cs="Times New Roman"/>
          <w:sz w:val="22"/>
        </w:rPr>
        <w:t xml:space="preserve"> units. However, there isn’t a national DAA protocol for kidney transplant recipients, which can create confusion and reduce adherence for recipients who are required to transition between transplant centres; for example, a patient in the Northern Territory who receives their pre-transplant care in Darwin, has the transplant procedure in Adelaide, and then returns to Darwin for post-transplant monitoring. While </w:t>
      </w:r>
      <w:proofErr w:type="spellStart"/>
      <w:r w:rsidRPr="009D683D">
        <w:rPr>
          <w:rFonts w:ascii="Calibri" w:eastAsia="Calibri" w:hAnsi="Calibri" w:cs="Times New Roman"/>
          <w:sz w:val="22"/>
        </w:rPr>
        <w:t>dosettes</w:t>
      </w:r>
      <w:proofErr w:type="spellEnd"/>
      <w:r w:rsidRPr="009D683D">
        <w:rPr>
          <w:rFonts w:ascii="Calibri" w:eastAsia="Calibri" w:hAnsi="Calibri" w:cs="Times New Roman"/>
          <w:sz w:val="22"/>
        </w:rPr>
        <w:t xml:space="preserve"> and Webster </w:t>
      </w:r>
      <w:proofErr w:type="spellStart"/>
      <w:r w:rsidRPr="009D683D">
        <w:rPr>
          <w:rFonts w:ascii="Calibri" w:eastAsia="Calibri" w:hAnsi="Calibri" w:cs="Times New Roman"/>
          <w:sz w:val="22"/>
        </w:rPr>
        <w:t>Paks</w:t>
      </w:r>
      <w:proofErr w:type="spellEnd"/>
      <w:r w:rsidRPr="009D683D">
        <w:rPr>
          <w:rFonts w:ascii="Calibri" w:eastAsia="Calibri" w:hAnsi="Calibri" w:cs="Times New Roman"/>
          <w:sz w:val="22"/>
        </w:rPr>
        <w:t xml:space="preserve"> are similar, their layouts differ slightly. As a result, patients who have been trained to use Webster </w:t>
      </w:r>
      <w:proofErr w:type="spellStart"/>
      <w:r w:rsidRPr="009D683D">
        <w:rPr>
          <w:rFonts w:ascii="Calibri" w:eastAsia="Calibri" w:hAnsi="Calibri" w:cs="Times New Roman"/>
          <w:sz w:val="22"/>
        </w:rPr>
        <w:t>Paks</w:t>
      </w:r>
      <w:proofErr w:type="spellEnd"/>
      <w:r w:rsidRPr="009D683D">
        <w:rPr>
          <w:rFonts w:ascii="Calibri" w:eastAsia="Calibri" w:hAnsi="Calibri" w:cs="Times New Roman"/>
          <w:sz w:val="22"/>
        </w:rPr>
        <w:t xml:space="preserve"> during their immediate post-transplant care, but are then provided with a </w:t>
      </w:r>
      <w:proofErr w:type="spellStart"/>
      <w:r w:rsidRPr="009D683D">
        <w:rPr>
          <w:rFonts w:ascii="Calibri" w:eastAsia="Calibri" w:hAnsi="Calibri" w:cs="Times New Roman"/>
          <w:sz w:val="22"/>
        </w:rPr>
        <w:t>dosette</w:t>
      </w:r>
      <w:proofErr w:type="spellEnd"/>
      <w:r w:rsidRPr="009D683D">
        <w:rPr>
          <w:rFonts w:ascii="Calibri" w:eastAsia="Calibri" w:hAnsi="Calibri" w:cs="Times New Roman"/>
          <w:sz w:val="22"/>
        </w:rPr>
        <w:t xml:space="preserve"> upon returning to their home state may end up taking doses at the wrong time of day or skipping doses altogether due to the unfamiliar layout.  It is thus recommended that Australian transplant centres and </w:t>
      </w:r>
      <w:proofErr w:type="spellStart"/>
      <w:r w:rsidRPr="009D683D">
        <w:rPr>
          <w:rFonts w:ascii="Calibri" w:eastAsia="Calibri" w:hAnsi="Calibri" w:cs="Times New Roman"/>
          <w:sz w:val="22"/>
        </w:rPr>
        <w:t>renal</w:t>
      </w:r>
      <w:proofErr w:type="spellEnd"/>
      <w:r w:rsidRPr="009D683D">
        <w:rPr>
          <w:rFonts w:ascii="Calibri" w:eastAsia="Calibri" w:hAnsi="Calibri" w:cs="Times New Roman"/>
          <w:sz w:val="22"/>
        </w:rPr>
        <w:t xml:space="preserve"> units establish a national DAA protocol to ensure all patients receive the same post-transplant care regardless of where they are receiving treatment. </w:t>
      </w:r>
    </w:p>
    <w:p w14:paraId="7E9FDFBB" w14:textId="77777777"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Trialling novel, long acting immunosuppressive agents</w:t>
      </w:r>
    </w:p>
    <w:p w14:paraId="5657144D" w14:textId="77777777" w:rsidR="009D683D" w:rsidRPr="009D683D" w:rsidRDefault="009D683D" w:rsidP="009D683D">
      <w:pPr>
        <w:jc w:val="both"/>
        <w:rPr>
          <w:rFonts w:ascii="Calibri" w:eastAsia="Calibri" w:hAnsi="Calibri" w:cs="Times New Roman"/>
          <w:sz w:val="22"/>
        </w:rPr>
      </w:pPr>
      <w:r w:rsidRPr="009D683D">
        <w:rPr>
          <w:rFonts w:ascii="Calibri" w:eastAsia="Calibri" w:hAnsi="Calibri" w:cs="Times New Roman"/>
          <w:sz w:val="22"/>
        </w:rPr>
        <w:t xml:space="preserve">New immunosuppressive agents are being developed to reduce acute rejection, improve long-term outcomes, minimise nephrotoxicity, reduce infections, cardiovascular, and malignancy-related </w:t>
      </w:r>
      <w:r w:rsidRPr="009D683D">
        <w:rPr>
          <w:rFonts w:ascii="Calibri" w:eastAsia="Calibri" w:hAnsi="Calibri" w:cs="Times New Roman"/>
          <w:sz w:val="22"/>
        </w:rPr>
        <w:lastRenderedPageBreak/>
        <w:t xml:space="preserve">complications, and promote adherence. Many of these agents, including </w:t>
      </w:r>
      <w:proofErr w:type="spellStart"/>
      <w:r w:rsidRPr="009D683D">
        <w:rPr>
          <w:rFonts w:ascii="Calibri" w:eastAsia="Calibri" w:hAnsi="Calibri" w:cs="Times New Roman"/>
          <w:sz w:val="22"/>
        </w:rPr>
        <w:t>belatacept</w:t>
      </w:r>
      <w:proofErr w:type="spellEnd"/>
      <w:r w:rsidRPr="009D683D">
        <w:rPr>
          <w:rFonts w:ascii="Calibri" w:eastAsia="Calibri" w:hAnsi="Calibri" w:cs="Times New Roman"/>
          <w:sz w:val="22"/>
        </w:rPr>
        <w:t>, are yet to be trialled in the Australian context. Interventional clinical trials are needed to determine the safety and efficacy of novel, long acting immunosuppressive agents in adult kidney transplant recipients in Australia, particularly Indigenous recipients and those returning to rural and remote communities</w:t>
      </w:r>
    </w:p>
    <w:bookmarkStart w:id="92" w:name="_Toc2585843"/>
    <w:p w14:paraId="65B2A21D" w14:textId="77777777" w:rsidR="009D683D" w:rsidRPr="009D683D" w:rsidRDefault="009D683D" w:rsidP="009D683D">
      <w:pPr>
        <w:keepNext/>
        <w:keepLines/>
        <w:spacing w:before="40" w:after="0"/>
        <w:outlineLvl w:val="2"/>
        <w:rPr>
          <w:rFonts w:ascii="Calibri Light" w:eastAsia="Times New Roman" w:hAnsi="Calibri Light" w:cs="Times New Roman"/>
          <w:sz w:val="2"/>
          <w:szCs w:val="24"/>
        </w:rPr>
      </w:pPr>
      <w:r w:rsidRPr="009D683D">
        <w:rPr>
          <w:rFonts w:ascii="Calibri Light" w:eastAsia="Times New Roman" w:hAnsi="Calibri Light" w:cs="Times New Roman"/>
          <w:noProof/>
          <w:sz w:val="24"/>
          <w:szCs w:val="24"/>
          <w:lang w:eastAsia="en-AU"/>
        </w:rPr>
        <mc:AlternateContent>
          <mc:Choice Requires="wps">
            <w:drawing>
              <wp:inline distT="0" distB="0" distL="0" distR="0" wp14:anchorId="04A93397" wp14:editId="6F98C22D">
                <wp:extent cx="5705475" cy="3524250"/>
                <wp:effectExtent l="0" t="0" r="28575" b="1905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524250"/>
                        </a:xfrm>
                        <a:prstGeom prst="rect">
                          <a:avLst/>
                        </a:prstGeom>
                        <a:solidFill>
                          <a:srgbClr val="70AD47">
                            <a:lumMod val="20000"/>
                            <a:lumOff val="80000"/>
                          </a:srgbClr>
                        </a:solidFill>
                        <a:ln w="9525">
                          <a:solidFill>
                            <a:srgbClr val="000000"/>
                          </a:solidFill>
                          <a:miter lim="800000"/>
                          <a:headEnd/>
                          <a:tailEnd/>
                        </a:ln>
                      </wps:spPr>
                      <wps:txbx>
                        <w:txbxContent>
                          <w:p w14:paraId="1A9944BD" w14:textId="77777777" w:rsidR="00A41391" w:rsidRPr="003C7C88" w:rsidRDefault="00A41391" w:rsidP="009D683D">
                            <w:pPr>
                              <w:spacing w:line="276" w:lineRule="auto"/>
                              <w:jc w:val="both"/>
                              <w:rPr>
                                <w:b/>
                                <w:sz w:val="24"/>
                              </w:rPr>
                            </w:pPr>
                            <w:bookmarkStart w:id="93" w:name="_Hlk535326529"/>
                            <w:r w:rsidRPr="003C7C88">
                              <w:rPr>
                                <w:b/>
                                <w:sz w:val="24"/>
                              </w:rPr>
                              <w:t>Box 17: Outline of an interventional clinical trial of belatacept</w:t>
                            </w:r>
                          </w:p>
                          <w:bookmarkEnd w:id="93"/>
                          <w:p w14:paraId="04EEC65A" w14:textId="77777777" w:rsidR="00A41391" w:rsidRPr="00B02A86" w:rsidRDefault="00A41391" w:rsidP="009D683D">
                            <w:pPr>
                              <w:spacing w:after="0" w:line="276" w:lineRule="auto"/>
                              <w:jc w:val="both"/>
                              <w:rPr>
                                <w:b/>
                              </w:rPr>
                            </w:pPr>
                            <w:r w:rsidRPr="00B02A86">
                              <w:rPr>
                                <w:b/>
                              </w:rPr>
                              <w:t>Proposed intervention groups:</w:t>
                            </w:r>
                          </w:p>
                          <w:p w14:paraId="573C2D4E" w14:textId="77777777" w:rsidR="00A41391" w:rsidRPr="00F24A45" w:rsidRDefault="00A41391" w:rsidP="00782640">
                            <w:pPr>
                              <w:numPr>
                                <w:ilvl w:val="0"/>
                                <w:numId w:val="53"/>
                              </w:numPr>
                              <w:spacing w:after="0" w:line="276" w:lineRule="auto"/>
                              <w:contextualSpacing/>
                              <w:jc w:val="both"/>
                            </w:pPr>
                            <w:r w:rsidRPr="00F24A45">
                              <w:t xml:space="preserve">Experimental – </w:t>
                            </w:r>
                            <w:r>
                              <w:t>B</w:t>
                            </w:r>
                            <w:r w:rsidRPr="00F24A45">
                              <w:t>elatacept Immunosuppression</w:t>
                            </w:r>
                          </w:p>
                          <w:p w14:paraId="3AA2F588" w14:textId="77777777" w:rsidR="00A41391" w:rsidRPr="00F24A45" w:rsidRDefault="00A41391" w:rsidP="00782640">
                            <w:pPr>
                              <w:pStyle w:val="ListParagraph"/>
                              <w:numPr>
                                <w:ilvl w:val="0"/>
                                <w:numId w:val="80"/>
                              </w:numPr>
                              <w:spacing w:after="0" w:line="276" w:lineRule="auto"/>
                              <w:jc w:val="both"/>
                            </w:pPr>
                            <w:r w:rsidRPr="00F24A45">
                              <w:t xml:space="preserve">Kidney transplant recipients will receive steroids (Methylprednisolone), rATG, Belatacept and Mycophenolate. </w:t>
                            </w:r>
                          </w:p>
                          <w:p w14:paraId="18B24756" w14:textId="77777777" w:rsidR="00A41391" w:rsidRPr="00F24A45" w:rsidRDefault="00A41391" w:rsidP="00782640">
                            <w:pPr>
                              <w:numPr>
                                <w:ilvl w:val="0"/>
                                <w:numId w:val="53"/>
                              </w:numPr>
                              <w:spacing w:after="0" w:line="276" w:lineRule="auto"/>
                              <w:contextualSpacing/>
                              <w:jc w:val="both"/>
                            </w:pPr>
                            <w:r w:rsidRPr="00F24A45">
                              <w:t>Active Comparator – Standard Immunosuppression (Tacrolimus)</w:t>
                            </w:r>
                          </w:p>
                          <w:p w14:paraId="0A677B6C" w14:textId="77777777" w:rsidR="00A41391" w:rsidRDefault="00A41391" w:rsidP="00782640">
                            <w:pPr>
                              <w:pStyle w:val="ListParagraph"/>
                              <w:numPr>
                                <w:ilvl w:val="0"/>
                                <w:numId w:val="80"/>
                              </w:numPr>
                              <w:spacing w:line="276" w:lineRule="auto"/>
                              <w:jc w:val="both"/>
                            </w:pPr>
                            <w:r w:rsidRPr="00F24A45">
                              <w:t xml:space="preserve">Kidney transplant recipients will receive standard immunosuppressive therapy, including steroids (Methylprednisolone), rATG, Tacrolimus and Mycophenolate. </w:t>
                            </w:r>
                          </w:p>
                          <w:p w14:paraId="3EF69528" w14:textId="77777777" w:rsidR="00A41391" w:rsidRDefault="00A41391" w:rsidP="009D683D">
                            <w:pPr>
                              <w:spacing w:after="0" w:line="276" w:lineRule="auto"/>
                              <w:jc w:val="both"/>
                            </w:pPr>
                            <w:r w:rsidRPr="00B02A86">
                              <w:rPr>
                                <w:b/>
                              </w:rPr>
                              <w:t>Proposed outcome measures</w:t>
                            </w:r>
                            <w:r>
                              <w:t>:</w:t>
                            </w:r>
                          </w:p>
                          <w:p w14:paraId="14C4FED8" w14:textId="77777777" w:rsidR="00A41391" w:rsidRDefault="00A41391" w:rsidP="00782640">
                            <w:pPr>
                              <w:pStyle w:val="ListParagraph"/>
                              <w:numPr>
                                <w:ilvl w:val="0"/>
                                <w:numId w:val="53"/>
                              </w:numPr>
                              <w:spacing w:line="276" w:lineRule="auto"/>
                              <w:jc w:val="both"/>
                            </w:pPr>
                            <w:r>
                              <w:t>G</w:t>
                            </w:r>
                            <w:r w:rsidRPr="00F24A45">
                              <w:t>raft survival rates</w:t>
                            </w:r>
                          </w:p>
                          <w:p w14:paraId="647159BE" w14:textId="77777777" w:rsidR="00A41391" w:rsidRDefault="00A41391" w:rsidP="00782640">
                            <w:pPr>
                              <w:pStyle w:val="ListParagraph"/>
                              <w:numPr>
                                <w:ilvl w:val="0"/>
                                <w:numId w:val="53"/>
                              </w:numPr>
                              <w:spacing w:line="276" w:lineRule="auto"/>
                              <w:jc w:val="both"/>
                            </w:pPr>
                            <w:r>
                              <w:t>N</w:t>
                            </w:r>
                            <w:r w:rsidRPr="00F24A45">
                              <w:t>umber of graft rejection</w:t>
                            </w:r>
                            <w:r>
                              <w:t xml:space="preserve"> and infective complication</w:t>
                            </w:r>
                            <w:r w:rsidRPr="00F24A45">
                              <w:t xml:space="preserve"> episodes</w:t>
                            </w:r>
                            <w:r>
                              <w:t xml:space="preserve"> </w:t>
                            </w:r>
                          </w:p>
                          <w:p w14:paraId="6B8CAD7B" w14:textId="77777777" w:rsidR="00A41391" w:rsidRDefault="00A41391" w:rsidP="00782640">
                            <w:pPr>
                              <w:pStyle w:val="ListParagraph"/>
                              <w:numPr>
                                <w:ilvl w:val="0"/>
                                <w:numId w:val="53"/>
                              </w:numPr>
                              <w:spacing w:line="276" w:lineRule="auto"/>
                              <w:jc w:val="both"/>
                            </w:pPr>
                            <w:r>
                              <w:t>R</w:t>
                            </w:r>
                            <w:r w:rsidRPr="00F24A45">
                              <w:t>enal function (on the basis of eGFR)</w:t>
                            </w:r>
                          </w:p>
                          <w:p w14:paraId="0EE83143" w14:textId="77777777" w:rsidR="00A41391" w:rsidRDefault="00A41391" w:rsidP="00782640">
                            <w:pPr>
                              <w:pStyle w:val="ListParagraph"/>
                              <w:numPr>
                                <w:ilvl w:val="0"/>
                                <w:numId w:val="53"/>
                              </w:numPr>
                              <w:spacing w:line="276" w:lineRule="auto"/>
                              <w:jc w:val="both"/>
                            </w:pPr>
                            <w:r>
                              <w:t>D</w:t>
                            </w:r>
                            <w:r w:rsidRPr="00F24A45">
                              <w:t>evelopment of donor-specific antibodies</w:t>
                            </w:r>
                          </w:p>
                          <w:p w14:paraId="7CB68844" w14:textId="77777777" w:rsidR="00A41391" w:rsidRDefault="00A41391" w:rsidP="00782640">
                            <w:pPr>
                              <w:pStyle w:val="ListParagraph"/>
                              <w:numPr>
                                <w:ilvl w:val="0"/>
                                <w:numId w:val="53"/>
                              </w:numPr>
                              <w:spacing w:line="276" w:lineRule="auto"/>
                              <w:jc w:val="both"/>
                            </w:pPr>
                            <w:r>
                              <w:t>Drug tolerability</w:t>
                            </w:r>
                          </w:p>
                          <w:p w14:paraId="01968A00" w14:textId="77777777" w:rsidR="00A41391" w:rsidRDefault="00A41391" w:rsidP="00782640">
                            <w:pPr>
                              <w:pStyle w:val="ListParagraph"/>
                              <w:numPr>
                                <w:ilvl w:val="0"/>
                                <w:numId w:val="53"/>
                              </w:numPr>
                              <w:spacing w:line="276" w:lineRule="auto"/>
                              <w:jc w:val="both"/>
                            </w:pPr>
                            <w:r>
                              <w:t>M</w:t>
                            </w:r>
                            <w:r w:rsidRPr="00F24A45">
                              <w:t>edication adherence</w:t>
                            </w:r>
                          </w:p>
                          <w:p w14:paraId="0738C7B1" w14:textId="77777777" w:rsidR="00A41391" w:rsidRPr="00F24A45" w:rsidRDefault="00A41391" w:rsidP="00782640">
                            <w:pPr>
                              <w:pStyle w:val="ListParagraph"/>
                              <w:numPr>
                                <w:ilvl w:val="0"/>
                                <w:numId w:val="53"/>
                              </w:numPr>
                              <w:spacing w:line="276" w:lineRule="auto"/>
                              <w:jc w:val="both"/>
                            </w:pPr>
                            <w:r>
                              <w:t>Rates of reintegration into the home community</w:t>
                            </w:r>
                          </w:p>
                          <w:p w14:paraId="285192CB" w14:textId="77777777" w:rsidR="00A41391" w:rsidRDefault="00A41391" w:rsidP="009D683D">
                            <w:pPr>
                              <w:spacing w:line="276" w:lineRule="auto"/>
                              <w:jc w:val="both"/>
                            </w:pPr>
                          </w:p>
                        </w:txbxContent>
                      </wps:txbx>
                      <wps:bodyPr rot="0" vert="horz" wrap="square" lIns="91440" tIns="45720" rIns="91440" bIns="45720" anchor="t" anchorCtr="0">
                        <a:noAutofit/>
                      </wps:bodyPr>
                    </wps:wsp>
                  </a:graphicData>
                </a:graphic>
              </wp:inline>
            </w:drawing>
          </mc:Choice>
          <mc:Fallback>
            <w:pict>
              <v:shape w14:anchorId="04A93397" id="_x0000_s1045" type="#_x0000_t202" style="width:449.2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" fillcolor="#e2f0d9">
                <v:textbox>
                  <w:txbxContent>
                    <w:p w14:paraId="1A9944BD" w14:textId="77777777" w:rsidR="00A41391" w:rsidRPr="003C7C88" w:rsidRDefault="00A41391" w:rsidP="009D683D">
                      <w:pPr>
                        <w:spacing w:line="276" w:lineRule="auto"/>
                        <w:jc w:val="both"/>
                        <w:rPr>
                          <w:b/>
                          <w:sz w:val="24"/>
                        </w:rPr>
                      </w:pPr>
                      <w:bookmarkStart w:id="101" w:name="_Hlk535326529"/>
                      <w:r w:rsidRPr="003C7C88">
                        <w:rPr>
                          <w:b/>
                          <w:sz w:val="24"/>
                        </w:rPr>
                        <w:t xml:space="preserve">Box 17: Outline of an interventional clinical trial of </w:t>
                      </w:r>
                      <w:r w:rsidRPr="003C7C88">
                        <w:rPr>
                          <w:b/>
                          <w:sz w:val="24"/>
                        </w:rPr>
                        <w:t>belatacept</w:t>
                      </w:r>
                    </w:p>
                    <w:bookmarkEnd w:id="101"/>
                    <w:p w14:paraId="04EEC65A" w14:textId="77777777" w:rsidR="00A41391" w:rsidRPr="00B02A86" w:rsidRDefault="00A41391" w:rsidP="009D683D">
                      <w:pPr>
                        <w:spacing w:after="0" w:line="276" w:lineRule="auto"/>
                        <w:jc w:val="both"/>
                        <w:rPr>
                          <w:b/>
                        </w:rPr>
                      </w:pPr>
                      <w:r w:rsidRPr="00B02A86">
                        <w:rPr>
                          <w:b/>
                        </w:rPr>
                        <w:t>Proposed intervention groups:</w:t>
                      </w:r>
                    </w:p>
                    <w:p w14:paraId="573C2D4E" w14:textId="77777777" w:rsidR="00A41391" w:rsidRPr="00F24A45" w:rsidRDefault="00A41391" w:rsidP="00782640">
                      <w:pPr>
                        <w:numPr>
                          <w:ilvl w:val="0"/>
                          <w:numId w:val="53"/>
                        </w:numPr>
                        <w:spacing w:after="0" w:line="276" w:lineRule="auto"/>
                        <w:contextualSpacing/>
                        <w:jc w:val="both"/>
                      </w:pPr>
                      <w:r w:rsidRPr="00F24A45">
                        <w:t xml:space="preserve">Experimental – </w:t>
                      </w:r>
                      <w:r>
                        <w:t>B</w:t>
                      </w:r>
                      <w:r w:rsidRPr="00F24A45">
                        <w:t>elatacept Immunosuppression</w:t>
                      </w:r>
                    </w:p>
                    <w:p w14:paraId="3AA2F588" w14:textId="77777777" w:rsidR="00A41391" w:rsidRPr="00F24A45" w:rsidRDefault="00A41391" w:rsidP="00782640">
                      <w:pPr>
                        <w:pStyle w:val="ListParagraph"/>
                        <w:numPr>
                          <w:ilvl w:val="0"/>
                          <w:numId w:val="80"/>
                        </w:numPr>
                        <w:spacing w:after="0" w:line="276" w:lineRule="auto"/>
                        <w:jc w:val="both"/>
                      </w:pPr>
                      <w:r w:rsidRPr="00F24A45">
                        <w:t xml:space="preserve">Kidney transplant recipients will receive steroids (Methylprednisolone), rATG, Belatacept and Mycophenolate. </w:t>
                      </w:r>
                    </w:p>
                    <w:p w14:paraId="18B24756" w14:textId="77777777" w:rsidR="00A41391" w:rsidRPr="00F24A45" w:rsidRDefault="00A41391" w:rsidP="00782640">
                      <w:pPr>
                        <w:numPr>
                          <w:ilvl w:val="0"/>
                          <w:numId w:val="53"/>
                        </w:numPr>
                        <w:spacing w:after="0" w:line="276" w:lineRule="auto"/>
                        <w:contextualSpacing/>
                        <w:jc w:val="both"/>
                      </w:pPr>
                      <w:r w:rsidRPr="00F24A45">
                        <w:t>Active Comparator – Standard Immunosuppression (Tacrolimus)</w:t>
                      </w:r>
                    </w:p>
                    <w:p w14:paraId="0A677B6C" w14:textId="77777777" w:rsidR="00A41391" w:rsidRDefault="00A41391" w:rsidP="00782640">
                      <w:pPr>
                        <w:pStyle w:val="ListParagraph"/>
                        <w:numPr>
                          <w:ilvl w:val="0"/>
                          <w:numId w:val="80"/>
                        </w:numPr>
                        <w:spacing w:line="276" w:lineRule="auto"/>
                        <w:jc w:val="both"/>
                      </w:pPr>
                      <w:r w:rsidRPr="00F24A45">
                        <w:t xml:space="preserve">Kidney transplant recipients will receive standard immunosuppressive therapy, including steroids (Methylprednisolone), rATG, Tacrolimus and Mycophenolate. </w:t>
                      </w:r>
                    </w:p>
                    <w:p w14:paraId="3EF69528" w14:textId="77777777" w:rsidR="00A41391" w:rsidRDefault="00A41391" w:rsidP="009D683D">
                      <w:pPr>
                        <w:spacing w:after="0" w:line="276" w:lineRule="auto"/>
                        <w:jc w:val="both"/>
                      </w:pPr>
                      <w:r w:rsidRPr="00B02A86">
                        <w:rPr>
                          <w:b/>
                        </w:rPr>
                        <w:t>Proposed outcome measures</w:t>
                      </w:r>
                      <w:r>
                        <w:t>:</w:t>
                      </w:r>
                    </w:p>
                    <w:p w14:paraId="14C4FED8" w14:textId="77777777" w:rsidR="00A41391" w:rsidRDefault="00A41391" w:rsidP="00782640">
                      <w:pPr>
                        <w:pStyle w:val="ListParagraph"/>
                        <w:numPr>
                          <w:ilvl w:val="0"/>
                          <w:numId w:val="53"/>
                        </w:numPr>
                        <w:spacing w:line="276" w:lineRule="auto"/>
                        <w:jc w:val="both"/>
                      </w:pPr>
                      <w:r>
                        <w:t>G</w:t>
                      </w:r>
                      <w:r w:rsidRPr="00F24A45">
                        <w:t>raft survival rates</w:t>
                      </w:r>
                    </w:p>
                    <w:p w14:paraId="647159BE" w14:textId="77777777" w:rsidR="00A41391" w:rsidRDefault="00A41391" w:rsidP="00782640">
                      <w:pPr>
                        <w:pStyle w:val="ListParagraph"/>
                        <w:numPr>
                          <w:ilvl w:val="0"/>
                          <w:numId w:val="53"/>
                        </w:numPr>
                        <w:spacing w:line="276" w:lineRule="auto"/>
                        <w:jc w:val="both"/>
                      </w:pPr>
                      <w:r>
                        <w:t>N</w:t>
                      </w:r>
                      <w:r w:rsidRPr="00F24A45">
                        <w:t>umber of graft rejection</w:t>
                      </w:r>
                      <w:r>
                        <w:t xml:space="preserve"> and infective complication</w:t>
                      </w:r>
                      <w:r w:rsidRPr="00F24A45">
                        <w:t xml:space="preserve"> episodes</w:t>
                      </w:r>
                      <w:r>
                        <w:t xml:space="preserve"> </w:t>
                      </w:r>
                    </w:p>
                    <w:p w14:paraId="6B8CAD7B" w14:textId="77777777" w:rsidR="00A41391" w:rsidRDefault="00A41391" w:rsidP="00782640">
                      <w:pPr>
                        <w:pStyle w:val="ListParagraph"/>
                        <w:numPr>
                          <w:ilvl w:val="0"/>
                          <w:numId w:val="53"/>
                        </w:numPr>
                        <w:spacing w:line="276" w:lineRule="auto"/>
                        <w:jc w:val="both"/>
                      </w:pPr>
                      <w:r>
                        <w:t>R</w:t>
                      </w:r>
                      <w:r w:rsidRPr="00F24A45">
                        <w:t>enal function (on the basis of eGFR)</w:t>
                      </w:r>
                    </w:p>
                    <w:p w14:paraId="0EE83143" w14:textId="77777777" w:rsidR="00A41391" w:rsidRDefault="00A41391" w:rsidP="00782640">
                      <w:pPr>
                        <w:pStyle w:val="ListParagraph"/>
                        <w:numPr>
                          <w:ilvl w:val="0"/>
                          <w:numId w:val="53"/>
                        </w:numPr>
                        <w:spacing w:line="276" w:lineRule="auto"/>
                        <w:jc w:val="both"/>
                      </w:pPr>
                      <w:r>
                        <w:t>D</w:t>
                      </w:r>
                      <w:r w:rsidRPr="00F24A45">
                        <w:t>evelopment of donor-specific antibodies</w:t>
                      </w:r>
                    </w:p>
                    <w:p w14:paraId="7CB68844" w14:textId="77777777" w:rsidR="00A41391" w:rsidRDefault="00A41391" w:rsidP="00782640">
                      <w:pPr>
                        <w:pStyle w:val="ListParagraph"/>
                        <w:numPr>
                          <w:ilvl w:val="0"/>
                          <w:numId w:val="53"/>
                        </w:numPr>
                        <w:spacing w:line="276" w:lineRule="auto"/>
                        <w:jc w:val="both"/>
                      </w:pPr>
                      <w:r>
                        <w:t>Drug tolerability</w:t>
                      </w:r>
                    </w:p>
                    <w:p w14:paraId="01968A00" w14:textId="77777777" w:rsidR="00A41391" w:rsidRDefault="00A41391" w:rsidP="00782640">
                      <w:pPr>
                        <w:pStyle w:val="ListParagraph"/>
                        <w:numPr>
                          <w:ilvl w:val="0"/>
                          <w:numId w:val="53"/>
                        </w:numPr>
                        <w:spacing w:line="276" w:lineRule="auto"/>
                        <w:jc w:val="both"/>
                      </w:pPr>
                      <w:r>
                        <w:t>M</w:t>
                      </w:r>
                      <w:r w:rsidRPr="00F24A45">
                        <w:t>edication adherence</w:t>
                      </w:r>
                    </w:p>
                    <w:p w14:paraId="0738C7B1" w14:textId="77777777" w:rsidR="00A41391" w:rsidRPr="00F24A45" w:rsidRDefault="00A41391" w:rsidP="00782640">
                      <w:pPr>
                        <w:pStyle w:val="ListParagraph"/>
                        <w:numPr>
                          <w:ilvl w:val="0"/>
                          <w:numId w:val="53"/>
                        </w:numPr>
                        <w:spacing w:line="276" w:lineRule="auto"/>
                        <w:jc w:val="both"/>
                      </w:pPr>
                      <w:r>
                        <w:t>Rates of reintegration into the home community</w:t>
                      </w:r>
                    </w:p>
                    <w:p w14:paraId="285192CB" w14:textId="77777777" w:rsidR="00A41391" w:rsidRDefault="00A41391" w:rsidP="009D683D">
                      <w:pPr>
                        <w:spacing w:line="276" w:lineRule="auto"/>
                        <w:jc w:val="both"/>
                      </w:pPr>
                    </w:p>
                  </w:txbxContent>
                </v:textbox>
                <w10:anchorlock/>
              </v:shape>
            </w:pict>
          </mc:Fallback>
        </mc:AlternateContent>
      </w:r>
      <w:bookmarkEnd w:id="92"/>
    </w:p>
    <w:p w14:paraId="314DB301" w14:textId="77777777" w:rsidR="0055104B" w:rsidRDefault="0055104B" w:rsidP="009D683D">
      <w:pPr>
        <w:keepNext/>
        <w:keepLines/>
        <w:numPr>
          <w:ilvl w:val="3"/>
          <w:numId w:val="0"/>
        </w:numPr>
        <w:spacing w:before="40" w:after="0"/>
        <w:ind w:left="864" w:hanging="864"/>
        <w:outlineLvl w:val="3"/>
        <w:rPr>
          <w:rFonts w:ascii="Calibri Light" w:eastAsia="Times New Roman" w:hAnsi="Calibri Light" w:cs="Times New Roman"/>
          <w:i/>
          <w:iCs/>
          <w:sz w:val="22"/>
        </w:rPr>
      </w:pPr>
    </w:p>
    <w:p w14:paraId="11023211" w14:textId="36CB5376"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Simplifying existing immunosuppressive regimens</w:t>
      </w:r>
    </w:p>
    <w:p w14:paraId="1C476F80"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Past research has found that reducing immunosuppressive dosing frequency for kidney transplant recipients improves their adherence to the treatment regimen and overall quality of life </w:t>
      </w:r>
      <w:r w:rsidRPr="009D683D">
        <w:rPr>
          <w:rFonts w:ascii="Calibri" w:eastAsia="Calibri" w:hAnsi="Calibri" w:cs="Times New Roman"/>
          <w:sz w:val="22"/>
        </w:rPr>
        <w:fldChar w:fldCharType="begin">
          <w:fldData xml:space="preserve">PEVuZE5vdGU+PENpdGU+PEF1dGhvcj5PYmk8L0F1dGhvcj48WWVhcj4yMDEzPC9ZZWFyPjxSZWNO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PEVuZE5vdGU+PENpdGU+PEF1dGhvcj5PYmk8L0F1dGhvcj48WWVhcj4yMDEzPC9ZZWFyPjxSZWNO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(Obi et al., 2013)</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One way in which to achieve this is adopting prolonged-release tacrolimus-based regimens in Australian immunosuppressive protocols, as this simplifies patients’ post-transplant care requirements and reduces the likelihood of accidentally missing doses. </w:t>
      </w:r>
    </w:p>
    <w:p w14:paraId="7B8D3340" w14:textId="77777777"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bookmarkStart w:id="94" w:name="_Hlk532975392"/>
      <w:r w:rsidRPr="009D683D">
        <w:rPr>
          <w:rFonts w:ascii="Calibri Light" w:eastAsia="Times New Roman" w:hAnsi="Calibri Light" w:cs="Times New Roman"/>
          <w:i/>
          <w:iCs/>
          <w:sz w:val="22"/>
        </w:rPr>
        <w:t>Reducing immunosuppressant drug inefficacy and toxicities in Indigenous patients</w:t>
      </w:r>
    </w:p>
    <w:bookmarkEnd w:id="94"/>
    <w:p w14:paraId="72F40F77" w14:textId="77777777" w:rsidR="009D683D" w:rsidRPr="009D683D" w:rsidRDefault="009D683D" w:rsidP="009D683D">
      <w:pPr>
        <w:spacing w:line="276" w:lineRule="auto"/>
        <w:jc w:val="both"/>
        <w:rPr>
          <w:rFonts w:ascii="Calibri" w:eastAsia="Calibri" w:hAnsi="Calibri" w:cs="Calibri"/>
          <w:sz w:val="22"/>
        </w:rPr>
      </w:pPr>
      <w:r w:rsidRPr="009D683D">
        <w:rPr>
          <w:rFonts w:ascii="Calibri" w:eastAsia="Calibri" w:hAnsi="Calibri" w:cs="Calibri"/>
          <w:sz w:val="22"/>
        </w:rPr>
        <w:t xml:space="preserve">The PK Study is currently exploring genetic targets that may aid the development of tailored immunosuppressive protocols for the Indigenous patient population. </w:t>
      </w:r>
      <w:proofErr w:type="spellStart"/>
      <w:r w:rsidRPr="009D683D">
        <w:rPr>
          <w:rFonts w:ascii="Calibri" w:eastAsia="Calibri" w:hAnsi="Calibri" w:cs="Calibri"/>
          <w:sz w:val="22"/>
        </w:rPr>
        <w:t>Renal</w:t>
      </w:r>
      <w:proofErr w:type="spellEnd"/>
      <w:r w:rsidRPr="009D683D">
        <w:rPr>
          <w:rFonts w:ascii="Calibri" w:eastAsia="Calibri" w:hAnsi="Calibri" w:cs="Calibri"/>
          <w:sz w:val="22"/>
        </w:rPr>
        <w:t xml:space="preserve"> units may be able to harness relevant findings from this study to adjust immunosuppressive protocols for Indigenous kidney transplant recipients, reducing immunosuppressant drug inefficacy and toxicities and improving post-transplant outcomes. </w:t>
      </w:r>
    </w:p>
    <w:p w14:paraId="180233C1" w14:textId="77777777"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Identifying nationwide antecedents and predictors to severe infective episodes in Indigenous patients</w:t>
      </w:r>
    </w:p>
    <w:p w14:paraId="27883FC4" w14:textId="77777777" w:rsidR="009D683D" w:rsidRPr="009D683D" w:rsidRDefault="009D683D" w:rsidP="009D683D">
      <w:pPr>
        <w:spacing w:line="276" w:lineRule="auto"/>
        <w:jc w:val="both"/>
        <w:rPr>
          <w:rFonts w:ascii="Calibri" w:eastAsia="Calibri" w:hAnsi="Calibri" w:cs="Calibri"/>
          <w:sz w:val="22"/>
        </w:rPr>
      </w:pPr>
      <w:r w:rsidRPr="009D683D">
        <w:rPr>
          <w:rFonts w:ascii="Calibri" w:eastAsia="Calibri" w:hAnsi="Calibri" w:cs="Calibri"/>
          <w:sz w:val="22"/>
        </w:rPr>
        <w:t xml:space="preserve">Nationwide research is required to further explore the post-transplant infection rate disparity between Indigenous and non-Indigenous patients. However, due to the small number of transplants provided to Indigenous recipients, an appropriately powered randomised controlled trial is unlikely to be feasible in many areas. Instead, future research should endeavour to identify key medical, health service and environmental factors that promote or protect against recurrent or severe infective episodes that may drive the high risk of graft failure post-transplantation. An analysis of jurisdictional </w:t>
      </w:r>
      <w:r w:rsidRPr="009D683D">
        <w:rPr>
          <w:rFonts w:ascii="Calibri" w:eastAsia="Calibri" w:hAnsi="Calibri" w:cs="Calibri"/>
          <w:sz w:val="22"/>
        </w:rPr>
        <w:lastRenderedPageBreak/>
        <w:t xml:space="preserve">and regional differences should also be undertaken to enable </w:t>
      </w:r>
      <w:proofErr w:type="spellStart"/>
      <w:r w:rsidRPr="009D683D">
        <w:rPr>
          <w:rFonts w:ascii="Calibri" w:eastAsia="Calibri" w:hAnsi="Calibri" w:cs="Calibri"/>
          <w:sz w:val="22"/>
        </w:rPr>
        <w:t>renal</w:t>
      </w:r>
      <w:proofErr w:type="spellEnd"/>
      <w:r w:rsidRPr="009D683D">
        <w:rPr>
          <w:rFonts w:ascii="Calibri" w:eastAsia="Calibri" w:hAnsi="Calibri" w:cs="Calibri"/>
          <w:sz w:val="22"/>
        </w:rPr>
        <w:t xml:space="preserve"> units across Australia to introduce regionally specific infective prophylaxis protocols.</w:t>
      </w:r>
    </w:p>
    <w:p w14:paraId="31031513" w14:textId="77777777"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Adopting consistent clinical data collection protocols of infective complications</w:t>
      </w:r>
    </w:p>
    <w:p w14:paraId="5E4C4FB2" w14:textId="77777777" w:rsidR="009D683D" w:rsidRPr="009D683D" w:rsidRDefault="009D683D" w:rsidP="009D683D">
      <w:pPr>
        <w:spacing w:line="276" w:lineRule="auto"/>
        <w:jc w:val="both"/>
        <w:rPr>
          <w:rFonts w:ascii="Calibri" w:eastAsia="Calibri" w:hAnsi="Calibri" w:cs="Calibri"/>
          <w:sz w:val="22"/>
        </w:rPr>
      </w:pPr>
      <w:r w:rsidRPr="009D683D">
        <w:rPr>
          <w:rFonts w:ascii="Calibri" w:eastAsia="Calibri" w:hAnsi="Calibri" w:cs="Calibri"/>
          <w:sz w:val="22"/>
        </w:rPr>
        <w:t xml:space="preserve">From a clinical perspective, it is vital that those </w:t>
      </w:r>
      <w:proofErr w:type="spellStart"/>
      <w:r w:rsidRPr="009D683D">
        <w:rPr>
          <w:rFonts w:ascii="Calibri" w:eastAsia="Calibri" w:hAnsi="Calibri" w:cs="Calibri"/>
          <w:sz w:val="22"/>
        </w:rPr>
        <w:t>renal</w:t>
      </w:r>
      <w:proofErr w:type="spellEnd"/>
      <w:r w:rsidRPr="009D683D">
        <w:rPr>
          <w:rFonts w:ascii="Calibri" w:eastAsia="Calibri" w:hAnsi="Calibri" w:cs="Calibri"/>
          <w:sz w:val="22"/>
        </w:rPr>
        <w:t xml:space="preserve"> units responsible for providing care to Indigenous transplant patients cooperate to implement consistent clinical data collection protocols of infective complications. This will facilitate evaluation of uptake and effectiveness of prophylactic protocols for viral, bacterial and fungal infections.</w:t>
      </w:r>
    </w:p>
    <w:p w14:paraId="309A38AE" w14:textId="77777777" w:rsidR="009D683D" w:rsidRPr="009D683D" w:rsidRDefault="009D683D" w:rsidP="009D683D">
      <w:pPr>
        <w:keepNext/>
        <w:keepLines/>
        <w:numPr>
          <w:ilvl w:val="3"/>
          <w:numId w:val="0"/>
        </w:numPr>
        <w:spacing w:before="40" w:after="0"/>
        <w:ind w:left="864" w:hanging="864"/>
        <w:outlineLvl w:val="3"/>
        <w:rPr>
          <w:rFonts w:ascii="Calibri Light" w:eastAsia="Times New Roman" w:hAnsi="Calibri Light" w:cs="Times New Roman"/>
          <w:i/>
          <w:iCs/>
          <w:sz w:val="22"/>
        </w:rPr>
      </w:pPr>
      <w:r w:rsidRPr="009D683D">
        <w:rPr>
          <w:rFonts w:ascii="Calibri Light" w:eastAsia="Times New Roman" w:hAnsi="Calibri Light" w:cs="Times New Roman"/>
          <w:i/>
          <w:iCs/>
          <w:sz w:val="22"/>
        </w:rPr>
        <w:t>Implementing a tailored prophylactic protocol for Indigenous kidney transplant recipients, based on current evidence</w:t>
      </w:r>
    </w:p>
    <w:p w14:paraId="277D3CF6" w14:textId="77777777" w:rsidR="009D683D" w:rsidRPr="009D683D" w:rsidRDefault="009D683D" w:rsidP="009D683D">
      <w:pPr>
        <w:spacing w:line="276" w:lineRule="auto"/>
        <w:jc w:val="both"/>
        <w:rPr>
          <w:rFonts w:ascii="Calibri" w:eastAsia="Calibri" w:hAnsi="Calibri" w:cs="Calibri"/>
          <w:sz w:val="22"/>
        </w:rPr>
      </w:pPr>
      <w:r w:rsidRPr="009D683D">
        <w:rPr>
          <w:rFonts w:ascii="Calibri" w:eastAsia="Calibri" w:hAnsi="Calibri" w:cs="Calibri"/>
          <w:sz w:val="22"/>
        </w:rPr>
        <w:t xml:space="preserve">Currently, no national protocol for infective prophylaxis in Indigenous kidney transplant recipients exists; instead, individual clinical units develop and apply their own protocols. The development of a national protocol has a range of benefits, including: improved consistency of care; enhanced coordination between clinical units and primary care providers, particularly in remote areas; and acknowledgement on a nationwide scale of the importance of tailoring post-transplant care for Indigenous patients. As such, it is recommended that a national working group be established to develop, monitor and evaluate a standardised prophylactic protocol for all Australian </w:t>
      </w:r>
      <w:proofErr w:type="spellStart"/>
      <w:r w:rsidRPr="009D683D">
        <w:rPr>
          <w:rFonts w:ascii="Calibri" w:eastAsia="Calibri" w:hAnsi="Calibri" w:cs="Calibri"/>
          <w:sz w:val="22"/>
        </w:rPr>
        <w:t>renal</w:t>
      </w:r>
      <w:proofErr w:type="spellEnd"/>
      <w:r w:rsidRPr="009D683D">
        <w:rPr>
          <w:rFonts w:ascii="Calibri" w:eastAsia="Calibri" w:hAnsi="Calibri" w:cs="Calibri"/>
          <w:sz w:val="22"/>
        </w:rPr>
        <w:t xml:space="preserve"> units.</w:t>
      </w:r>
    </w:p>
    <w:p w14:paraId="0A98635E"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u w:val="single"/>
        </w:rPr>
        <w:t>Appendix C</w:t>
      </w:r>
      <w:r w:rsidRPr="009D683D">
        <w:rPr>
          <w:rFonts w:ascii="Calibri" w:eastAsia="Calibri" w:hAnsi="Calibri" w:cs="Times New Roman"/>
          <w:sz w:val="22"/>
        </w:rPr>
        <w:t xml:space="preserve"> outlines recommendation for a prophylactic protocol to prevent infection in Indigenous kidney transplant recipients, covering pretransplant screening, vaccination, antimicrobial prophylaxis and education. The majority of these recommendations draw from and build upon the findings of previous research, while others need to be evaluated as part of clinical trials before broader implementation. For some conditions, regionally specific approaches will need to be implemented to reflect differences in infection prevalence, such as prevalence and causative organisms of invasive fungal infection, gastrointestinal helminth infection, and skin and soft tissue infection.</w:t>
      </w:r>
    </w:p>
    <w:p w14:paraId="1328B0E4" w14:textId="77777777" w:rsidR="009D683D" w:rsidRPr="009D683D" w:rsidRDefault="009D683D" w:rsidP="009D683D">
      <w:pPr>
        <w:spacing w:line="276" w:lineRule="auto"/>
        <w:jc w:val="both"/>
        <w:rPr>
          <w:rFonts w:ascii="Calibri" w:eastAsia="Calibri" w:hAnsi="Calibri" w:cs="Times New Roman"/>
          <w:sz w:val="22"/>
        </w:rPr>
      </w:pPr>
    </w:p>
    <w:p w14:paraId="1B16E6F5" w14:textId="77777777" w:rsidR="009D683D" w:rsidRPr="009D683D" w:rsidRDefault="009D683D" w:rsidP="009D683D">
      <w:pPr>
        <w:spacing w:line="276" w:lineRule="auto"/>
        <w:jc w:val="both"/>
        <w:rPr>
          <w:rFonts w:ascii="Calibri" w:eastAsia="Calibri" w:hAnsi="Calibri" w:cs="Calibri"/>
          <w:sz w:val="22"/>
        </w:rPr>
      </w:pPr>
      <w:r w:rsidRPr="009D683D">
        <w:rPr>
          <w:rFonts w:ascii="Calibri" w:eastAsia="Calibri" w:hAnsi="Calibri" w:cs="Times New Roman"/>
          <w:sz w:val="22"/>
        </w:rPr>
        <w:br w:type="page"/>
      </w:r>
    </w:p>
    <w:p w14:paraId="58A70D75" w14:textId="77777777" w:rsidR="009D683D" w:rsidRPr="009D683D" w:rsidRDefault="009D683D" w:rsidP="009D683D">
      <w:pPr>
        <w:keepNext/>
        <w:keepLines/>
        <w:spacing w:before="240" w:after="0"/>
        <w:ind w:left="360" w:hanging="360"/>
        <w:outlineLvl w:val="0"/>
        <w:rPr>
          <w:rFonts w:ascii="Calibri Light" w:eastAsia="Times New Roman" w:hAnsi="Calibri Light" w:cs="Times New Roman"/>
          <w:sz w:val="32"/>
          <w:szCs w:val="32"/>
        </w:rPr>
      </w:pPr>
      <w:bookmarkStart w:id="95" w:name="_Toc2585844"/>
      <w:r w:rsidRPr="009D683D">
        <w:rPr>
          <w:rFonts w:ascii="Calibri Light" w:eastAsia="Times New Roman" w:hAnsi="Calibri Light" w:cs="Times New Roman"/>
          <w:sz w:val="32"/>
          <w:szCs w:val="32"/>
        </w:rPr>
        <w:lastRenderedPageBreak/>
        <w:t>Summary</w:t>
      </w:r>
      <w:bookmarkEnd w:id="95"/>
    </w:p>
    <w:p w14:paraId="1BBC3426"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This report has outlined the various reasons contributing to Indigenous patients’ under-representation on the kidney transplant waitlist and in receiving a transplant, including:</w:t>
      </w:r>
    </w:p>
    <w:p w14:paraId="1E2945D6" w14:textId="77777777" w:rsidR="009D683D" w:rsidRPr="009D683D" w:rsidRDefault="009D683D" w:rsidP="00782640">
      <w:pPr>
        <w:numPr>
          <w:ilvl w:val="0"/>
          <w:numId w:val="68"/>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The challenges in delivering appropriate health services to people living in remote areas, who might also have low health literacy and not speak English as a first language.</w:t>
      </w:r>
    </w:p>
    <w:p w14:paraId="3068E6C7" w14:textId="77777777" w:rsidR="009D683D" w:rsidRPr="009D683D" w:rsidRDefault="009D683D" w:rsidP="00782640">
      <w:pPr>
        <w:numPr>
          <w:ilvl w:val="0"/>
          <w:numId w:val="68"/>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The greater burden of comorbid illness among Indigenous dialysis patients, leading to fewer patients being deemed medically suitable.</w:t>
      </w:r>
    </w:p>
    <w:p w14:paraId="436A376F" w14:textId="77777777" w:rsidR="009D683D" w:rsidRPr="009D683D" w:rsidRDefault="009D683D" w:rsidP="00782640">
      <w:pPr>
        <w:numPr>
          <w:ilvl w:val="0"/>
          <w:numId w:val="68"/>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The shortage of living and deceased donors from within Indigenous communities.</w:t>
      </w:r>
    </w:p>
    <w:p w14:paraId="5CDD80AD" w14:textId="77777777" w:rsidR="009D683D" w:rsidRPr="009D683D" w:rsidRDefault="009D683D" w:rsidP="00782640">
      <w:pPr>
        <w:numPr>
          <w:ilvl w:val="0"/>
          <w:numId w:val="68"/>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The length of time on the waiting list and the allocation system based primarily on HLA matching.</w:t>
      </w:r>
    </w:p>
    <w:p w14:paraId="389E6782" w14:textId="77777777" w:rsidR="009D683D" w:rsidRPr="009D683D" w:rsidRDefault="009D683D" w:rsidP="00782640">
      <w:pPr>
        <w:numPr>
          <w:ilvl w:val="0"/>
          <w:numId w:val="68"/>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The dislocation that follows from moving to transplant centres in distant capital cities.</w:t>
      </w:r>
    </w:p>
    <w:p w14:paraId="2FF5A6F7" w14:textId="77777777" w:rsidR="009D683D" w:rsidRPr="009D683D" w:rsidRDefault="009D683D" w:rsidP="00782640">
      <w:pPr>
        <w:numPr>
          <w:ilvl w:val="0"/>
          <w:numId w:val="68"/>
        </w:numPr>
        <w:spacing w:line="276" w:lineRule="auto"/>
        <w:contextualSpacing/>
        <w:jc w:val="both"/>
        <w:rPr>
          <w:rFonts w:ascii="Calibri" w:eastAsia="Calibri" w:hAnsi="Calibri" w:cs="Times New Roman"/>
          <w:sz w:val="22"/>
        </w:rPr>
      </w:pPr>
      <w:r w:rsidRPr="009D683D">
        <w:rPr>
          <w:rFonts w:ascii="Calibri" w:eastAsia="Calibri" w:hAnsi="Calibri" w:cs="Times New Roman"/>
          <w:sz w:val="22"/>
        </w:rPr>
        <w:t>The high complication rate, particularly in terms of early infectious complications, leading to poor transplant outcomes (i.e. higher death and graft loss rates).</w:t>
      </w:r>
    </w:p>
    <w:p w14:paraId="42062BAB" w14:textId="77777777" w:rsidR="00EC7110" w:rsidRDefault="00EC7110" w:rsidP="009D683D">
      <w:pPr>
        <w:spacing w:line="276" w:lineRule="auto"/>
        <w:jc w:val="both"/>
        <w:rPr>
          <w:rFonts w:ascii="Calibri" w:eastAsia="Calibri" w:hAnsi="Calibri" w:cs="Times New Roman"/>
          <w:sz w:val="22"/>
        </w:rPr>
      </w:pPr>
    </w:p>
    <w:p w14:paraId="7E13292B" w14:textId="4FC13474"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The scope of these barriers, covering cultural, social, psychological, biological and genetic areas, makes improving transplant outcomes for Indigenous candidates an incredibly challenging and complex task. There is no easy fix – achieving progress will require a multifaceted approach that targets identified pre- and post-transplant barriers. As outlined in Figure 14, further research, changes to the delivery of health services, and new policies are needed. This will require close collaboration between consumers, research organisations, health services, peak bodies and state, territory and federal governments to enable comprehensive and holistic solutions to be identified and implemented.  </w:t>
      </w:r>
    </w:p>
    <w:p w14:paraId="401F55DA" w14:textId="77777777" w:rsidR="009D683D" w:rsidRPr="009D683D" w:rsidRDefault="009D683D" w:rsidP="009D683D">
      <w:pPr>
        <w:rPr>
          <w:rFonts w:ascii="Calibri" w:eastAsia="Calibri" w:hAnsi="Calibri" w:cs="Times New Roman"/>
          <w:sz w:val="22"/>
        </w:rPr>
      </w:pPr>
    </w:p>
    <w:p w14:paraId="1E68DEB5" w14:textId="210A53B3" w:rsidR="009D683D" w:rsidRPr="009D683D" w:rsidRDefault="009D683D" w:rsidP="009B2280">
      <w:pPr>
        <w:spacing w:after="3"/>
        <w:ind w:left="-425" w:hanging="10"/>
        <w:rPr>
          <w:rFonts w:ascii="Calibri" w:eastAsia="Calibri" w:hAnsi="Calibri" w:cs="Times New Roman"/>
          <w:sz w:val="22"/>
        </w:rPr>
      </w:pPr>
      <w:r w:rsidRPr="009D683D">
        <w:rPr>
          <w:rFonts w:ascii="Calibri" w:eastAsia="Calibri" w:hAnsi="Calibri" w:cs="Times New Roman"/>
          <w:sz w:val="22"/>
        </w:rPr>
        <w:br w:type="page"/>
      </w:r>
      <w:r w:rsidRPr="009D683D">
        <w:rPr>
          <w:rFonts w:ascii="Calibri" w:eastAsia="Calibri" w:hAnsi="Calibri" w:cs="Calibri"/>
          <w:noProof/>
          <w:color w:val="3D3D3D"/>
          <w:sz w:val="22"/>
          <w:lang w:eastAsia="en-AU"/>
        </w:rPr>
        <w:lastRenderedPageBreak/>
        <w:drawing>
          <wp:inline distT="0" distB="0" distL="0" distR="0" wp14:anchorId="5382D919" wp14:editId="2DD3CEC4">
            <wp:extent cx="6493510" cy="8758767"/>
            <wp:effectExtent l="0" t="0" r="2540" b="4445"/>
            <wp:docPr id="3009" name="Picture 3009" descr="Summary table of steps for establishment of a National Indigenous Kidney Transplantation Taskforce. "/>
            <wp:cNvGraphicFramePr/>
            <a:graphic xmlns:a="http://schemas.openxmlformats.org/drawingml/2006/main">
              <a:graphicData uri="http://schemas.openxmlformats.org/drawingml/2006/picture">
                <pic:pic xmlns:pic="http://schemas.openxmlformats.org/drawingml/2006/picture">
                  <pic:nvPicPr>
                    <pic:cNvPr id="3009" name="Picture 3009"/>
                    <pic:cNvPicPr/>
                  </pic:nvPicPr>
                  <pic:blipFill>
                    <a:blip r:embed="rId56" cstate="email">
                      <a:extLst>
                        <a:ext uri="{28A0092B-C50C-407E-A947-70E740481C1C}">
                          <a14:useLocalDpi xmlns:a14="http://schemas.microsoft.com/office/drawing/2010/main"/>
                        </a:ext>
                      </a:extLst>
                    </a:blip>
                    <a:stretch>
                      <a:fillRect/>
                    </a:stretch>
                  </pic:blipFill>
                  <pic:spPr>
                    <a:xfrm>
                      <a:off x="0" y="0"/>
                      <a:ext cx="6495014" cy="8760795"/>
                    </a:xfrm>
                    <a:prstGeom prst="rect">
                      <a:avLst/>
                    </a:prstGeom>
                  </pic:spPr>
                </pic:pic>
              </a:graphicData>
            </a:graphic>
          </wp:inline>
        </w:drawing>
      </w:r>
      <w:r w:rsidRPr="009D683D">
        <w:rPr>
          <w:rFonts w:ascii="Calibri" w:eastAsia="Calibri" w:hAnsi="Calibri" w:cs="Times New Roman"/>
          <w:i/>
          <w:sz w:val="22"/>
        </w:rPr>
        <w:lastRenderedPageBreak/>
        <w:t>Figure 14:</w:t>
      </w:r>
      <w:r w:rsidRPr="009D683D">
        <w:rPr>
          <w:rFonts w:ascii="Calibri" w:eastAsia="Calibri" w:hAnsi="Calibri" w:cs="Times New Roman"/>
          <w:sz w:val="22"/>
        </w:rPr>
        <w:t xml:space="preserve"> Recommendation mapping</w:t>
      </w:r>
      <w:r w:rsidR="009B2280" w:rsidRPr="009D683D">
        <w:rPr>
          <w:rFonts w:ascii="Calibri" w:eastAsia="Calibri" w:hAnsi="Calibri" w:cs="Times New Roman"/>
          <w:noProof/>
          <w:sz w:val="22"/>
          <w:lang w:eastAsia="en-AU"/>
        </w:rPr>
        <mc:AlternateContent>
          <mc:Choice Requires="wpg">
            <w:drawing>
              <wp:inline distT="0" distB="0" distL="0" distR="0" wp14:anchorId="262A19D9" wp14:editId="4895E264">
                <wp:extent cx="6206066" cy="8669867"/>
                <wp:effectExtent l="0" t="0" r="4445" b="0"/>
                <wp:docPr id="24" name="Group 24" descr="Summary table of list of recommendations "/>
                <wp:cNvGraphicFramePr/>
                <a:graphic xmlns:a="http://schemas.openxmlformats.org/drawingml/2006/main">
                  <a:graphicData uri="http://schemas.microsoft.com/office/word/2010/wordprocessingGroup">
                    <wpg:wgp>
                      <wpg:cNvGrpSpPr/>
                      <wpg:grpSpPr>
                        <a:xfrm>
                          <a:off x="0" y="0"/>
                          <a:ext cx="6206066" cy="8669867"/>
                          <a:chOff x="0" y="0"/>
                          <a:chExt cx="7559993" cy="9900455"/>
                        </a:xfrm>
                      </wpg:grpSpPr>
                      <wps:wsp>
                        <wps:cNvPr id="27" name="Shape 3014"/>
                        <wps:cNvSpPr/>
                        <wps:spPr>
                          <a:xfrm>
                            <a:off x="0" y="468457"/>
                            <a:ext cx="7559993" cy="9431998"/>
                          </a:xfrm>
                          <a:custGeom>
                            <a:avLst/>
                            <a:gdLst/>
                            <a:ahLst/>
                            <a:cxnLst/>
                            <a:rect l="0" t="0" r="0" b="0"/>
                            <a:pathLst>
                              <a:path w="7559993" h="9431998">
                                <a:moveTo>
                                  <a:pt x="0" y="0"/>
                                </a:moveTo>
                                <a:lnTo>
                                  <a:pt x="7559993" y="0"/>
                                </a:lnTo>
                                <a:lnTo>
                                  <a:pt x="7559993" y="9431998"/>
                                </a:lnTo>
                                <a:lnTo>
                                  <a:pt x="0" y="9431998"/>
                                </a:lnTo>
                                <a:lnTo>
                                  <a:pt x="0" y="0"/>
                                </a:lnTo>
                              </a:path>
                            </a:pathLst>
                          </a:custGeom>
                          <a:solidFill>
                            <a:srgbClr val="EAE6DD"/>
                          </a:solidFill>
                          <a:ln w="0" cap="flat">
                            <a:noFill/>
                            <a:miter lim="127000"/>
                          </a:ln>
                          <a:effectLst/>
                        </wps:spPr>
                        <wps:bodyPr/>
                      </wps:wsp>
                      <wps:wsp>
                        <wps:cNvPr id="29" name="Rectangle 27"/>
                        <wps:cNvSpPr/>
                        <wps:spPr>
                          <a:xfrm>
                            <a:off x="648000" y="620854"/>
                            <a:ext cx="6145351" cy="216196"/>
                          </a:xfrm>
                          <a:prstGeom prst="rect">
                            <a:avLst/>
                          </a:prstGeom>
                          <a:ln>
                            <a:noFill/>
                          </a:ln>
                        </wps:spPr>
                        <wps:txbx>
                          <w:txbxContent>
                            <w:p w14:paraId="7ADB0518" w14:textId="77777777" w:rsidR="009B2280" w:rsidRDefault="009B2280" w:rsidP="009B2280">
                              <w:r>
                                <w:rPr>
                                  <w:rFonts w:ascii="Calibri" w:eastAsia="Calibri" w:hAnsi="Calibri" w:cs="Calibri"/>
                                  <w:b/>
                                  <w:color w:val="181717"/>
                                  <w:w w:val="131"/>
                                  <w:sz w:val="21"/>
                                  <w:u w:val="single" w:color="3C3375"/>
                                </w:rPr>
                                <w:t>Establishment</w:t>
                              </w:r>
                              <w:r>
                                <w:rPr>
                                  <w:rFonts w:ascii="Calibri" w:eastAsia="Calibri" w:hAnsi="Calibri" w:cs="Calibri"/>
                                  <w:b/>
                                  <w:color w:val="181717"/>
                                  <w:spacing w:val="12"/>
                                  <w:w w:val="131"/>
                                  <w:sz w:val="21"/>
                                  <w:u w:val="single" w:color="3C3375"/>
                                </w:rPr>
                                <w:t xml:space="preserve"> </w:t>
                              </w:r>
                              <w:r>
                                <w:rPr>
                                  <w:rFonts w:ascii="Calibri" w:eastAsia="Calibri" w:hAnsi="Calibri" w:cs="Calibri"/>
                                  <w:b/>
                                  <w:color w:val="181717"/>
                                  <w:w w:val="131"/>
                                  <w:sz w:val="21"/>
                                  <w:u w:val="single" w:color="3C3375"/>
                                </w:rPr>
                                <w:t>of</w:t>
                              </w:r>
                              <w:r>
                                <w:rPr>
                                  <w:rFonts w:ascii="Calibri" w:eastAsia="Calibri" w:hAnsi="Calibri" w:cs="Calibri"/>
                                  <w:b/>
                                  <w:color w:val="181717"/>
                                  <w:spacing w:val="12"/>
                                  <w:w w:val="131"/>
                                  <w:sz w:val="21"/>
                                  <w:u w:val="single" w:color="3C3375"/>
                                </w:rPr>
                                <w:t xml:space="preserve"> </w:t>
                              </w:r>
                              <w:r>
                                <w:rPr>
                                  <w:rFonts w:ascii="Calibri" w:eastAsia="Calibri" w:hAnsi="Calibri" w:cs="Calibri"/>
                                  <w:b/>
                                  <w:color w:val="181717"/>
                                  <w:w w:val="131"/>
                                  <w:sz w:val="21"/>
                                  <w:u w:val="single" w:color="3C3375"/>
                                </w:rPr>
                                <w:t>a</w:t>
                              </w:r>
                              <w:r>
                                <w:rPr>
                                  <w:rFonts w:ascii="Calibri" w:eastAsia="Calibri" w:hAnsi="Calibri" w:cs="Calibri"/>
                                  <w:b/>
                                  <w:color w:val="181717"/>
                                  <w:spacing w:val="12"/>
                                  <w:w w:val="131"/>
                                  <w:sz w:val="21"/>
                                  <w:u w:val="single" w:color="3C3375"/>
                                </w:rPr>
                                <w:t xml:space="preserve"> </w:t>
                              </w:r>
                              <w:r>
                                <w:rPr>
                                  <w:rFonts w:ascii="Calibri" w:eastAsia="Calibri" w:hAnsi="Calibri" w:cs="Calibri"/>
                                  <w:b/>
                                  <w:color w:val="181717"/>
                                  <w:w w:val="131"/>
                                  <w:sz w:val="21"/>
                                  <w:u w:val="single" w:color="3C3375"/>
                                </w:rPr>
                                <w:t>National</w:t>
                              </w:r>
                              <w:r>
                                <w:rPr>
                                  <w:rFonts w:ascii="Calibri" w:eastAsia="Calibri" w:hAnsi="Calibri" w:cs="Calibri"/>
                                  <w:b/>
                                  <w:color w:val="181717"/>
                                  <w:spacing w:val="12"/>
                                  <w:w w:val="131"/>
                                  <w:sz w:val="21"/>
                                  <w:u w:val="single" w:color="3C3375"/>
                                </w:rPr>
                                <w:t xml:space="preserve"> </w:t>
                              </w:r>
                              <w:r>
                                <w:rPr>
                                  <w:rFonts w:ascii="Calibri" w:eastAsia="Calibri" w:hAnsi="Calibri" w:cs="Calibri"/>
                                  <w:b/>
                                  <w:color w:val="181717"/>
                                  <w:w w:val="131"/>
                                  <w:sz w:val="21"/>
                                  <w:u w:val="single" w:color="3C3375"/>
                                </w:rPr>
                                <w:t>Indigenous</w:t>
                              </w:r>
                              <w:r>
                                <w:rPr>
                                  <w:rFonts w:ascii="Calibri" w:eastAsia="Calibri" w:hAnsi="Calibri" w:cs="Calibri"/>
                                  <w:b/>
                                  <w:color w:val="181717"/>
                                  <w:spacing w:val="12"/>
                                  <w:w w:val="131"/>
                                  <w:sz w:val="21"/>
                                  <w:u w:val="single" w:color="3C3375"/>
                                </w:rPr>
                                <w:t xml:space="preserve"> Kidney </w:t>
                              </w:r>
                              <w:r>
                                <w:rPr>
                                  <w:rFonts w:ascii="Calibri" w:eastAsia="Calibri" w:hAnsi="Calibri" w:cs="Calibri"/>
                                  <w:b/>
                                  <w:color w:val="181717"/>
                                  <w:w w:val="131"/>
                                  <w:sz w:val="21"/>
                                  <w:u w:val="single" w:color="3C3375"/>
                                </w:rPr>
                                <w:t>Transplantation</w:t>
                              </w:r>
                              <w:r>
                                <w:rPr>
                                  <w:rFonts w:ascii="Calibri" w:eastAsia="Calibri" w:hAnsi="Calibri" w:cs="Calibri"/>
                                  <w:b/>
                                  <w:color w:val="181717"/>
                                  <w:spacing w:val="12"/>
                                  <w:w w:val="131"/>
                                  <w:sz w:val="21"/>
                                  <w:u w:val="single" w:color="3C3375"/>
                                </w:rPr>
                                <w:t xml:space="preserve"> </w:t>
                              </w:r>
                              <w:r>
                                <w:rPr>
                                  <w:rFonts w:ascii="Calibri" w:eastAsia="Calibri" w:hAnsi="Calibri" w:cs="Calibri"/>
                                  <w:b/>
                                  <w:color w:val="181717"/>
                                  <w:w w:val="131"/>
                                  <w:sz w:val="21"/>
                                  <w:u w:val="single" w:color="3C3375"/>
                                </w:rPr>
                                <w:t>Taskforce</w:t>
                              </w:r>
                            </w:p>
                          </w:txbxContent>
                        </wps:txbx>
                        <wps:bodyPr horzOverflow="overflow" vert="horz" lIns="0" tIns="0" rIns="0" bIns="0" rtlCol="0">
                          <a:noAutofit/>
                        </wps:bodyPr>
                      </wps:wsp>
                      <wps:wsp>
                        <wps:cNvPr id="30" name="Shape 188"/>
                        <wps:cNvSpPr/>
                        <wps:spPr>
                          <a:xfrm>
                            <a:off x="648000" y="854711"/>
                            <a:ext cx="209550" cy="209550"/>
                          </a:xfrm>
                          <a:custGeom>
                            <a:avLst/>
                            <a:gdLst/>
                            <a:ahLst/>
                            <a:cxnLst/>
                            <a:rect l="0" t="0" r="0" b="0"/>
                            <a:pathLst>
                              <a:path w="209550" h="209550">
                                <a:moveTo>
                                  <a:pt x="104775" y="0"/>
                                </a:moveTo>
                                <a:cubicBezTo>
                                  <a:pt x="162636" y="0"/>
                                  <a:pt x="209550" y="46914"/>
                                  <a:pt x="209550" y="104775"/>
                                </a:cubicBezTo>
                                <a:cubicBezTo>
                                  <a:pt x="209550" y="162636"/>
                                  <a:pt x="162636" y="209550"/>
                                  <a:pt x="104775" y="209550"/>
                                </a:cubicBezTo>
                                <a:cubicBezTo>
                                  <a:pt x="46914" y="209550"/>
                                  <a:pt x="0" y="162636"/>
                                  <a:pt x="0" y="104775"/>
                                </a:cubicBezTo>
                                <a:cubicBezTo>
                                  <a:pt x="0" y="46914"/>
                                  <a:pt x="46914" y="0"/>
                                  <a:pt x="104775" y="0"/>
                                </a:cubicBezTo>
                                <a:close/>
                              </a:path>
                            </a:pathLst>
                          </a:custGeom>
                          <a:solidFill>
                            <a:srgbClr val="00A1A4"/>
                          </a:solidFill>
                          <a:ln w="0" cap="flat">
                            <a:noFill/>
                            <a:miter lim="127000"/>
                          </a:ln>
                          <a:effectLst/>
                        </wps:spPr>
                        <wps:bodyPr/>
                      </wps:wsp>
                      <wps:wsp>
                        <wps:cNvPr id="31" name="Rectangle 30"/>
                        <wps:cNvSpPr/>
                        <wps:spPr>
                          <a:xfrm>
                            <a:off x="734106" y="900623"/>
                            <a:ext cx="49660" cy="154426"/>
                          </a:xfrm>
                          <a:prstGeom prst="rect">
                            <a:avLst/>
                          </a:prstGeom>
                          <a:ln>
                            <a:noFill/>
                          </a:ln>
                        </wps:spPr>
                        <wps:txbx>
                          <w:txbxContent>
                            <w:p w14:paraId="3F5F7469" w14:textId="77777777" w:rsidR="009B2280" w:rsidRDefault="009B2280" w:rsidP="009B2280">
                              <w:r w:rsidRPr="009B2280">
                                <w:rPr>
                                  <w:rFonts w:ascii="Calibri" w:eastAsia="Calibri" w:hAnsi="Calibri" w:cs="Calibri"/>
                                  <w:b/>
                                  <w:w w:val="77"/>
                                  <w:sz w:val="15"/>
                                </w:rPr>
                                <w:t>1</w:t>
                              </w:r>
                            </w:p>
                          </w:txbxContent>
                        </wps:txbx>
                        <wps:bodyPr horzOverflow="overflow" vert="horz" lIns="0" tIns="0" rIns="0" bIns="0" rtlCol="0">
                          <a:noAutofit/>
                        </wps:bodyPr>
                      </wps:wsp>
                      <wps:wsp>
                        <wps:cNvPr id="256" name="Rectangle 31"/>
                        <wps:cNvSpPr/>
                        <wps:spPr>
                          <a:xfrm>
                            <a:off x="857550" y="910132"/>
                            <a:ext cx="6318822" cy="160852"/>
                          </a:xfrm>
                          <a:prstGeom prst="rect">
                            <a:avLst/>
                          </a:prstGeom>
                          <a:ln>
                            <a:noFill/>
                          </a:ln>
                        </wps:spPr>
                        <wps:txbx>
                          <w:txbxContent>
                            <w:p w14:paraId="4C01C260" w14:textId="77777777" w:rsidR="009B2280" w:rsidRDefault="009B2280" w:rsidP="009B2280">
                              <w:r>
                                <w:rPr>
                                  <w:rFonts w:ascii="Calibri" w:eastAsia="Calibri" w:hAnsi="Calibri" w:cs="Calibri"/>
                                  <w:color w:val="181717"/>
                                  <w:spacing w:val="109"/>
                                  <w:w w:val="111"/>
                                  <w:sz w:val="18"/>
                                </w:rPr>
                                <w:t xml:space="preserve"> </w:t>
                              </w:r>
                              <w:r>
                                <w:rPr>
                                  <w:rFonts w:ascii="Calibri" w:eastAsia="Calibri" w:hAnsi="Calibri" w:cs="Calibri"/>
                                  <w:color w:val="181717"/>
                                  <w:w w:val="111"/>
                                  <w:sz w:val="18"/>
                                </w:rPr>
                                <w:t>E</w:t>
                              </w:r>
                              <w:r>
                                <w:rPr>
                                  <w:rFonts w:ascii="Calibri" w:eastAsia="Calibri" w:hAnsi="Calibri" w:cs="Calibri"/>
                                  <w:color w:val="181717"/>
                                  <w:spacing w:val="-41"/>
                                  <w:w w:val="111"/>
                                  <w:sz w:val="18"/>
                                </w:rPr>
                                <w:t xml:space="preserve"> </w:t>
                              </w:r>
                              <w:r>
                                <w:rPr>
                                  <w:rFonts w:ascii="Calibri" w:eastAsia="Calibri" w:hAnsi="Calibri" w:cs="Calibri"/>
                                  <w:color w:val="181717"/>
                                  <w:w w:val="111"/>
                                  <w:sz w:val="18"/>
                                </w:rPr>
                                <w:t>stablish</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resourced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National</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Indigenous Kidney</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Transplantation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Taskforce,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with</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representations</w:t>
                              </w:r>
                              <w:r>
                                <w:rPr>
                                  <w:rFonts w:ascii="Calibri" w:eastAsia="Calibri" w:hAnsi="Calibri" w:cs="Calibri"/>
                                  <w:color w:val="181717"/>
                                  <w:spacing w:val="6"/>
                                  <w:w w:val="111"/>
                                  <w:sz w:val="18"/>
                                </w:rPr>
                                <w:t xml:space="preserve"> </w:t>
                              </w:r>
                            </w:p>
                          </w:txbxContent>
                        </wps:txbx>
                        <wps:bodyPr horzOverflow="overflow" vert="horz" lIns="0" tIns="0" rIns="0" bIns="0" rtlCol="0">
                          <a:noAutofit/>
                        </wps:bodyPr>
                      </wps:wsp>
                      <wps:wsp>
                        <wps:cNvPr id="96" name="Rectangle 96"/>
                        <wps:cNvSpPr/>
                        <wps:spPr>
                          <a:xfrm>
                            <a:off x="952800" y="1062532"/>
                            <a:ext cx="5575754" cy="160852"/>
                          </a:xfrm>
                          <a:prstGeom prst="rect">
                            <a:avLst/>
                          </a:prstGeom>
                          <a:ln>
                            <a:noFill/>
                          </a:ln>
                        </wps:spPr>
                        <wps:txbx>
                          <w:txbxContent>
                            <w:p w14:paraId="7A8ABBBB" w14:textId="77777777" w:rsidR="009B2280" w:rsidRDefault="009B2280" w:rsidP="009B2280">
                              <w:r>
                                <w:rPr>
                                  <w:rFonts w:ascii="Calibri" w:eastAsia="Calibri" w:hAnsi="Calibri" w:cs="Calibri"/>
                                  <w:color w:val="181717"/>
                                  <w:w w:val="111"/>
                                  <w:sz w:val="18"/>
                                </w:rPr>
                                <w:t>from</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DoH,</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TSANZ,</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ANZDATA,</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ANZSN,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OTA</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invited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subject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experts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to</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drive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the</w:t>
                              </w:r>
                              <w:r>
                                <w:rPr>
                                  <w:rFonts w:ascii="Calibri" w:eastAsia="Calibri" w:hAnsi="Calibri" w:cs="Calibri"/>
                                  <w:color w:val="181717"/>
                                  <w:spacing w:val="6"/>
                                  <w:w w:val="111"/>
                                  <w:sz w:val="18"/>
                                </w:rPr>
                                <w:t xml:space="preserve"> </w:t>
                              </w:r>
                            </w:p>
                          </w:txbxContent>
                        </wps:txbx>
                        <wps:bodyPr horzOverflow="overflow" vert="horz" lIns="0" tIns="0" rIns="0" bIns="0" rtlCol="0">
                          <a:noAutofit/>
                        </wps:bodyPr>
                      </wps:wsp>
                      <wps:wsp>
                        <wps:cNvPr id="97" name="Rectangle 97"/>
                        <wps:cNvSpPr/>
                        <wps:spPr>
                          <a:xfrm>
                            <a:off x="952800" y="1214932"/>
                            <a:ext cx="6143240" cy="160852"/>
                          </a:xfrm>
                          <a:prstGeom prst="rect">
                            <a:avLst/>
                          </a:prstGeom>
                          <a:ln>
                            <a:noFill/>
                          </a:ln>
                        </wps:spPr>
                        <wps:txbx>
                          <w:txbxContent>
                            <w:p w14:paraId="3750F37D" w14:textId="77777777" w:rsidR="009B2280" w:rsidRDefault="009B2280" w:rsidP="009B2280">
                              <w:r>
                                <w:rPr>
                                  <w:rFonts w:ascii="Calibri" w:eastAsia="Calibri" w:hAnsi="Calibri" w:cs="Calibri"/>
                                  <w:color w:val="181717"/>
                                  <w:w w:val="110"/>
                                  <w:sz w:val="18"/>
                                </w:rPr>
                                <w:t>implementation</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of</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the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report’s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recommendations,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consult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the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Indigenous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health</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care</w:t>
                              </w:r>
                              <w:r>
                                <w:rPr>
                                  <w:rFonts w:ascii="Calibri" w:eastAsia="Calibri" w:hAnsi="Calibri" w:cs="Calibri"/>
                                  <w:color w:val="181717"/>
                                  <w:spacing w:val="6"/>
                                  <w:w w:val="110"/>
                                  <w:sz w:val="18"/>
                                </w:rPr>
                                <w:t xml:space="preserve"> </w:t>
                              </w:r>
                            </w:p>
                          </w:txbxContent>
                        </wps:txbx>
                        <wps:bodyPr horzOverflow="overflow" vert="horz" lIns="0" tIns="0" rIns="0" bIns="0" rtlCol="0">
                          <a:noAutofit/>
                        </wps:bodyPr>
                      </wps:wsp>
                      <wps:wsp>
                        <wps:cNvPr id="99" name="Rectangle 99"/>
                        <wps:cNvSpPr/>
                        <wps:spPr>
                          <a:xfrm>
                            <a:off x="952800" y="1367332"/>
                            <a:ext cx="6477682" cy="160852"/>
                          </a:xfrm>
                          <a:prstGeom prst="rect">
                            <a:avLst/>
                          </a:prstGeom>
                          <a:ln>
                            <a:noFill/>
                          </a:ln>
                        </wps:spPr>
                        <wps:txbx>
                          <w:txbxContent>
                            <w:p w14:paraId="3799D44F" w14:textId="77777777" w:rsidR="009B2280" w:rsidRDefault="009B2280" w:rsidP="009B2280">
                              <w:r>
                                <w:rPr>
                                  <w:rFonts w:ascii="Calibri" w:eastAsia="Calibri" w:hAnsi="Calibri" w:cs="Calibri"/>
                                  <w:color w:val="181717"/>
                                  <w:w w:val="110"/>
                                  <w:sz w:val="18"/>
                                </w:rPr>
                                <w:t>communities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on</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all</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relevant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initiatives,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advocate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for</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equitable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access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to</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transplantation</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for</w:t>
                              </w:r>
                              <w:r>
                                <w:rPr>
                                  <w:rFonts w:ascii="Calibri" w:eastAsia="Calibri" w:hAnsi="Calibri" w:cs="Calibri"/>
                                  <w:color w:val="181717"/>
                                  <w:spacing w:val="6"/>
                                  <w:w w:val="110"/>
                                  <w:sz w:val="18"/>
                                </w:rPr>
                                <w:t xml:space="preserve"> </w:t>
                              </w:r>
                            </w:p>
                          </w:txbxContent>
                        </wps:txbx>
                        <wps:bodyPr horzOverflow="overflow" vert="horz" lIns="0" tIns="0" rIns="0" bIns="0" rtlCol="0">
                          <a:noAutofit/>
                        </wps:bodyPr>
                      </wps:wsp>
                      <wps:wsp>
                        <wps:cNvPr id="100" name="Rectangle 100"/>
                        <wps:cNvSpPr/>
                        <wps:spPr>
                          <a:xfrm>
                            <a:off x="952800" y="1519732"/>
                            <a:ext cx="1382005" cy="160852"/>
                          </a:xfrm>
                          <a:prstGeom prst="rect">
                            <a:avLst/>
                          </a:prstGeom>
                          <a:ln>
                            <a:noFill/>
                          </a:ln>
                        </wps:spPr>
                        <wps:txbx>
                          <w:txbxContent>
                            <w:p w14:paraId="2372A2A2" w14:textId="77777777" w:rsidR="009B2280" w:rsidRDefault="009B2280" w:rsidP="009B2280">
                              <w:r>
                                <w:rPr>
                                  <w:rFonts w:ascii="Calibri" w:eastAsia="Calibri" w:hAnsi="Calibri" w:cs="Calibri"/>
                                  <w:color w:val="181717"/>
                                  <w:w w:val="111"/>
                                  <w:sz w:val="18"/>
                                </w:rPr>
                                <w:t>Indigenous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patients.</w:t>
                              </w:r>
                            </w:p>
                          </w:txbxContent>
                        </wps:txbx>
                        <wps:bodyPr horzOverflow="overflow" vert="horz" lIns="0" tIns="0" rIns="0" bIns="0" rtlCol="0">
                          <a:noAutofit/>
                        </wps:bodyPr>
                      </wps:wsp>
                      <wps:wsp>
                        <wps:cNvPr id="101" name="Rectangle 101"/>
                        <wps:cNvSpPr/>
                        <wps:spPr>
                          <a:xfrm>
                            <a:off x="648000" y="1821004"/>
                            <a:ext cx="442502" cy="216196"/>
                          </a:xfrm>
                          <a:prstGeom prst="rect">
                            <a:avLst/>
                          </a:prstGeom>
                          <a:ln>
                            <a:noFill/>
                          </a:ln>
                        </wps:spPr>
                        <wps:txbx>
                          <w:txbxContent>
                            <w:p w14:paraId="7FD5E2B6" w14:textId="77777777" w:rsidR="009B2280" w:rsidRDefault="009B2280" w:rsidP="009B2280">
                              <w:r>
                                <w:rPr>
                                  <w:rFonts w:ascii="Calibri" w:eastAsia="Calibri" w:hAnsi="Calibri" w:cs="Calibri"/>
                                  <w:b/>
                                  <w:color w:val="181717"/>
                                  <w:w w:val="132"/>
                                  <w:sz w:val="21"/>
                                  <w:u w:val="single" w:color="757BAE"/>
                                </w:rPr>
                                <w:t>Data</w:t>
                              </w:r>
                            </w:p>
                          </w:txbxContent>
                        </wps:txbx>
                        <wps:bodyPr horzOverflow="overflow" vert="horz" lIns="0" tIns="0" rIns="0" bIns="0" rtlCol="0">
                          <a:noAutofit/>
                        </wps:bodyPr>
                      </wps:wsp>
                      <wps:wsp>
                        <wps:cNvPr id="103" name="Shape 196"/>
                        <wps:cNvSpPr/>
                        <wps:spPr>
                          <a:xfrm>
                            <a:off x="648000" y="2054861"/>
                            <a:ext cx="209550" cy="209550"/>
                          </a:xfrm>
                          <a:custGeom>
                            <a:avLst/>
                            <a:gdLst/>
                            <a:ahLst/>
                            <a:cxnLst/>
                            <a:rect l="0" t="0" r="0" b="0"/>
                            <a:pathLst>
                              <a:path w="209550" h="209550">
                                <a:moveTo>
                                  <a:pt x="104775" y="0"/>
                                </a:moveTo>
                                <a:cubicBezTo>
                                  <a:pt x="162636" y="0"/>
                                  <a:pt x="209550" y="46914"/>
                                  <a:pt x="209550" y="104775"/>
                                </a:cubicBezTo>
                                <a:cubicBezTo>
                                  <a:pt x="209550" y="162636"/>
                                  <a:pt x="162636" y="209550"/>
                                  <a:pt x="104775" y="209550"/>
                                </a:cubicBezTo>
                                <a:cubicBezTo>
                                  <a:pt x="46914" y="209550"/>
                                  <a:pt x="0" y="162636"/>
                                  <a:pt x="0" y="104775"/>
                                </a:cubicBezTo>
                                <a:cubicBezTo>
                                  <a:pt x="0" y="46914"/>
                                  <a:pt x="46914" y="0"/>
                                  <a:pt x="104775" y="0"/>
                                </a:cubicBezTo>
                                <a:close/>
                              </a:path>
                            </a:pathLst>
                          </a:custGeom>
                          <a:solidFill>
                            <a:srgbClr val="00A1A4"/>
                          </a:solidFill>
                          <a:ln w="0" cap="flat">
                            <a:noFill/>
                            <a:miter lim="127000"/>
                          </a:ln>
                          <a:effectLst/>
                        </wps:spPr>
                        <wps:bodyPr/>
                      </wps:wsp>
                      <wps:wsp>
                        <wps:cNvPr id="105" name="Rectangle 105"/>
                        <wps:cNvSpPr/>
                        <wps:spPr>
                          <a:xfrm>
                            <a:off x="724676" y="2100773"/>
                            <a:ext cx="74743" cy="154426"/>
                          </a:xfrm>
                          <a:prstGeom prst="rect">
                            <a:avLst/>
                          </a:prstGeom>
                          <a:ln>
                            <a:noFill/>
                          </a:ln>
                        </wps:spPr>
                        <wps:txbx>
                          <w:txbxContent>
                            <w:p w14:paraId="4B67535B" w14:textId="77777777" w:rsidR="009B2280" w:rsidRDefault="009B2280" w:rsidP="009B2280">
                              <w:r w:rsidRPr="009B2280">
                                <w:rPr>
                                  <w:rFonts w:ascii="Calibri" w:eastAsia="Calibri" w:hAnsi="Calibri" w:cs="Calibri"/>
                                  <w:b/>
                                  <w:w w:val="116"/>
                                  <w:sz w:val="15"/>
                                </w:rPr>
                                <w:t>2</w:t>
                              </w:r>
                            </w:p>
                          </w:txbxContent>
                        </wps:txbx>
                        <wps:bodyPr horzOverflow="overflow" vert="horz" lIns="0" tIns="0" rIns="0" bIns="0" rtlCol="0">
                          <a:noAutofit/>
                        </wps:bodyPr>
                      </wps:wsp>
                      <wps:wsp>
                        <wps:cNvPr id="106" name="Rectangle 106"/>
                        <wps:cNvSpPr/>
                        <wps:spPr>
                          <a:xfrm>
                            <a:off x="857550" y="2110282"/>
                            <a:ext cx="6590328" cy="160852"/>
                          </a:xfrm>
                          <a:prstGeom prst="rect">
                            <a:avLst/>
                          </a:prstGeom>
                          <a:ln>
                            <a:noFill/>
                          </a:ln>
                        </wps:spPr>
                        <wps:txbx>
                          <w:txbxContent>
                            <w:p w14:paraId="55F5B1FC" w14:textId="77777777" w:rsidR="009B2280" w:rsidRDefault="009B2280" w:rsidP="009B2280">
                              <w:r>
                                <w:rPr>
                                  <w:rFonts w:ascii="Calibri" w:eastAsia="Calibri" w:hAnsi="Calibri" w:cs="Calibri"/>
                                  <w:color w:val="181717"/>
                                  <w:spacing w:val="109"/>
                                  <w:w w:val="110"/>
                                  <w:sz w:val="18"/>
                                </w:rPr>
                                <w:t xml:space="preserve"> </w:t>
                              </w:r>
                              <w:r>
                                <w:rPr>
                                  <w:rFonts w:ascii="Calibri" w:eastAsia="Calibri" w:hAnsi="Calibri" w:cs="Calibri"/>
                                  <w:color w:val="181717"/>
                                  <w:w w:val="110"/>
                                  <w:sz w:val="18"/>
                                </w:rPr>
                                <w:t>Implement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12-month</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pilot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project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to</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capture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additional</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pre-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post-kidney</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transplant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data</w:t>
                              </w:r>
                              <w:r>
                                <w:rPr>
                                  <w:rFonts w:ascii="Calibri" w:eastAsia="Calibri" w:hAnsi="Calibri" w:cs="Calibri"/>
                                  <w:color w:val="181717"/>
                                  <w:spacing w:val="6"/>
                                  <w:w w:val="110"/>
                                  <w:sz w:val="18"/>
                                </w:rPr>
                                <w:t xml:space="preserve"> </w:t>
                              </w:r>
                            </w:p>
                          </w:txbxContent>
                        </wps:txbx>
                        <wps:bodyPr horzOverflow="overflow" vert="horz" lIns="0" tIns="0" rIns="0" bIns="0" rtlCol="0">
                          <a:noAutofit/>
                        </wps:bodyPr>
                      </wps:wsp>
                      <wps:wsp>
                        <wps:cNvPr id="107" name="Rectangle 107"/>
                        <wps:cNvSpPr/>
                        <wps:spPr>
                          <a:xfrm>
                            <a:off x="952800" y="2262682"/>
                            <a:ext cx="3940637" cy="160852"/>
                          </a:xfrm>
                          <a:prstGeom prst="rect">
                            <a:avLst/>
                          </a:prstGeom>
                          <a:ln>
                            <a:noFill/>
                          </a:ln>
                        </wps:spPr>
                        <wps:txbx>
                          <w:txbxContent>
                            <w:p w14:paraId="4DB9E7EA" w14:textId="77777777" w:rsidR="009B2280" w:rsidRDefault="009B2280" w:rsidP="009B2280">
                              <w:r>
                                <w:rPr>
                                  <w:rFonts w:ascii="Calibri" w:eastAsia="Calibri" w:hAnsi="Calibri" w:cs="Calibri"/>
                                  <w:color w:val="181717"/>
                                  <w:w w:val="111"/>
                                  <w:sz w:val="18"/>
                                </w:rPr>
                                <w:t>points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expanded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ANZDATA</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data</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collection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protocol.</w:t>
                              </w:r>
                              <w:r>
                                <w:rPr>
                                  <w:rFonts w:ascii="Calibri" w:eastAsia="Calibri" w:hAnsi="Calibri" w:cs="Calibri"/>
                                  <w:color w:val="181717"/>
                                  <w:spacing w:val="6"/>
                                  <w:w w:val="111"/>
                                  <w:sz w:val="18"/>
                                </w:rPr>
                                <w:t xml:space="preserve"> </w:t>
                              </w:r>
                            </w:p>
                          </w:txbxContent>
                        </wps:txbx>
                        <wps:bodyPr horzOverflow="overflow" vert="horz" lIns="0" tIns="0" rIns="0" bIns="0" rtlCol="0">
                          <a:noAutofit/>
                        </wps:bodyPr>
                      </wps:wsp>
                      <wps:wsp>
                        <wps:cNvPr id="108" name="Shape 200"/>
                        <wps:cNvSpPr/>
                        <wps:spPr>
                          <a:xfrm>
                            <a:off x="648000" y="2454911"/>
                            <a:ext cx="209550" cy="209550"/>
                          </a:xfrm>
                          <a:custGeom>
                            <a:avLst/>
                            <a:gdLst/>
                            <a:ahLst/>
                            <a:cxnLst/>
                            <a:rect l="0" t="0" r="0" b="0"/>
                            <a:pathLst>
                              <a:path w="209550" h="209550">
                                <a:moveTo>
                                  <a:pt x="104775" y="0"/>
                                </a:moveTo>
                                <a:cubicBezTo>
                                  <a:pt x="162636" y="0"/>
                                  <a:pt x="209550" y="46914"/>
                                  <a:pt x="209550" y="104775"/>
                                </a:cubicBezTo>
                                <a:cubicBezTo>
                                  <a:pt x="209550" y="162636"/>
                                  <a:pt x="162636" y="209550"/>
                                  <a:pt x="104775" y="209550"/>
                                </a:cubicBezTo>
                                <a:cubicBezTo>
                                  <a:pt x="46914" y="209550"/>
                                  <a:pt x="0" y="162636"/>
                                  <a:pt x="0" y="104775"/>
                                </a:cubicBezTo>
                                <a:cubicBezTo>
                                  <a:pt x="0" y="46914"/>
                                  <a:pt x="46914" y="0"/>
                                  <a:pt x="104775" y="0"/>
                                </a:cubicBezTo>
                                <a:close/>
                              </a:path>
                            </a:pathLst>
                          </a:custGeom>
                          <a:solidFill>
                            <a:srgbClr val="00A1A4"/>
                          </a:solidFill>
                          <a:ln w="0" cap="flat">
                            <a:noFill/>
                            <a:miter lim="127000"/>
                          </a:ln>
                          <a:effectLst/>
                        </wps:spPr>
                        <wps:bodyPr/>
                      </wps:wsp>
                      <wps:wsp>
                        <wps:cNvPr id="109" name="Rectangle 109"/>
                        <wps:cNvSpPr/>
                        <wps:spPr>
                          <a:xfrm>
                            <a:off x="724581" y="2500823"/>
                            <a:ext cx="74996" cy="154426"/>
                          </a:xfrm>
                          <a:prstGeom prst="rect">
                            <a:avLst/>
                          </a:prstGeom>
                          <a:ln>
                            <a:noFill/>
                          </a:ln>
                        </wps:spPr>
                        <wps:txbx>
                          <w:txbxContent>
                            <w:p w14:paraId="7002CDE7" w14:textId="77777777" w:rsidR="009B2280" w:rsidRDefault="009B2280" w:rsidP="009B2280">
                              <w:r w:rsidRPr="009B2280">
                                <w:rPr>
                                  <w:rFonts w:ascii="Calibri" w:eastAsia="Calibri" w:hAnsi="Calibri" w:cs="Calibri"/>
                                  <w:b/>
                                  <w:w w:val="116"/>
                                  <w:sz w:val="15"/>
                                </w:rPr>
                                <w:t>3</w:t>
                              </w:r>
                            </w:p>
                          </w:txbxContent>
                        </wps:txbx>
                        <wps:bodyPr horzOverflow="overflow" vert="horz" lIns="0" tIns="0" rIns="0" bIns="0" rtlCol="0">
                          <a:noAutofit/>
                        </wps:bodyPr>
                      </wps:wsp>
                      <wps:wsp>
                        <wps:cNvPr id="110" name="Rectangle 110"/>
                        <wps:cNvSpPr/>
                        <wps:spPr>
                          <a:xfrm>
                            <a:off x="857550" y="2510332"/>
                            <a:ext cx="6590632" cy="160852"/>
                          </a:xfrm>
                          <a:prstGeom prst="rect">
                            <a:avLst/>
                          </a:prstGeom>
                          <a:ln>
                            <a:noFill/>
                          </a:ln>
                        </wps:spPr>
                        <wps:txbx>
                          <w:txbxContent>
                            <w:p w14:paraId="36A20537" w14:textId="77777777" w:rsidR="009B2280" w:rsidRDefault="009B2280" w:rsidP="009B2280">
                              <w:r>
                                <w:rPr>
                                  <w:rFonts w:ascii="Calibri" w:eastAsia="Calibri" w:hAnsi="Calibri" w:cs="Calibri"/>
                                  <w:color w:val="181717"/>
                                  <w:spacing w:val="109"/>
                                  <w:w w:val="111"/>
                                  <w:sz w:val="18"/>
                                </w:rPr>
                                <w:t xml:space="preserve"> </w:t>
                              </w:r>
                              <w:r>
                                <w:rPr>
                                  <w:rFonts w:ascii="Calibri" w:eastAsia="Calibri" w:hAnsi="Calibri" w:cs="Calibri"/>
                                  <w:color w:val="181717"/>
                                  <w:w w:val="111"/>
                                  <w:sz w:val="18"/>
                                </w:rPr>
                                <w:t>Incorporate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specific</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chapter</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the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ANZDATA</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annual</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report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on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kidney</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transplantation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among</w:t>
                              </w:r>
                              <w:r>
                                <w:rPr>
                                  <w:rFonts w:ascii="Calibri" w:eastAsia="Calibri" w:hAnsi="Calibri" w:cs="Calibri"/>
                                  <w:color w:val="181717"/>
                                  <w:spacing w:val="6"/>
                                  <w:w w:val="111"/>
                                  <w:sz w:val="18"/>
                                </w:rPr>
                                <w:t xml:space="preserve"> </w:t>
                              </w:r>
                            </w:p>
                          </w:txbxContent>
                        </wps:txbx>
                        <wps:bodyPr horzOverflow="overflow" vert="horz" lIns="0" tIns="0" rIns="0" bIns="0" rtlCol="0">
                          <a:noAutofit/>
                        </wps:bodyPr>
                      </wps:wsp>
                      <wps:wsp>
                        <wps:cNvPr id="115" name="Rectangle 115"/>
                        <wps:cNvSpPr/>
                        <wps:spPr>
                          <a:xfrm>
                            <a:off x="952800" y="2662732"/>
                            <a:ext cx="3034908" cy="160852"/>
                          </a:xfrm>
                          <a:prstGeom prst="rect">
                            <a:avLst/>
                          </a:prstGeom>
                          <a:ln>
                            <a:noFill/>
                          </a:ln>
                        </wps:spPr>
                        <wps:txbx>
                          <w:txbxContent>
                            <w:p w14:paraId="00AED0D9" w14:textId="77777777" w:rsidR="009B2280" w:rsidRDefault="009B2280" w:rsidP="009B2280">
                              <w:r>
                                <w:rPr>
                                  <w:rFonts w:ascii="Calibri" w:eastAsia="Calibri" w:hAnsi="Calibri" w:cs="Calibri"/>
                                  <w:color w:val="181717"/>
                                  <w:w w:val="111"/>
                                  <w:sz w:val="18"/>
                                </w:rPr>
                                <w:t>Aboriginal</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Torres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Strait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Islander</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people.</w:t>
                              </w:r>
                              <w:r>
                                <w:rPr>
                                  <w:rFonts w:ascii="Calibri" w:eastAsia="Calibri" w:hAnsi="Calibri" w:cs="Calibri"/>
                                  <w:color w:val="181717"/>
                                  <w:spacing w:val="6"/>
                                  <w:w w:val="111"/>
                                  <w:sz w:val="18"/>
                                </w:rPr>
                                <w:t xml:space="preserve"> </w:t>
                              </w:r>
                            </w:p>
                          </w:txbxContent>
                        </wps:txbx>
                        <wps:bodyPr horzOverflow="overflow" vert="horz" lIns="0" tIns="0" rIns="0" bIns="0" rtlCol="0">
                          <a:noAutofit/>
                        </wps:bodyPr>
                      </wps:wsp>
                      <wps:wsp>
                        <wps:cNvPr id="116" name="Shape 204"/>
                        <wps:cNvSpPr/>
                        <wps:spPr>
                          <a:xfrm>
                            <a:off x="648000" y="2854961"/>
                            <a:ext cx="209550" cy="209550"/>
                          </a:xfrm>
                          <a:custGeom>
                            <a:avLst/>
                            <a:gdLst/>
                            <a:ahLst/>
                            <a:cxnLst/>
                            <a:rect l="0" t="0" r="0" b="0"/>
                            <a:pathLst>
                              <a:path w="209550" h="209550">
                                <a:moveTo>
                                  <a:pt x="104775" y="0"/>
                                </a:moveTo>
                                <a:cubicBezTo>
                                  <a:pt x="162636" y="0"/>
                                  <a:pt x="209550" y="46914"/>
                                  <a:pt x="209550" y="104775"/>
                                </a:cubicBezTo>
                                <a:cubicBezTo>
                                  <a:pt x="209550" y="162636"/>
                                  <a:pt x="162636" y="209550"/>
                                  <a:pt x="104775" y="209550"/>
                                </a:cubicBezTo>
                                <a:cubicBezTo>
                                  <a:pt x="46914" y="209550"/>
                                  <a:pt x="0" y="162636"/>
                                  <a:pt x="0" y="104775"/>
                                </a:cubicBezTo>
                                <a:cubicBezTo>
                                  <a:pt x="0" y="46914"/>
                                  <a:pt x="46914" y="0"/>
                                  <a:pt x="104775" y="0"/>
                                </a:cubicBezTo>
                                <a:close/>
                              </a:path>
                            </a:pathLst>
                          </a:custGeom>
                          <a:solidFill>
                            <a:srgbClr val="00A1A4"/>
                          </a:solidFill>
                          <a:ln w="0" cap="flat">
                            <a:noFill/>
                            <a:miter lim="127000"/>
                          </a:ln>
                          <a:effectLst/>
                        </wps:spPr>
                        <wps:bodyPr/>
                      </wps:wsp>
                      <wps:wsp>
                        <wps:cNvPr id="118" name="Rectangle 118"/>
                        <wps:cNvSpPr/>
                        <wps:spPr>
                          <a:xfrm>
                            <a:off x="719962" y="2900873"/>
                            <a:ext cx="87284" cy="154426"/>
                          </a:xfrm>
                          <a:prstGeom prst="rect">
                            <a:avLst/>
                          </a:prstGeom>
                          <a:ln>
                            <a:noFill/>
                          </a:ln>
                        </wps:spPr>
                        <wps:txbx>
                          <w:txbxContent>
                            <w:p w14:paraId="4D8EBB58" w14:textId="77777777" w:rsidR="009B2280" w:rsidRDefault="009B2280" w:rsidP="009B2280">
                              <w:r w:rsidRPr="009B2280">
                                <w:rPr>
                                  <w:rFonts w:ascii="Calibri" w:eastAsia="Calibri" w:hAnsi="Calibri" w:cs="Calibri"/>
                                  <w:b/>
                                  <w:w w:val="135"/>
                                  <w:sz w:val="15"/>
                                </w:rPr>
                                <w:t>4</w:t>
                              </w:r>
                            </w:p>
                          </w:txbxContent>
                        </wps:txbx>
                        <wps:bodyPr horzOverflow="overflow" vert="horz" lIns="0" tIns="0" rIns="0" bIns="0" rtlCol="0">
                          <a:noAutofit/>
                        </wps:bodyPr>
                      </wps:wsp>
                      <wps:wsp>
                        <wps:cNvPr id="123" name="Rectangle 123"/>
                        <wps:cNvSpPr/>
                        <wps:spPr>
                          <a:xfrm>
                            <a:off x="857550" y="2910382"/>
                            <a:ext cx="6149473" cy="160852"/>
                          </a:xfrm>
                          <a:prstGeom prst="rect">
                            <a:avLst/>
                          </a:prstGeom>
                          <a:ln>
                            <a:noFill/>
                          </a:ln>
                        </wps:spPr>
                        <wps:txbx>
                          <w:txbxContent>
                            <w:p w14:paraId="77B606BE" w14:textId="77777777" w:rsidR="009B2280" w:rsidRDefault="009B2280" w:rsidP="009B2280">
                              <w:r>
                                <w:rPr>
                                  <w:rFonts w:ascii="Calibri" w:eastAsia="Calibri" w:hAnsi="Calibri" w:cs="Calibri"/>
                                  <w:color w:val="181717"/>
                                  <w:spacing w:val="109"/>
                                  <w:w w:val="110"/>
                                  <w:sz w:val="18"/>
                                </w:rPr>
                                <w:t xml:space="preserve"> </w:t>
                              </w:r>
                              <w:r>
                                <w:rPr>
                                  <w:rFonts w:ascii="Calibri" w:eastAsia="Calibri" w:hAnsi="Calibri" w:cs="Calibri"/>
                                  <w:color w:val="181717"/>
                                  <w:w w:val="110"/>
                                  <w:sz w:val="18"/>
                                </w:rPr>
                                <w:t>Undertake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additional</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data</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linkage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research</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projects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that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target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Indigenous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patients’</w:t>
                              </w:r>
                              <w:r>
                                <w:rPr>
                                  <w:rFonts w:ascii="Calibri" w:eastAsia="Calibri" w:hAnsi="Calibri" w:cs="Calibri"/>
                                  <w:color w:val="181717"/>
                                  <w:spacing w:val="6"/>
                                  <w:w w:val="110"/>
                                  <w:sz w:val="18"/>
                                </w:rPr>
                                <w:t xml:space="preserve"> </w:t>
                              </w:r>
                            </w:p>
                          </w:txbxContent>
                        </wps:txbx>
                        <wps:bodyPr horzOverflow="overflow" vert="horz" lIns="0" tIns="0" rIns="0" bIns="0" rtlCol="0">
                          <a:noAutofit/>
                        </wps:bodyPr>
                      </wps:wsp>
                      <wps:wsp>
                        <wps:cNvPr id="124" name="Rectangle 124"/>
                        <wps:cNvSpPr/>
                        <wps:spPr>
                          <a:xfrm>
                            <a:off x="5480543" y="2910382"/>
                            <a:ext cx="39525" cy="160852"/>
                          </a:xfrm>
                          <a:prstGeom prst="rect">
                            <a:avLst/>
                          </a:prstGeom>
                          <a:ln>
                            <a:noFill/>
                          </a:ln>
                        </wps:spPr>
                        <wps:txbx>
                          <w:txbxContent>
                            <w:p w14:paraId="1D2DA248" w14:textId="77777777" w:rsidR="009B2280" w:rsidRDefault="009B2280" w:rsidP="009B2280">
                              <w:r>
                                <w:rPr>
                                  <w:rFonts w:ascii="Calibri" w:eastAsia="Calibri" w:hAnsi="Calibri" w:cs="Calibri"/>
                                  <w:color w:val="181717"/>
                                  <w:sz w:val="18"/>
                                </w:rPr>
                                <w:t xml:space="preserve"> </w:t>
                              </w:r>
                            </w:p>
                          </w:txbxContent>
                        </wps:txbx>
                        <wps:bodyPr horzOverflow="overflow" vert="horz" lIns="0" tIns="0" rIns="0" bIns="0" rtlCol="0">
                          <a:noAutofit/>
                        </wps:bodyPr>
                      </wps:wsp>
                      <wps:wsp>
                        <wps:cNvPr id="125" name="Rectangle 125"/>
                        <wps:cNvSpPr/>
                        <wps:spPr>
                          <a:xfrm>
                            <a:off x="952800" y="3062782"/>
                            <a:ext cx="5954433" cy="160852"/>
                          </a:xfrm>
                          <a:prstGeom prst="rect">
                            <a:avLst/>
                          </a:prstGeom>
                          <a:ln>
                            <a:noFill/>
                          </a:ln>
                        </wps:spPr>
                        <wps:txbx>
                          <w:txbxContent>
                            <w:p w14:paraId="7AB77659" w14:textId="77777777" w:rsidR="009B2280" w:rsidRDefault="009B2280" w:rsidP="009B2280">
                              <w:r>
                                <w:rPr>
                                  <w:rFonts w:ascii="Calibri" w:eastAsia="Calibri" w:hAnsi="Calibri" w:cs="Calibri"/>
                                  <w:color w:val="181717"/>
                                  <w:w w:val="111"/>
                                  <w:sz w:val="18"/>
                                </w:rPr>
                                <w:t>post-transplant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outcomes,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enabling</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identification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of</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best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practice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immunosuppression,</w:t>
                              </w:r>
                              <w:r>
                                <w:rPr>
                                  <w:rFonts w:ascii="Calibri" w:eastAsia="Calibri" w:hAnsi="Calibri" w:cs="Calibri"/>
                                  <w:color w:val="181717"/>
                                  <w:spacing w:val="6"/>
                                  <w:w w:val="111"/>
                                  <w:sz w:val="18"/>
                                </w:rPr>
                                <w:t xml:space="preserve"> </w:t>
                              </w:r>
                            </w:p>
                          </w:txbxContent>
                        </wps:txbx>
                        <wps:bodyPr horzOverflow="overflow" vert="horz" lIns="0" tIns="0" rIns="0" bIns="0" rtlCol="0">
                          <a:noAutofit/>
                        </wps:bodyPr>
                      </wps:wsp>
                      <wps:wsp>
                        <wps:cNvPr id="126" name="Rectangle 126"/>
                        <wps:cNvSpPr/>
                        <wps:spPr>
                          <a:xfrm>
                            <a:off x="952800" y="3215182"/>
                            <a:ext cx="3916618" cy="160852"/>
                          </a:xfrm>
                          <a:prstGeom prst="rect">
                            <a:avLst/>
                          </a:prstGeom>
                          <a:ln>
                            <a:noFill/>
                          </a:ln>
                        </wps:spPr>
                        <wps:txbx>
                          <w:txbxContent>
                            <w:p w14:paraId="6B443E7F" w14:textId="77777777" w:rsidR="009B2280" w:rsidRDefault="009B2280" w:rsidP="009B2280">
                              <w:r>
                                <w:rPr>
                                  <w:rFonts w:ascii="Calibri" w:eastAsia="Calibri" w:hAnsi="Calibri" w:cs="Calibri"/>
                                  <w:color w:val="181717"/>
                                  <w:w w:val="111"/>
                                  <w:sz w:val="18"/>
                                </w:rPr>
                                <w:t>infective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prophylaxis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vascular</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complication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protocols.</w:t>
                              </w:r>
                            </w:p>
                          </w:txbxContent>
                        </wps:txbx>
                        <wps:bodyPr horzOverflow="overflow" vert="horz" lIns="0" tIns="0" rIns="0" bIns="0" rtlCol="0">
                          <a:noAutofit/>
                        </wps:bodyPr>
                      </wps:wsp>
                      <wps:wsp>
                        <wps:cNvPr id="127" name="Rectangle 127"/>
                        <wps:cNvSpPr/>
                        <wps:spPr>
                          <a:xfrm>
                            <a:off x="648000" y="3516454"/>
                            <a:ext cx="3381460" cy="216196"/>
                          </a:xfrm>
                          <a:prstGeom prst="rect">
                            <a:avLst/>
                          </a:prstGeom>
                          <a:ln>
                            <a:noFill/>
                          </a:ln>
                        </wps:spPr>
                        <wps:txbx>
                          <w:txbxContent>
                            <w:p w14:paraId="341E8C3E" w14:textId="77777777" w:rsidR="009B2280" w:rsidRDefault="009B2280" w:rsidP="009B2280">
                              <w:r>
                                <w:rPr>
                                  <w:rFonts w:ascii="Calibri" w:eastAsia="Calibri" w:hAnsi="Calibri" w:cs="Calibri"/>
                                  <w:b/>
                                  <w:color w:val="181717"/>
                                  <w:w w:val="131"/>
                                  <w:sz w:val="21"/>
                                  <w:u w:val="single" w:color="66BED3"/>
                                </w:rPr>
                                <w:t>Consumer</w:t>
                              </w:r>
                              <w:r>
                                <w:rPr>
                                  <w:rFonts w:ascii="Calibri" w:eastAsia="Calibri" w:hAnsi="Calibri" w:cs="Calibri"/>
                                  <w:b/>
                                  <w:color w:val="181717"/>
                                  <w:spacing w:val="12"/>
                                  <w:w w:val="131"/>
                                  <w:sz w:val="21"/>
                                  <w:u w:val="single" w:color="66BED3"/>
                                </w:rPr>
                                <w:t xml:space="preserve"> </w:t>
                              </w:r>
                              <w:r>
                                <w:rPr>
                                  <w:rFonts w:ascii="Calibri" w:eastAsia="Calibri" w:hAnsi="Calibri" w:cs="Calibri"/>
                                  <w:b/>
                                  <w:color w:val="181717"/>
                                  <w:w w:val="131"/>
                                  <w:sz w:val="21"/>
                                  <w:u w:val="single" w:color="66BED3"/>
                                </w:rPr>
                                <w:t>engagement</w:t>
                              </w:r>
                              <w:r>
                                <w:rPr>
                                  <w:rFonts w:ascii="Calibri" w:eastAsia="Calibri" w:hAnsi="Calibri" w:cs="Calibri"/>
                                  <w:b/>
                                  <w:color w:val="181717"/>
                                  <w:spacing w:val="12"/>
                                  <w:w w:val="131"/>
                                  <w:sz w:val="21"/>
                                  <w:u w:val="single" w:color="66BED3"/>
                                </w:rPr>
                                <w:t xml:space="preserve"> </w:t>
                              </w:r>
                              <w:r>
                                <w:rPr>
                                  <w:rFonts w:ascii="Calibri" w:eastAsia="Calibri" w:hAnsi="Calibri" w:cs="Calibri"/>
                                  <w:b/>
                                  <w:color w:val="181717"/>
                                  <w:w w:val="131"/>
                                  <w:sz w:val="21"/>
                                  <w:u w:val="single" w:color="66BED3"/>
                                </w:rPr>
                                <w:t>&amp;</w:t>
                              </w:r>
                              <w:r>
                                <w:rPr>
                                  <w:rFonts w:ascii="Calibri" w:eastAsia="Calibri" w:hAnsi="Calibri" w:cs="Calibri"/>
                                  <w:b/>
                                  <w:color w:val="181717"/>
                                  <w:spacing w:val="12"/>
                                  <w:w w:val="131"/>
                                  <w:sz w:val="21"/>
                                  <w:u w:val="single" w:color="66BED3"/>
                                </w:rPr>
                                <w:t xml:space="preserve"> </w:t>
                              </w:r>
                              <w:r>
                                <w:rPr>
                                  <w:rFonts w:ascii="Calibri" w:eastAsia="Calibri" w:hAnsi="Calibri" w:cs="Calibri"/>
                                  <w:b/>
                                  <w:color w:val="181717"/>
                                  <w:w w:val="131"/>
                                  <w:sz w:val="21"/>
                                  <w:u w:val="single" w:color="66BED3"/>
                                </w:rPr>
                                <w:t>education</w:t>
                              </w:r>
                            </w:p>
                          </w:txbxContent>
                        </wps:txbx>
                        <wps:bodyPr horzOverflow="overflow" vert="horz" lIns="0" tIns="0" rIns="0" bIns="0" rtlCol="0">
                          <a:noAutofit/>
                        </wps:bodyPr>
                      </wps:wsp>
                      <wps:wsp>
                        <wps:cNvPr id="3008" name="Shape 211"/>
                        <wps:cNvSpPr/>
                        <wps:spPr>
                          <a:xfrm>
                            <a:off x="648000" y="3750311"/>
                            <a:ext cx="209550" cy="209550"/>
                          </a:xfrm>
                          <a:custGeom>
                            <a:avLst/>
                            <a:gdLst/>
                            <a:ahLst/>
                            <a:cxnLst/>
                            <a:rect l="0" t="0" r="0" b="0"/>
                            <a:pathLst>
                              <a:path w="209550" h="209550">
                                <a:moveTo>
                                  <a:pt x="104775" y="0"/>
                                </a:moveTo>
                                <a:cubicBezTo>
                                  <a:pt x="162636" y="0"/>
                                  <a:pt x="209550" y="46914"/>
                                  <a:pt x="209550" y="104775"/>
                                </a:cubicBezTo>
                                <a:cubicBezTo>
                                  <a:pt x="209550" y="162636"/>
                                  <a:pt x="162636" y="209550"/>
                                  <a:pt x="104775" y="209550"/>
                                </a:cubicBezTo>
                                <a:cubicBezTo>
                                  <a:pt x="46914" y="209550"/>
                                  <a:pt x="0" y="162636"/>
                                  <a:pt x="0" y="104775"/>
                                </a:cubicBezTo>
                                <a:cubicBezTo>
                                  <a:pt x="0" y="46914"/>
                                  <a:pt x="46914" y="0"/>
                                  <a:pt x="104775" y="0"/>
                                </a:cubicBezTo>
                                <a:close/>
                              </a:path>
                            </a:pathLst>
                          </a:custGeom>
                          <a:solidFill>
                            <a:srgbClr val="FFFEFD"/>
                          </a:solidFill>
                          <a:ln w="0" cap="flat">
                            <a:noFill/>
                            <a:miter lim="127000"/>
                          </a:ln>
                          <a:effectLst/>
                        </wps:spPr>
                        <wps:bodyPr/>
                      </wps:wsp>
                      <wps:wsp>
                        <wps:cNvPr id="3010" name="Rectangle 3010"/>
                        <wps:cNvSpPr/>
                        <wps:spPr>
                          <a:xfrm>
                            <a:off x="724439" y="3796222"/>
                            <a:ext cx="75376" cy="154426"/>
                          </a:xfrm>
                          <a:prstGeom prst="rect">
                            <a:avLst/>
                          </a:prstGeom>
                          <a:ln>
                            <a:noFill/>
                          </a:ln>
                        </wps:spPr>
                        <wps:txbx>
                          <w:txbxContent>
                            <w:p w14:paraId="12F6F4FA" w14:textId="77777777" w:rsidR="009B2280" w:rsidRDefault="009B2280" w:rsidP="009B2280">
                              <w:r>
                                <w:rPr>
                                  <w:rFonts w:ascii="Calibri" w:eastAsia="Calibri" w:hAnsi="Calibri" w:cs="Calibri"/>
                                  <w:b/>
                                  <w:color w:val="181717"/>
                                  <w:w w:val="117"/>
                                  <w:sz w:val="15"/>
                                </w:rPr>
                                <w:t>5</w:t>
                              </w:r>
                            </w:p>
                          </w:txbxContent>
                        </wps:txbx>
                        <wps:bodyPr horzOverflow="overflow" vert="horz" lIns="0" tIns="0" rIns="0" bIns="0" rtlCol="0">
                          <a:noAutofit/>
                        </wps:bodyPr>
                      </wps:wsp>
                      <wps:wsp>
                        <wps:cNvPr id="3011" name="Rectangle 3011"/>
                        <wps:cNvSpPr/>
                        <wps:spPr>
                          <a:xfrm>
                            <a:off x="857550" y="3805732"/>
                            <a:ext cx="4632779" cy="160852"/>
                          </a:xfrm>
                          <a:prstGeom prst="rect">
                            <a:avLst/>
                          </a:prstGeom>
                          <a:ln>
                            <a:noFill/>
                          </a:ln>
                        </wps:spPr>
                        <wps:txbx>
                          <w:txbxContent>
                            <w:p w14:paraId="2720D51E" w14:textId="77777777" w:rsidR="009B2280" w:rsidRDefault="009B2280" w:rsidP="009B2280">
                              <w:r>
                                <w:rPr>
                                  <w:rFonts w:ascii="Calibri" w:eastAsia="Calibri" w:hAnsi="Calibri" w:cs="Calibri"/>
                                  <w:color w:val="181717"/>
                                  <w:spacing w:val="109"/>
                                  <w:w w:val="110"/>
                                  <w:sz w:val="18"/>
                                </w:rPr>
                                <w:t xml:space="preserve"> </w:t>
                              </w:r>
                              <w:r>
                                <w:rPr>
                                  <w:rFonts w:ascii="Calibri" w:eastAsia="Calibri" w:hAnsi="Calibri" w:cs="Calibri"/>
                                  <w:color w:val="181717"/>
                                  <w:spacing w:val="-1"/>
                                  <w:w w:val="110"/>
                                  <w:sz w:val="18"/>
                                </w:rPr>
                                <w:t>Deliver</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education</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programs</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to</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Indigenous</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communities</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about</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the</w:t>
                              </w:r>
                              <w:r>
                                <w:rPr>
                                  <w:rFonts w:ascii="Calibri" w:eastAsia="Calibri" w:hAnsi="Calibri" w:cs="Calibri"/>
                                  <w:color w:val="181717"/>
                                  <w:spacing w:val="6"/>
                                  <w:w w:val="110"/>
                                  <w:sz w:val="18"/>
                                </w:rPr>
                                <w:t xml:space="preserve"> </w:t>
                              </w:r>
                            </w:p>
                          </w:txbxContent>
                        </wps:txbx>
                        <wps:bodyPr horzOverflow="overflow" vert="horz" lIns="0" tIns="0" rIns="0" bIns="0" rtlCol="0">
                          <a:noAutofit/>
                        </wps:bodyPr>
                      </wps:wsp>
                      <wps:wsp>
                        <wps:cNvPr id="3012" name="Rectangle 3012"/>
                        <wps:cNvSpPr/>
                        <wps:spPr>
                          <a:xfrm>
                            <a:off x="5093405" y="3805732"/>
                            <a:ext cx="1950890" cy="160852"/>
                          </a:xfrm>
                          <a:prstGeom prst="rect">
                            <a:avLst/>
                          </a:prstGeom>
                          <a:ln>
                            <a:noFill/>
                          </a:ln>
                        </wps:spPr>
                        <wps:txbx>
                          <w:txbxContent>
                            <w:p w14:paraId="319C9F84" w14:textId="77777777" w:rsidR="009B2280" w:rsidRDefault="009B2280" w:rsidP="009B2280">
                              <w:r>
                                <w:rPr>
                                  <w:rFonts w:ascii="Calibri" w:eastAsia="Calibri" w:hAnsi="Calibri" w:cs="Calibri"/>
                                  <w:color w:val="181717"/>
                                  <w:spacing w:val="-1"/>
                                  <w:w w:val="110"/>
                                  <w:sz w:val="18"/>
                                </w:rPr>
                                <w:t>value</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of</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organ</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donation</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and</w:t>
                              </w:r>
                              <w:r>
                                <w:rPr>
                                  <w:rFonts w:ascii="Calibri" w:eastAsia="Calibri" w:hAnsi="Calibri" w:cs="Calibri"/>
                                  <w:color w:val="181717"/>
                                  <w:spacing w:val="6"/>
                                  <w:w w:val="110"/>
                                  <w:sz w:val="18"/>
                                </w:rPr>
                                <w:t xml:space="preserve"> </w:t>
                              </w:r>
                            </w:p>
                          </w:txbxContent>
                        </wps:txbx>
                        <wps:bodyPr horzOverflow="overflow" vert="horz" lIns="0" tIns="0" rIns="0" bIns="0" rtlCol="0">
                          <a:noAutofit/>
                        </wps:bodyPr>
                      </wps:wsp>
                      <wps:wsp>
                        <wps:cNvPr id="3013" name="Rectangle 3013"/>
                        <wps:cNvSpPr/>
                        <wps:spPr>
                          <a:xfrm>
                            <a:off x="952800" y="3958132"/>
                            <a:ext cx="6476314" cy="160852"/>
                          </a:xfrm>
                          <a:prstGeom prst="rect">
                            <a:avLst/>
                          </a:prstGeom>
                          <a:ln>
                            <a:noFill/>
                          </a:ln>
                        </wps:spPr>
                        <wps:txbx>
                          <w:txbxContent>
                            <w:p w14:paraId="60A04698" w14:textId="77777777" w:rsidR="009B2280" w:rsidRDefault="009B2280" w:rsidP="009B2280">
                              <w:r>
                                <w:rPr>
                                  <w:rFonts w:ascii="Calibri" w:eastAsia="Calibri" w:hAnsi="Calibri" w:cs="Calibri"/>
                                  <w:color w:val="181717"/>
                                  <w:spacing w:val="-1"/>
                                  <w:w w:val="110"/>
                                  <w:sz w:val="18"/>
                                </w:rPr>
                                <w:t>how</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it</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links</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to</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transplantation,</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in</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partnership</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with</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local</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transplant</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recipients</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donor</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families.</w:t>
                              </w:r>
                            </w:p>
                          </w:txbxContent>
                        </wps:txbx>
                        <wps:bodyPr horzOverflow="overflow" vert="horz" lIns="0" tIns="0" rIns="0" bIns="0" rtlCol="0">
                          <a:noAutofit/>
                        </wps:bodyPr>
                      </wps:wsp>
                      <wps:wsp>
                        <wps:cNvPr id="3014" name="Shape 216"/>
                        <wps:cNvSpPr/>
                        <wps:spPr>
                          <a:xfrm>
                            <a:off x="648000" y="4150361"/>
                            <a:ext cx="209550" cy="209550"/>
                          </a:xfrm>
                          <a:custGeom>
                            <a:avLst/>
                            <a:gdLst/>
                            <a:ahLst/>
                            <a:cxnLst/>
                            <a:rect l="0" t="0" r="0" b="0"/>
                            <a:pathLst>
                              <a:path w="209550" h="209550">
                                <a:moveTo>
                                  <a:pt x="104775" y="0"/>
                                </a:moveTo>
                                <a:cubicBezTo>
                                  <a:pt x="162636" y="0"/>
                                  <a:pt x="209550" y="46914"/>
                                  <a:pt x="209550" y="104775"/>
                                </a:cubicBezTo>
                                <a:cubicBezTo>
                                  <a:pt x="209550" y="162636"/>
                                  <a:pt x="162636" y="209550"/>
                                  <a:pt x="104775" y="209550"/>
                                </a:cubicBezTo>
                                <a:cubicBezTo>
                                  <a:pt x="46914" y="209550"/>
                                  <a:pt x="0" y="162636"/>
                                  <a:pt x="0" y="104775"/>
                                </a:cubicBezTo>
                                <a:cubicBezTo>
                                  <a:pt x="0" y="46914"/>
                                  <a:pt x="46914" y="0"/>
                                  <a:pt x="104775" y="0"/>
                                </a:cubicBezTo>
                                <a:close/>
                              </a:path>
                            </a:pathLst>
                          </a:custGeom>
                          <a:solidFill>
                            <a:srgbClr val="FFFEFD"/>
                          </a:solidFill>
                          <a:ln w="0" cap="flat">
                            <a:noFill/>
                            <a:miter lim="127000"/>
                          </a:ln>
                          <a:effectLst/>
                        </wps:spPr>
                        <wps:bodyPr/>
                      </wps:wsp>
                      <wps:wsp>
                        <wps:cNvPr id="3015" name="Rectangle 3015"/>
                        <wps:cNvSpPr/>
                        <wps:spPr>
                          <a:xfrm>
                            <a:off x="722438" y="4196272"/>
                            <a:ext cx="80697" cy="154426"/>
                          </a:xfrm>
                          <a:prstGeom prst="rect">
                            <a:avLst/>
                          </a:prstGeom>
                          <a:ln>
                            <a:noFill/>
                          </a:ln>
                        </wps:spPr>
                        <wps:txbx>
                          <w:txbxContent>
                            <w:p w14:paraId="7FC12588" w14:textId="77777777" w:rsidR="009B2280" w:rsidRDefault="009B2280" w:rsidP="009B2280">
                              <w:r>
                                <w:rPr>
                                  <w:rFonts w:ascii="Calibri" w:eastAsia="Calibri" w:hAnsi="Calibri" w:cs="Calibri"/>
                                  <w:b/>
                                  <w:color w:val="181717"/>
                                  <w:w w:val="125"/>
                                  <w:sz w:val="15"/>
                                </w:rPr>
                                <w:t>6</w:t>
                              </w:r>
                            </w:p>
                          </w:txbxContent>
                        </wps:txbx>
                        <wps:bodyPr horzOverflow="overflow" vert="horz" lIns="0" tIns="0" rIns="0" bIns="0" rtlCol="0">
                          <a:noAutofit/>
                        </wps:bodyPr>
                      </wps:wsp>
                      <wps:wsp>
                        <wps:cNvPr id="3016" name="Rectangle 3016"/>
                        <wps:cNvSpPr/>
                        <wps:spPr>
                          <a:xfrm>
                            <a:off x="857550" y="4205782"/>
                            <a:ext cx="6258775" cy="160852"/>
                          </a:xfrm>
                          <a:prstGeom prst="rect">
                            <a:avLst/>
                          </a:prstGeom>
                          <a:ln>
                            <a:noFill/>
                          </a:ln>
                        </wps:spPr>
                        <wps:txbx>
                          <w:txbxContent>
                            <w:p w14:paraId="2FC9DD53" w14:textId="77777777" w:rsidR="009B2280" w:rsidRDefault="009B2280" w:rsidP="009B2280">
                              <w:r>
                                <w:rPr>
                                  <w:rFonts w:ascii="Calibri" w:eastAsia="Calibri" w:hAnsi="Calibri" w:cs="Calibri"/>
                                  <w:color w:val="181717"/>
                                  <w:spacing w:val="109"/>
                                  <w:w w:val="111"/>
                                  <w:sz w:val="18"/>
                                </w:rPr>
                                <w:t xml:space="preserve"> </w:t>
                              </w:r>
                              <w:r>
                                <w:rPr>
                                  <w:rFonts w:ascii="Calibri" w:eastAsia="Calibri" w:hAnsi="Calibri" w:cs="Calibri"/>
                                  <w:color w:val="181717"/>
                                  <w:w w:val="111"/>
                                  <w:sz w:val="18"/>
                                </w:rPr>
                                <w:t>Undertake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consumer</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engagement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projects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that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specifically</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explore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Indigenous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transplant</w:t>
                              </w:r>
                              <w:r>
                                <w:rPr>
                                  <w:rFonts w:ascii="Calibri" w:eastAsia="Calibri" w:hAnsi="Calibri" w:cs="Calibri"/>
                                  <w:color w:val="181717"/>
                                  <w:spacing w:val="6"/>
                                  <w:w w:val="111"/>
                                  <w:sz w:val="18"/>
                                </w:rPr>
                                <w:t xml:space="preserve"> </w:t>
                              </w:r>
                            </w:p>
                          </w:txbxContent>
                        </wps:txbx>
                        <wps:bodyPr horzOverflow="overflow" vert="horz" lIns="0" tIns="0" rIns="0" bIns="0" rtlCol="0">
                          <a:noAutofit/>
                        </wps:bodyPr>
                      </wps:wsp>
                      <wps:wsp>
                        <wps:cNvPr id="3017" name="Rectangle 3017"/>
                        <wps:cNvSpPr/>
                        <wps:spPr>
                          <a:xfrm>
                            <a:off x="952800" y="4358182"/>
                            <a:ext cx="3577311" cy="160852"/>
                          </a:xfrm>
                          <a:prstGeom prst="rect">
                            <a:avLst/>
                          </a:prstGeom>
                          <a:ln>
                            <a:noFill/>
                          </a:ln>
                        </wps:spPr>
                        <wps:txbx>
                          <w:txbxContent>
                            <w:p w14:paraId="6E3C89FF" w14:textId="77777777" w:rsidR="009B2280" w:rsidRDefault="009B2280" w:rsidP="009B2280">
                              <w:r>
                                <w:rPr>
                                  <w:rFonts w:ascii="Calibri" w:eastAsia="Calibri" w:hAnsi="Calibri" w:cs="Calibri"/>
                                  <w:color w:val="181717"/>
                                  <w:w w:val="110"/>
                                  <w:sz w:val="18"/>
                                </w:rPr>
                                <w:t>candidates’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recipients’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preferred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models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of</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care.</w:t>
                              </w:r>
                            </w:p>
                          </w:txbxContent>
                        </wps:txbx>
                        <wps:bodyPr horzOverflow="overflow" vert="horz" lIns="0" tIns="0" rIns="0" bIns="0" rtlCol="0">
                          <a:noAutofit/>
                        </wps:bodyPr>
                      </wps:wsp>
                      <wps:wsp>
                        <wps:cNvPr id="3018" name="Shape 220"/>
                        <wps:cNvSpPr/>
                        <wps:spPr>
                          <a:xfrm>
                            <a:off x="648000" y="4550411"/>
                            <a:ext cx="209550" cy="209550"/>
                          </a:xfrm>
                          <a:custGeom>
                            <a:avLst/>
                            <a:gdLst/>
                            <a:ahLst/>
                            <a:cxnLst/>
                            <a:rect l="0" t="0" r="0" b="0"/>
                            <a:pathLst>
                              <a:path w="209550" h="209550">
                                <a:moveTo>
                                  <a:pt x="104775" y="0"/>
                                </a:moveTo>
                                <a:cubicBezTo>
                                  <a:pt x="162636" y="0"/>
                                  <a:pt x="209550" y="46914"/>
                                  <a:pt x="209550" y="104775"/>
                                </a:cubicBezTo>
                                <a:cubicBezTo>
                                  <a:pt x="209550" y="162636"/>
                                  <a:pt x="162636" y="209550"/>
                                  <a:pt x="104775" y="209550"/>
                                </a:cubicBezTo>
                                <a:cubicBezTo>
                                  <a:pt x="46914" y="209550"/>
                                  <a:pt x="0" y="162636"/>
                                  <a:pt x="0" y="104775"/>
                                </a:cubicBezTo>
                                <a:cubicBezTo>
                                  <a:pt x="0" y="46914"/>
                                  <a:pt x="46914" y="0"/>
                                  <a:pt x="104775" y="0"/>
                                </a:cubicBezTo>
                                <a:close/>
                              </a:path>
                            </a:pathLst>
                          </a:custGeom>
                          <a:solidFill>
                            <a:srgbClr val="00A1A4"/>
                          </a:solidFill>
                          <a:ln w="0" cap="flat">
                            <a:noFill/>
                            <a:miter lim="127000"/>
                          </a:ln>
                          <a:effectLst/>
                        </wps:spPr>
                        <wps:bodyPr/>
                      </wps:wsp>
                      <wps:wsp>
                        <wps:cNvPr id="3019" name="Rectangle 3019"/>
                        <wps:cNvSpPr/>
                        <wps:spPr>
                          <a:xfrm>
                            <a:off x="723247" y="4596322"/>
                            <a:ext cx="78543" cy="154426"/>
                          </a:xfrm>
                          <a:prstGeom prst="rect">
                            <a:avLst/>
                          </a:prstGeom>
                          <a:ln>
                            <a:noFill/>
                          </a:ln>
                        </wps:spPr>
                        <wps:txbx>
                          <w:txbxContent>
                            <w:p w14:paraId="2386FB77" w14:textId="77777777" w:rsidR="009B2280" w:rsidRDefault="009B2280" w:rsidP="009B2280">
                              <w:r w:rsidRPr="009B2280">
                                <w:rPr>
                                  <w:rFonts w:ascii="Calibri" w:eastAsia="Calibri" w:hAnsi="Calibri" w:cs="Calibri"/>
                                  <w:b/>
                                  <w:w w:val="122"/>
                                  <w:sz w:val="15"/>
                                </w:rPr>
                                <w:t>7</w:t>
                              </w:r>
                            </w:p>
                          </w:txbxContent>
                        </wps:txbx>
                        <wps:bodyPr horzOverflow="overflow" vert="horz" lIns="0" tIns="0" rIns="0" bIns="0" rtlCol="0">
                          <a:noAutofit/>
                        </wps:bodyPr>
                      </wps:wsp>
                      <wps:wsp>
                        <wps:cNvPr id="3020" name="Rectangle 3020"/>
                        <wps:cNvSpPr/>
                        <wps:spPr>
                          <a:xfrm>
                            <a:off x="857550" y="4605832"/>
                            <a:ext cx="6519943" cy="160852"/>
                          </a:xfrm>
                          <a:prstGeom prst="rect">
                            <a:avLst/>
                          </a:prstGeom>
                          <a:ln>
                            <a:noFill/>
                          </a:ln>
                        </wps:spPr>
                        <wps:txbx>
                          <w:txbxContent>
                            <w:p w14:paraId="0C69D994" w14:textId="77777777" w:rsidR="009B2280" w:rsidRDefault="009B2280" w:rsidP="009B2280">
                              <w:r>
                                <w:rPr>
                                  <w:rFonts w:ascii="Calibri" w:eastAsia="Calibri" w:hAnsi="Calibri" w:cs="Calibri"/>
                                  <w:color w:val="181717"/>
                                  <w:spacing w:val="109"/>
                                  <w:w w:val="111"/>
                                  <w:sz w:val="18"/>
                                </w:rPr>
                                <w:t xml:space="preserve"> </w:t>
                              </w:r>
                              <w:r>
                                <w:rPr>
                                  <w:rFonts w:ascii="Calibri" w:eastAsia="Calibri" w:hAnsi="Calibri" w:cs="Calibri"/>
                                  <w:color w:val="181717"/>
                                  <w:w w:val="111"/>
                                  <w:sz w:val="18"/>
                                </w:rPr>
                                <w:t>E</w:t>
                              </w:r>
                              <w:r>
                                <w:rPr>
                                  <w:rFonts w:ascii="Calibri" w:eastAsia="Calibri" w:hAnsi="Calibri" w:cs="Calibri"/>
                                  <w:color w:val="181717"/>
                                  <w:spacing w:val="-41"/>
                                  <w:w w:val="111"/>
                                  <w:sz w:val="18"/>
                                </w:rPr>
                                <w:t xml:space="preserve"> </w:t>
                              </w:r>
                              <w:r>
                                <w:rPr>
                                  <w:rFonts w:ascii="Calibri" w:eastAsia="Calibri" w:hAnsi="Calibri" w:cs="Calibri"/>
                                  <w:color w:val="181717"/>
                                  <w:w w:val="111"/>
                                  <w:sz w:val="18"/>
                                </w:rPr>
                                <w:t>stablish</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Indigenous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reference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group</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every</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transplant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unit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to</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help</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design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pathways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and</w:t>
                              </w:r>
                              <w:r>
                                <w:rPr>
                                  <w:rFonts w:ascii="Calibri" w:eastAsia="Calibri" w:hAnsi="Calibri" w:cs="Calibri"/>
                                  <w:color w:val="181717"/>
                                  <w:spacing w:val="6"/>
                                  <w:w w:val="111"/>
                                  <w:sz w:val="18"/>
                                </w:rPr>
                                <w:t xml:space="preserve"> </w:t>
                              </w:r>
                            </w:p>
                          </w:txbxContent>
                        </wps:txbx>
                        <wps:bodyPr horzOverflow="overflow" vert="horz" lIns="0" tIns="0" rIns="0" bIns="0" rtlCol="0">
                          <a:noAutofit/>
                        </wps:bodyPr>
                      </wps:wsp>
                      <wps:wsp>
                        <wps:cNvPr id="3021" name="Rectangle 3021"/>
                        <wps:cNvSpPr/>
                        <wps:spPr>
                          <a:xfrm>
                            <a:off x="952800" y="4758232"/>
                            <a:ext cx="3124751" cy="160852"/>
                          </a:xfrm>
                          <a:prstGeom prst="rect">
                            <a:avLst/>
                          </a:prstGeom>
                          <a:ln>
                            <a:noFill/>
                          </a:ln>
                        </wps:spPr>
                        <wps:txbx>
                          <w:txbxContent>
                            <w:p w14:paraId="53CCB1F8" w14:textId="77777777" w:rsidR="009B2280" w:rsidRDefault="009B2280" w:rsidP="009B2280">
                              <w:r>
                                <w:rPr>
                                  <w:rFonts w:ascii="Calibri" w:eastAsia="Calibri" w:hAnsi="Calibri" w:cs="Calibri"/>
                                  <w:color w:val="181717"/>
                                  <w:w w:val="110"/>
                                  <w:sz w:val="18"/>
                                </w:rPr>
                                <w:t>models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of</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care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that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are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culturally</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appropriate.</w:t>
                              </w:r>
                            </w:p>
                          </w:txbxContent>
                        </wps:txbx>
                        <wps:bodyPr horzOverflow="overflow" vert="horz" lIns="0" tIns="0" rIns="0" bIns="0" rtlCol="0">
                          <a:noAutofit/>
                        </wps:bodyPr>
                      </wps:wsp>
                      <wps:wsp>
                        <wps:cNvPr id="3022" name="Shape 224"/>
                        <wps:cNvSpPr/>
                        <wps:spPr>
                          <a:xfrm>
                            <a:off x="648000" y="4950461"/>
                            <a:ext cx="209550" cy="209550"/>
                          </a:xfrm>
                          <a:custGeom>
                            <a:avLst/>
                            <a:gdLst/>
                            <a:ahLst/>
                            <a:cxnLst/>
                            <a:rect l="0" t="0" r="0" b="0"/>
                            <a:pathLst>
                              <a:path w="209550" h="209550">
                                <a:moveTo>
                                  <a:pt x="104775" y="0"/>
                                </a:moveTo>
                                <a:cubicBezTo>
                                  <a:pt x="162636" y="0"/>
                                  <a:pt x="209550" y="46914"/>
                                  <a:pt x="209550" y="104775"/>
                                </a:cubicBezTo>
                                <a:cubicBezTo>
                                  <a:pt x="209550" y="162636"/>
                                  <a:pt x="162636" y="209550"/>
                                  <a:pt x="104775" y="209550"/>
                                </a:cubicBezTo>
                                <a:cubicBezTo>
                                  <a:pt x="46914" y="209550"/>
                                  <a:pt x="0" y="162636"/>
                                  <a:pt x="0" y="104775"/>
                                </a:cubicBezTo>
                                <a:cubicBezTo>
                                  <a:pt x="0" y="46914"/>
                                  <a:pt x="46914" y="0"/>
                                  <a:pt x="104775" y="0"/>
                                </a:cubicBezTo>
                                <a:close/>
                              </a:path>
                            </a:pathLst>
                          </a:custGeom>
                          <a:solidFill>
                            <a:srgbClr val="00A1A4"/>
                          </a:solidFill>
                          <a:ln w="0" cap="flat">
                            <a:noFill/>
                            <a:miter lim="127000"/>
                          </a:ln>
                          <a:effectLst/>
                        </wps:spPr>
                        <wps:bodyPr/>
                      </wps:wsp>
                      <wps:wsp>
                        <wps:cNvPr id="3023" name="Rectangle 3023"/>
                        <wps:cNvSpPr/>
                        <wps:spPr>
                          <a:xfrm>
                            <a:off x="721344" y="4996372"/>
                            <a:ext cx="83610" cy="154426"/>
                          </a:xfrm>
                          <a:prstGeom prst="rect">
                            <a:avLst/>
                          </a:prstGeom>
                          <a:ln>
                            <a:noFill/>
                          </a:ln>
                        </wps:spPr>
                        <wps:txbx>
                          <w:txbxContent>
                            <w:p w14:paraId="6ED46190" w14:textId="77777777" w:rsidR="009B2280" w:rsidRDefault="009B2280" w:rsidP="009B2280">
                              <w:r w:rsidRPr="009B2280">
                                <w:rPr>
                                  <w:rFonts w:ascii="Calibri" w:eastAsia="Calibri" w:hAnsi="Calibri" w:cs="Calibri"/>
                                  <w:b/>
                                  <w:w w:val="130"/>
                                  <w:sz w:val="15"/>
                                </w:rPr>
                                <w:t>8</w:t>
                              </w:r>
                            </w:p>
                          </w:txbxContent>
                        </wps:txbx>
                        <wps:bodyPr horzOverflow="overflow" vert="horz" lIns="0" tIns="0" rIns="0" bIns="0" rtlCol="0">
                          <a:noAutofit/>
                        </wps:bodyPr>
                      </wps:wsp>
                      <wps:wsp>
                        <wps:cNvPr id="3024" name="Rectangle 3024"/>
                        <wps:cNvSpPr/>
                        <wps:spPr>
                          <a:xfrm>
                            <a:off x="857550" y="5005882"/>
                            <a:ext cx="5826433" cy="160852"/>
                          </a:xfrm>
                          <a:prstGeom prst="rect">
                            <a:avLst/>
                          </a:prstGeom>
                          <a:ln>
                            <a:noFill/>
                          </a:ln>
                        </wps:spPr>
                        <wps:txbx>
                          <w:txbxContent>
                            <w:p w14:paraId="64AFD5C9" w14:textId="77777777" w:rsidR="009B2280" w:rsidRDefault="009B2280" w:rsidP="009B2280">
                              <w:r>
                                <w:rPr>
                                  <w:rFonts w:ascii="Calibri" w:eastAsia="Calibri" w:hAnsi="Calibri" w:cs="Calibri"/>
                                  <w:color w:val="181717"/>
                                  <w:spacing w:val="109"/>
                                  <w:w w:val="110"/>
                                  <w:sz w:val="18"/>
                                </w:rPr>
                                <w:t xml:space="preserve"> </w:t>
                              </w:r>
                              <w:r>
                                <w:rPr>
                                  <w:rFonts w:ascii="Calibri" w:eastAsia="Calibri" w:hAnsi="Calibri" w:cs="Calibri"/>
                                  <w:color w:val="181717"/>
                                  <w:w w:val="110"/>
                                  <w:sz w:val="18"/>
                                </w:rPr>
                                <w:t>Trial</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evaluate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the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adoption</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of</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patient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navigator</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programs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yarning</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circles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w:t>
                              </w:r>
                              <w:r>
                                <w:rPr>
                                  <w:rFonts w:ascii="Calibri" w:eastAsia="Calibri" w:hAnsi="Calibri" w:cs="Calibri"/>
                                  <w:color w:val="181717"/>
                                  <w:spacing w:val="6"/>
                                  <w:w w:val="110"/>
                                  <w:sz w:val="18"/>
                                </w:rPr>
                                <w:t xml:space="preserve"> </w:t>
                              </w:r>
                            </w:p>
                          </w:txbxContent>
                        </wps:txbx>
                        <wps:bodyPr horzOverflow="overflow" vert="horz" lIns="0" tIns="0" rIns="0" bIns="0" rtlCol="0">
                          <a:noAutofit/>
                        </wps:bodyPr>
                      </wps:wsp>
                      <wps:wsp>
                        <wps:cNvPr id="3025" name="Rectangle 3025"/>
                        <wps:cNvSpPr/>
                        <wps:spPr>
                          <a:xfrm>
                            <a:off x="5237655" y="5005882"/>
                            <a:ext cx="39525" cy="160852"/>
                          </a:xfrm>
                          <a:prstGeom prst="rect">
                            <a:avLst/>
                          </a:prstGeom>
                          <a:ln>
                            <a:noFill/>
                          </a:ln>
                        </wps:spPr>
                        <wps:txbx>
                          <w:txbxContent>
                            <w:p w14:paraId="48A95F41" w14:textId="77777777" w:rsidR="009B2280" w:rsidRDefault="009B2280" w:rsidP="009B2280">
                              <w:r>
                                <w:rPr>
                                  <w:rFonts w:ascii="Calibri" w:eastAsia="Calibri" w:hAnsi="Calibri" w:cs="Calibri"/>
                                  <w:color w:val="181717"/>
                                  <w:sz w:val="18"/>
                                </w:rPr>
                                <w:t xml:space="preserve"> </w:t>
                              </w:r>
                            </w:p>
                          </w:txbxContent>
                        </wps:txbx>
                        <wps:bodyPr horzOverflow="overflow" vert="horz" lIns="0" tIns="0" rIns="0" bIns="0" rtlCol="0">
                          <a:noAutofit/>
                        </wps:bodyPr>
                      </wps:wsp>
                      <wps:wsp>
                        <wps:cNvPr id="3026" name="Rectangle 3026"/>
                        <wps:cNvSpPr/>
                        <wps:spPr>
                          <a:xfrm>
                            <a:off x="952800" y="5158282"/>
                            <a:ext cx="1700028" cy="160852"/>
                          </a:xfrm>
                          <a:prstGeom prst="rect">
                            <a:avLst/>
                          </a:prstGeom>
                          <a:ln>
                            <a:noFill/>
                          </a:ln>
                        </wps:spPr>
                        <wps:txbx>
                          <w:txbxContent>
                            <w:p w14:paraId="24B81549" w14:textId="77777777" w:rsidR="009B2280" w:rsidRDefault="009B2280" w:rsidP="009B2280">
                              <w:r>
                                <w:rPr>
                                  <w:rFonts w:ascii="Calibri" w:eastAsia="Calibri" w:hAnsi="Calibri" w:cs="Calibri"/>
                                  <w:color w:val="181717"/>
                                  <w:w w:val="111"/>
                                  <w:sz w:val="18"/>
                                </w:rPr>
                                <w:t>pre-transplant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protocols.</w:t>
                              </w:r>
                            </w:p>
                          </w:txbxContent>
                        </wps:txbx>
                        <wps:bodyPr horzOverflow="overflow" vert="horz" lIns="0" tIns="0" rIns="0" bIns="0" rtlCol="0">
                          <a:noAutofit/>
                        </wps:bodyPr>
                      </wps:wsp>
                      <wps:wsp>
                        <wps:cNvPr id="3027" name="Shape 229"/>
                        <wps:cNvSpPr/>
                        <wps:spPr>
                          <a:xfrm>
                            <a:off x="648000" y="5350511"/>
                            <a:ext cx="209550" cy="209550"/>
                          </a:xfrm>
                          <a:custGeom>
                            <a:avLst/>
                            <a:gdLst/>
                            <a:ahLst/>
                            <a:cxnLst/>
                            <a:rect l="0" t="0" r="0" b="0"/>
                            <a:pathLst>
                              <a:path w="209550" h="209550">
                                <a:moveTo>
                                  <a:pt x="104775" y="0"/>
                                </a:moveTo>
                                <a:cubicBezTo>
                                  <a:pt x="162636" y="0"/>
                                  <a:pt x="209550" y="46914"/>
                                  <a:pt x="209550" y="104775"/>
                                </a:cubicBezTo>
                                <a:cubicBezTo>
                                  <a:pt x="209550" y="162636"/>
                                  <a:pt x="162636" y="209550"/>
                                  <a:pt x="104775" y="209550"/>
                                </a:cubicBezTo>
                                <a:cubicBezTo>
                                  <a:pt x="46914" y="209550"/>
                                  <a:pt x="0" y="162636"/>
                                  <a:pt x="0" y="104775"/>
                                </a:cubicBezTo>
                                <a:cubicBezTo>
                                  <a:pt x="0" y="46914"/>
                                  <a:pt x="46914" y="0"/>
                                  <a:pt x="104775" y="0"/>
                                </a:cubicBezTo>
                                <a:close/>
                              </a:path>
                            </a:pathLst>
                          </a:custGeom>
                          <a:solidFill>
                            <a:srgbClr val="FFFEFD"/>
                          </a:solidFill>
                          <a:ln w="0" cap="flat">
                            <a:noFill/>
                            <a:miter lim="127000"/>
                          </a:ln>
                          <a:effectLst/>
                        </wps:spPr>
                        <wps:bodyPr/>
                      </wps:wsp>
                      <wps:wsp>
                        <wps:cNvPr id="3028" name="Rectangle 3028"/>
                        <wps:cNvSpPr/>
                        <wps:spPr>
                          <a:xfrm>
                            <a:off x="722438" y="5396422"/>
                            <a:ext cx="80697" cy="154426"/>
                          </a:xfrm>
                          <a:prstGeom prst="rect">
                            <a:avLst/>
                          </a:prstGeom>
                          <a:ln>
                            <a:noFill/>
                          </a:ln>
                        </wps:spPr>
                        <wps:txbx>
                          <w:txbxContent>
                            <w:p w14:paraId="45154EBC" w14:textId="77777777" w:rsidR="009B2280" w:rsidRDefault="009B2280" w:rsidP="009B2280">
                              <w:r>
                                <w:rPr>
                                  <w:rFonts w:ascii="Calibri" w:eastAsia="Calibri" w:hAnsi="Calibri" w:cs="Calibri"/>
                                  <w:b/>
                                  <w:color w:val="181717"/>
                                  <w:w w:val="125"/>
                                  <w:sz w:val="15"/>
                                </w:rPr>
                                <w:t>9</w:t>
                              </w:r>
                            </w:p>
                          </w:txbxContent>
                        </wps:txbx>
                        <wps:bodyPr horzOverflow="overflow" vert="horz" lIns="0" tIns="0" rIns="0" bIns="0" rtlCol="0">
                          <a:noAutofit/>
                        </wps:bodyPr>
                      </wps:wsp>
                      <wps:wsp>
                        <wps:cNvPr id="3029" name="Rectangle 3029"/>
                        <wps:cNvSpPr/>
                        <wps:spPr>
                          <a:xfrm>
                            <a:off x="857550" y="5405932"/>
                            <a:ext cx="6607962" cy="160852"/>
                          </a:xfrm>
                          <a:prstGeom prst="rect">
                            <a:avLst/>
                          </a:prstGeom>
                          <a:ln>
                            <a:noFill/>
                          </a:ln>
                        </wps:spPr>
                        <wps:txbx>
                          <w:txbxContent>
                            <w:p w14:paraId="5D7A6B7F" w14:textId="77777777" w:rsidR="009B2280" w:rsidRDefault="009B2280" w:rsidP="009B2280">
                              <w:r>
                                <w:rPr>
                                  <w:rFonts w:ascii="Calibri" w:eastAsia="Calibri" w:hAnsi="Calibri" w:cs="Calibri"/>
                                  <w:color w:val="181717"/>
                                  <w:spacing w:val="109"/>
                                  <w:w w:val="110"/>
                                  <w:sz w:val="18"/>
                                </w:rPr>
                                <w:t xml:space="preserve"> </w:t>
                              </w:r>
                              <w:r>
                                <w:rPr>
                                  <w:rFonts w:ascii="Calibri" w:eastAsia="Calibri" w:hAnsi="Calibri" w:cs="Calibri"/>
                                  <w:color w:val="181717"/>
                                  <w:w w:val="110"/>
                                  <w:sz w:val="18"/>
                                </w:rPr>
                                <w:t>Pilot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culturally</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informed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transplant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education</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interventions,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including</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remote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language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centres</w:t>
                              </w:r>
                              <w:r>
                                <w:rPr>
                                  <w:rFonts w:ascii="Calibri" w:eastAsia="Calibri" w:hAnsi="Calibri" w:cs="Calibri"/>
                                  <w:color w:val="181717"/>
                                  <w:spacing w:val="6"/>
                                  <w:w w:val="110"/>
                                  <w:sz w:val="18"/>
                                </w:rPr>
                                <w:t xml:space="preserve"> </w:t>
                              </w:r>
                            </w:p>
                          </w:txbxContent>
                        </wps:txbx>
                        <wps:bodyPr horzOverflow="overflow" vert="horz" lIns="0" tIns="0" rIns="0" bIns="0" rtlCol="0">
                          <a:noAutofit/>
                        </wps:bodyPr>
                      </wps:wsp>
                      <wps:wsp>
                        <wps:cNvPr id="3030" name="Rectangle 3030"/>
                        <wps:cNvSpPr/>
                        <wps:spPr>
                          <a:xfrm>
                            <a:off x="952800" y="5558332"/>
                            <a:ext cx="4932105" cy="160852"/>
                          </a:xfrm>
                          <a:prstGeom prst="rect">
                            <a:avLst/>
                          </a:prstGeom>
                          <a:ln>
                            <a:noFill/>
                          </a:ln>
                        </wps:spPr>
                        <wps:txbx>
                          <w:txbxContent>
                            <w:p w14:paraId="3C7AC1E0" w14:textId="77777777" w:rsidR="009B2280" w:rsidRDefault="009B2280" w:rsidP="009B2280">
                              <w:r>
                                <w:rPr>
                                  <w:rFonts w:ascii="Calibri" w:eastAsia="Calibri" w:hAnsi="Calibri" w:cs="Calibri"/>
                                  <w:color w:val="181717"/>
                                  <w:w w:val="111"/>
                                  <w:sz w:val="18"/>
                                </w:rPr>
                                <w:t>and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culturally</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tailored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immunosuppression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adherence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education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videos.</w:t>
                              </w:r>
                            </w:p>
                          </w:txbxContent>
                        </wps:txbx>
                        <wps:bodyPr horzOverflow="overflow" vert="horz" lIns="0" tIns="0" rIns="0" bIns="0" rtlCol="0">
                          <a:noAutofit/>
                        </wps:bodyPr>
                      </wps:wsp>
                      <wps:wsp>
                        <wps:cNvPr id="3031" name="Rectangle 3031"/>
                        <wps:cNvSpPr/>
                        <wps:spPr>
                          <a:xfrm>
                            <a:off x="648000" y="5859604"/>
                            <a:ext cx="4509246" cy="216197"/>
                          </a:xfrm>
                          <a:prstGeom prst="rect">
                            <a:avLst/>
                          </a:prstGeom>
                          <a:ln>
                            <a:noFill/>
                          </a:ln>
                        </wps:spPr>
                        <wps:txbx>
                          <w:txbxContent>
                            <w:p w14:paraId="4C6C86F1" w14:textId="77777777" w:rsidR="009B2280" w:rsidRDefault="009B2280" w:rsidP="009B2280">
                              <w:r>
                                <w:rPr>
                                  <w:rFonts w:ascii="Calibri" w:eastAsia="Calibri" w:hAnsi="Calibri" w:cs="Calibri"/>
                                  <w:b/>
                                  <w:color w:val="181717"/>
                                  <w:w w:val="131"/>
                                  <w:sz w:val="21"/>
                                  <w:u w:val="single" w:color="00A8CA"/>
                                </w:rPr>
                                <w:t>Improving</w:t>
                              </w:r>
                              <w:r>
                                <w:rPr>
                                  <w:rFonts w:ascii="Calibri" w:eastAsia="Calibri" w:hAnsi="Calibri" w:cs="Calibri"/>
                                  <w:b/>
                                  <w:color w:val="181717"/>
                                  <w:spacing w:val="12"/>
                                  <w:w w:val="131"/>
                                  <w:sz w:val="21"/>
                                  <w:u w:val="single" w:color="00A8CA"/>
                                </w:rPr>
                                <w:t xml:space="preserve"> </w:t>
                              </w:r>
                              <w:r>
                                <w:rPr>
                                  <w:rFonts w:ascii="Calibri" w:eastAsia="Calibri" w:hAnsi="Calibri" w:cs="Calibri"/>
                                  <w:b/>
                                  <w:color w:val="181717"/>
                                  <w:w w:val="131"/>
                                  <w:sz w:val="21"/>
                                  <w:u w:val="single" w:color="00A8CA"/>
                                </w:rPr>
                                <w:t>equity</w:t>
                              </w:r>
                              <w:r>
                                <w:rPr>
                                  <w:rFonts w:ascii="Calibri" w:eastAsia="Calibri" w:hAnsi="Calibri" w:cs="Calibri"/>
                                  <w:b/>
                                  <w:color w:val="181717"/>
                                  <w:spacing w:val="12"/>
                                  <w:w w:val="131"/>
                                  <w:sz w:val="21"/>
                                  <w:u w:val="single" w:color="00A8CA"/>
                                </w:rPr>
                                <w:t xml:space="preserve"> </w:t>
                              </w:r>
                              <w:r>
                                <w:rPr>
                                  <w:rFonts w:ascii="Calibri" w:eastAsia="Calibri" w:hAnsi="Calibri" w:cs="Calibri"/>
                                  <w:b/>
                                  <w:color w:val="181717"/>
                                  <w:w w:val="131"/>
                                  <w:sz w:val="21"/>
                                  <w:u w:val="single" w:color="00A8CA"/>
                                </w:rPr>
                                <w:t>&amp;</w:t>
                              </w:r>
                              <w:r>
                                <w:rPr>
                                  <w:rFonts w:ascii="Calibri" w:eastAsia="Calibri" w:hAnsi="Calibri" w:cs="Calibri"/>
                                  <w:b/>
                                  <w:color w:val="181717"/>
                                  <w:spacing w:val="12"/>
                                  <w:w w:val="131"/>
                                  <w:sz w:val="21"/>
                                  <w:u w:val="single" w:color="00A8CA"/>
                                </w:rPr>
                                <w:t xml:space="preserve"> </w:t>
                              </w:r>
                              <w:r>
                                <w:rPr>
                                  <w:rFonts w:ascii="Calibri" w:eastAsia="Calibri" w:hAnsi="Calibri" w:cs="Calibri"/>
                                  <w:b/>
                                  <w:color w:val="181717"/>
                                  <w:w w:val="131"/>
                                  <w:sz w:val="21"/>
                                  <w:u w:val="single" w:color="00A8CA"/>
                                </w:rPr>
                                <w:t>access</w:t>
                              </w:r>
                              <w:r>
                                <w:rPr>
                                  <w:rFonts w:ascii="Calibri" w:eastAsia="Calibri" w:hAnsi="Calibri" w:cs="Calibri"/>
                                  <w:b/>
                                  <w:color w:val="181717"/>
                                  <w:spacing w:val="12"/>
                                  <w:w w:val="131"/>
                                  <w:sz w:val="21"/>
                                  <w:u w:val="single" w:color="00A8CA"/>
                                </w:rPr>
                                <w:t xml:space="preserve"> </w:t>
                              </w:r>
                              <w:r>
                                <w:rPr>
                                  <w:rFonts w:ascii="Calibri" w:eastAsia="Calibri" w:hAnsi="Calibri" w:cs="Calibri"/>
                                  <w:b/>
                                  <w:color w:val="181717"/>
                                  <w:w w:val="131"/>
                                  <w:sz w:val="21"/>
                                  <w:u w:val="single" w:color="00A8CA"/>
                                </w:rPr>
                                <w:t>to</w:t>
                              </w:r>
                              <w:r>
                                <w:rPr>
                                  <w:rFonts w:ascii="Calibri" w:eastAsia="Calibri" w:hAnsi="Calibri" w:cs="Calibri"/>
                                  <w:b/>
                                  <w:color w:val="181717"/>
                                  <w:spacing w:val="12"/>
                                  <w:w w:val="131"/>
                                  <w:sz w:val="21"/>
                                  <w:u w:val="single" w:color="00A8CA"/>
                                </w:rPr>
                                <w:t xml:space="preserve"> </w:t>
                              </w:r>
                              <w:r>
                                <w:rPr>
                                  <w:rFonts w:ascii="Calibri" w:eastAsia="Calibri" w:hAnsi="Calibri" w:cs="Calibri"/>
                                  <w:b/>
                                  <w:color w:val="181717"/>
                                  <w:w w:val="131"/>
                                  <w:sz w:val="21"/>
                                  <w:u w:val="single" w:color="00A8CA"/>
                                </w:rPr>
                                <w:t>transplant</w:t>
                              </w:r>
                              <w:r>
                                <w:rPr>
                                  <w:rFonts w:ascii="Calibri" w:eastAsia="Calibri" w:hAnsi="Calibri" w:cs="Calibri"/>
                                  <w:b/>
                                  <w:color w:val="181717"/>
                                  <w:spacing w:val="12"/>
                                  <w:w w:val="131"/>
                                  <w:sz w:val="21"/>
                                  <w:u w:val="single" w:color="00A8CA"/>
                                </w:rPr>
                                <w:t xml:space="preserve"> </w:t>
                              </w:r>
                              <w:r>
                                <w:rPr>
                                  <w:rFonts w:ascii="Calibri" w:eastAsia="Calibri" w:hAnsi="Calibri" w:cs="Calibri"/>
                                  <w:b/>
                                  <w:color w:val="181717"/>
                                  <w:w w:val="131"/>
                                  <w:sz w:val="21"/>
                                  <w:u w:val="single" w:color="00A8CA"/>
                                </w:rPr>
                                <w:t>services</w:t>
                              </w:r>
                            </w:p>
                          </w:txbxContent>
                        </wps:txbx>
                        <wps:bodyPr horzOverflow="overflow" vert="horz" lIns="0" tIns="0" rIns="0" bIns="0" rtlCol="0">
                          <a:noAutofit/>
                        </wps:bodyPr>
                      </wps:wsp>
                      <wps:wsp>
                        <wps:cNvPr id="3032" name="Shape 234"/>
                        <wps:cNvSpPr/>
                        <wps:spPr>
                          <a:xfrm>
                            <a:off x="648000" y="6093461"/>
                            <a:ext cx="209550" cy="209550"/>
                          </a:xfrm>
                          <a:custGeom>
                            <a:avLst/>
                            <a:gdLst/>
                            <a:ahLst/>
                            <a:cxnLst/>
                            <a:rect l="0" t="0" r="0" b="0"/>
                            <a:pathLst>
                              <a:path w="209550" h="209550">
                                <a:moveTo>
                                  <a:pt x="104775" y="0"/>
                                </a:moveTo>
                                <a:cubicBezTo>
                                  <a:pt x="162636" y="0"/>
                                  <a:pt x="209550" y="46913"/>
                                  <a:pt x="209550" y="104775"/>
                                </a:cubicBezTo>
                                <a:cubicBezTo>
                                  <a:pt x="209550" y="162637"/>
                                  <a:pt x="162636" y="209550"/>
                                  <a:pt x="104775" y="209550"/>
                                </a:cubicBezTo>
                                <a:cubicBezTo>
                                  <a:pt x="46914" y="209550"/>
                                  <a:pt x="0" y="162637"/>
                                  <a:pt x="0" y="104775"/>
                                </a:cubicBezTo>
                                <a:cubicBezTo>
                                  <a:pt x="0" y="46913"/>
                                  <a:pt x="46914" y="0"/>
                                  <a:pt x="104775" y="0"/>
                                </a:cubicBezTo>
                                <a:close/>
                              </a:path>
                            </a:pathLst>
                          </a:custGeom>
                          <a:solidFill>
                            <a:srgbClr val="00A1A4"/>
                          </a:solidFill>
                          <a:ln w="0" cap="flat">
                            <a:noFill/>
                            <a:miter lim="127000"/>
                          </a:ln>
                          <a:effectLst/>
                        </wps:spPr>
                        <wps:bodyPr/>
                      </wps:wsp>
                      <wps:wsp>
                        <wps:cNvPr id="3033" name="Rectangle 3033"/>
                        <wps:cNvSpPr/>
                        <wps:spPr>
                          <a:xfrm>
                            <a:off x="701769" y="6139373"/>
                            <a:ext cx="135677" cy="154425"/>
                          </a:xfrm>
                          <a:prstGeom prst="rect">
                            <a:avLst/>
                          </a:prstGeom>
                          <a:ln>
                            <a:noFill/>
                          </a:ln>
                        </wps:spPr>
                        <wps:txbx>
                          <w:txbxContent>
                            <w:p w14:paraId="7A8199D9" w14:textId="77777777" w:rsidR="009B2280" w:rsidRDefault="009B2280" w:rsidP="009B2280">
                              <w:r w:rsidRPr="009B2280">
                                <w:rPr>
                                  <w:rFonts w:ascii="Calibri" w:eastAsia="Calibri" w:hAnsi="Calibri" w:cs="Calibri"/>
                                  <w:b/>
                                  <w:w w:val="105"/>
                                  <w:sz w:val="15"/>
                                </w:rPr>
                                <w:t>10</w:t>
                              </w:r>
                            </w:p>
                          </w:txbxContent>
                        </wps:txbx>
                        <wps:bodyPr horzOverflow="overflow" vert="horz" lIns="0" tIns="0" rIns="0" bIns="0" rtlCol="0">
                          <a:noAutofit/>
                        </wps:bodyPr>
                      </wps:wsp>
                      <wps:wsp>
                        <wps:cNvPr id="3034" name="Rectangle 3034"/>
                        <wps:cNvSpPr/>
                        <wps:spPr>
                          <a:xfrm>
                            <a:off x="857550" y="6148882"/>
                            <a:ext cx="6508086" cy="160852"/>
                          </a:xfrm>
                          <a:prstGeom prst="rect">
                            <a:avLst/>
                          </a:prstGeom>
                          <a:ln>
                            <a:noFill/>
                          </a:ln>
                        </wps:spPr>
                        <wps:txbx>
                          <w:txbxContent>
                            <w:p w14:paraId="58F812EA" w14:textId="77777777" w:rsidR="009B2280" w:rsidRDefault="009B2280" w:rsidP="009B2280">
                              <w:r>
                                <w:rPr>
                                  <w:rFonts w:ascii="Calibri" w:eastAsia="Calibri" w:hAnsi="Calibri" w:cs="Calibri"/>
                                  <w:color w:val="181717"/>
                                  <w:spacing w:val="109"/>
                                  <w:w w:val="110"/>
                                  <w:sz w:val="18"/>
                                </w:rPr>
                                <w:t xml:space="preserve"> </w:t>
                              </w:r>
                              <w:r>
                                <w:rPr>
                                  <w:rFonts w:ascii="Calibri" w:eastAsia="Calibri" w:hAnsi="Calibri" w:cs="Calibri"/>
                                  <w:color w:val="181717"/>
                                  <w:w w:val="110"/>
                                  <w:sz w:val="18"/>
                                </w:rPr>
                                <w:t>E</w:t>
                              </w:r>
                              <w:r>
                                <w:rPr>
                                  <w:rFonts w:ascii="Calibri" w:eastAsia="Calibri" w:hAnsi="Calibri" w:cs="Calibri"/>
                                  <w:color w:val="181717"/>
                                  <w:spacing w:val="-41"/>
                                  <w:w w:val="110"/>
                                  <w:sz w:val="18"/>
                                </w:rPr>
                                <w:t xml:space="preserve"> </w:t>
                              </w:r>
                              <w:r>
                                <w:rPr>
                                  <w:rFonts w:ascii="Calibri" w:eastAsia="Calibri" w:hAnsi="Calibri" w:cs="Calibri"/>
                                  <w:color w:val="181717"/>
                                  <w:w w:val="110"/>
                                  <w:sz w:val="18"/>
                                </w:rPr>
                                <w:t>valuate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leverage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existing</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initiatives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that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target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cultural</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bias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health</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services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to</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facilitate</w:t>
                              </w:r>
                              <w:r>
                                <w:rPr>
                                  <w:rFonts w:ascii="Calibri" w:eastAsia="Calibri" w:hAnsi="Calibri" w:cs="Calibri"/>
                                  <w:color w:val="181717"/>
                                  <w:spacing w:val="6"/>
                                  <w:w w:val="110"/>
                                  <w:sz w:val="18"/>
                                </w:rPr>
                                <w:t xml:space="preserve"> </w:t>
                              </w:r>
                            </w:p>
                          </w:txbxContent>
                        </wps:txbx>
                        <wps:bodyPr horzOverflow="overflow" vert="horz" lIns="0" tIns="0" rIns="0" bIns="0" rtlCol="0">
                          <a:noAutofit/>
                        </wps:bodyPr>
                      </wps:wsp>
                      <wps:wsp>
                        <wps:cNvPr id="3035" name="Rectangle 3035"/>
                        <wps:cNvSpPr/>
                        <wps:spPr>
                          <a:xfrm>
                            <a:off x="952800" y="6301282"/>
                            <a:ext cx="6038803" cy="160852"/>
                          </a:xfrm>
                          <a:prstGeom prst="rect">
                            <a:avLst/>
                          </a:prstGeom>
                          <a:ln>
                            <a:noFill/>
                          </a:ln>
                        </wps:spPr>
                        <wps:txbx>
                          <w:txbxContent>
                            <w:p w14:paraId="3FFA893A" w14:textId="77777777" w:rsidR="009B2280" w:rsidRDefault="009B2280" w:rsidP="009B2280">
                              <w:r>
                                <w:rPr>
                                  <w:rFonts w:ascii="Calibri" w:eastAsia="Calibri" w:hAnsi="Calibri" w:cs="Calibri"/>
                                  <w:color w:val="181717"/>
                                  <w:w w:val="111"/>
                                  <w:sz w:val="18"/>
                                </w:rPr>
                                <w:t>the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rollout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of</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best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practice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pre-transplant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care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support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interventions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for</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Indigenous</w:t>
                              </w:r>
                              <w:r>
                                <w:rPr>
                                  <w:rFonts w:ascii="Calibri" w:eastAsia="Calibri" w:hAnsi="Calibri" w:cs="Calibri"/>
                                  <w:color w:val="181717"/>
                                  <w:spacing w:val="6"/>
                                  <w:w w:val="111"/>
                                  <w:sz w:val="18"/>
                                </w:rPr>
                                <w:t xml:space="preserve"> </w:t>
                              </w:r>
                            </w:p>
                          </w:txbxContent>
                        </wps:txbx>
                        <wps:bodyPr horzOverflow="overflow" vert="horz" lIns="0" tIns="0" rIns="0" bIns="0" rtlCol="0">
                          <a:noAutofit/>
                        </wps:bodyPr>
                      </wps:wsp>
                      <wps:wsp>
                        <wps:cNvPr id="3036" name="Rectangle 3036"/>
                        <wps:cNvSpPr/>
                        <wps:spPr>
                          <a:xfrm>
                            <a:off x="952800" y="6453682"/>
                            <a:ext cx="1555915" cy="160852"/>
                          </a:xfrm>
                          <a:prstGeom prst="rect">
                            <a:avLst/>
                          </a:prstGeom>
                          <a:ln>
                            <a:noFill/>
                          </a:ln>
                        </wps:spPr>
                        <wps:txbx>
                          <w:txbxContent>
                            <w:p w14:paraId="096F5755" w14:textId="77777777" w:rsidR="009B2280" w:rsidRDefault="009B2280" w:rsidP="009B2280">
                              <w:r>
                                <w:rPr>
                                  <w:rFonts w:ascii="Calibri" w:eastAsia="Calibri" w:hAnsi="Calibri" w:cs="Calibri"/>
                                  <w:color w:val="181717"/>
                                  <w:w w:val="111"/>
                                  <w:sz w:val="18"/>
                                </w:rPr>
                                <w:t>transplant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candidates.</w:t>
                              </w:r>
                              <w:r>
                                <w:rPr>
                                  <w:rFonts w:ascii="Calibri" w:eastAsia="Calibri" w:hAnsi="Calibri" w:cs="Calibri"/>
                                  <w:color w:val="181717"/>
                                  <w:spacing w:val="6"/>
                                  <w:w w:val="111"/>
                                  <w:sz w:val="18"/>
                                </w:rPr>
                                <w:t xml:space="preserve"> </w:t>
                              </w:r>
                            </w:p>
                          </w:txbxContent>
                        </wps:txbx>
                        <wps:bodyPr horzOverflow="overflow" vert="horz" lIns="0" tIns="0" rIns="0" bIns="0" rtlCol="0">
                          <a:noAutofit/>
                        </wps:bodyPr>
                      </wps:wsp>
                      <wps:wsp>
                        <wps:cNvPr id="3037" name="Shape 239"/>
                        <wps:cNvSpPr/>
                        <wps:spPr>
                          <a:xfrm>
                            <a:off x="648000" y="6645911"/>
                            <a:ext cx="209550" cy="209550"/>
                          </a:xfrm>
                          <a:custGeom>
                            <a:avLst/>
                            <a:gdLst/>
                            <a:ahLst/>
                            <a:cxnLst/>
                            <a:rect l="0" t="0" r="0" b="0"/>
                            <a:pathLst>
                              <a:path w="209550" h="209550">
                                <a:moveTo>
                                  <a:pt x="104775" y="0"/>
                                </a:moveTo>
                                <a:cubicBezTo>
                                  <a:pt x="162636" y="0"/>
                                  <a:pt x="209550" y="46913"/>
                                  <a:pt x="209550" y="104775"/>
                                </a:cubicBezTo>
                                <a:cubicBezTo>
                                  <a:pt x="209550" y="162637"/>
                                  <a:pt x="162636" y="209550"/>
                                  <a:pt x="104775" y="209550"/>
                                </a:cubicBezTo>
                                <a:cubicBezTo>
                                  <a:pt x="46914" y="209550"/>
                                  <a:pt x="0" y="162637"/>
                                  <a:pt x="0" y="104775"/>
                                </a:cubicBezTo>
                                <a:cubicBezTo>
                                  <a:pt x="0" y="46913"/>
                                  <a:pt x="46914" y="0"/>
                                  <a:pt x="104775" y="0"/>
                                </a:cubicBezTo>
                                <a:close/>
                              </a:path>
                            </a:pathLst>
                          </a:custGeom>
                          <a:solidFill>
                            <a:srgbClr val="FFFEFD"/>
                          </a:solidFill>
                          <a:ln w="0" cap="flat">
                            <a:noFill/>
                            <a:miter lim="127000"/>
                          </a:ln>
                          <a:effectLst/>
                        </wps:spPr>
                        <wps:bodyPr/>
                      </wps:wsp>
                      <wps:wsp>
                        <wps:cNvPr id="3038" name="Rectangle 3038"/>
                        <wps:cNvSpPr/>
                        <wps:spPr>
                          <a:xfrm>
                            <a:off x="715437" y="6691821"/>
                            <a:ext cx="99319" cy="154426"/>
                          </a:xfrm>
                          <a:prstGeom prst="rect">
                            <a:avLst/>
                          </a:prstGeom>
                          <a:ln>
                            <a:noFill/>
                          </a:ln>
                        </wps:spPr>
                        <wps:txbx>
                          <w:txbxContent>
                            <w:p w14:paraId="0F760284" w14:textId="77777777" w:rsidR="009B2280" w:rsidRDefault="009B2280" w:rsidP="009B2280">
                              <w:r>
                                <w:rPr>
                                  <w:rFonts w:ascii="Calibri" w:eastAsia="Calibri" w:hAnsi="Calibri" w:cs="Calibri"/>
                                  <w:b/>
                                  <w:color w:val="181717"/>
                                  <w:w w:val="77"/>
                                  <w:sz w:val="15"/>
                                </w:rPr>
                                <w:t>11</w:t>
                              </w:r>
                            </w:p>
                          </w:txbxContent>
                        </wps:txbx>
                        <wps:bodyPr horzOverflow="overflow" vert="horz" lIns="0" tIns="0" rIns="0" bIns="0" rtlCol="0">
                          <a:noAutofit/>
                        </wps:bodyPr>
                      </wps:wsp>
                      <wps:wsp>
                        <wps:cNvPr id="3039" name="Rectangle 3039"/>
                        <wps:cNvSpPr/>
                        <wps:spPr>
                          <a:xfrm>
                            <a:off x="857550" y="6701332"/>
                            <a:ext cx="6428276" cy="160852"/>
                          </a:xfrm>
                          <a:prstGeom prst="rect">
                            <a:avLst/>
                          </a:prstGeom>
                          <a:ln>
                            <a:noFill/>
                          </a:ln>
                        </wps:spPr>
                        <wps:txbx>
                          <w:txbxContent>
                            <w:p w14:paraId="3D4B42FE" w14:textId="77777777" w:rsidR="009B2280" w:rsidRDefault="009B2280" w:rsidP="009B2280">
                              <w:r>
                                <w:rPr>
                                  <w:rFonts w:ascii="Calibri" w:eastAsia="Calibri" w:hAnsi="Calibri" w:cs="Calibri"/>
                                  <w:color w:val="181717"/>
                                  <w:spacing w:val="109"/>
                                  <w:w w:val="111"/>
                                  <w:sz w:val="18"/>
                                </w:rPr>
                                <w:t xml:space="preserve"> </w:t>
                              </w:r>
                              <w:r>
                                <w:rPr>
                                  <w:rFonts w:ascii="Calibri" w:eastAsia="Calibri" w:hAnsi="Calibri" w:cs="Calibri"/>
                                  <w:color w:val="181717"/>
                                  <w:w w:val="111"/>
                                  <w:sz w:val="18"/>
                                </w:rPr>
                                <w:t>Ensure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Indigenous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transplant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candidates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are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connected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with</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primary</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care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services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earlier</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w:t>
                              </w:r>
                              <w:r>
                                <w:rPr>
                                  <w:rFonts w:ascii="Calibri" w:eastAsia="Calibri" w:hAnsi="Calibri" w:cs="Calibri"/>
                                  <w:color w:val="181717"/>
                                  <w:spacing w:val="6"/>
                                  <w:w w:val="111"/>
                                  <w:sz w:val="18"/>
                                </w:rPr>
                                <w:t xml:space="preserve"> </w:t>
                              </w:r>
                            </w:p>
                          </w:txbxContent>
                        </wps:txbx>
                        <wps:bodyPr horzOverflow="overflow" vert="horz" lIns="0" tIns="0" rIns="0" bIns="0" rtlCol="0">
                          <a:noAutofit/>
                        </wps:bodyPr>
                      </wps:wsp>
                      <wps:wsp>
                        <wps:cNvPr id="192" name="Rectangle 192"/>
                        <wps:cNvSpPr/>
                        <wps:spPr>
                          <a:xfrm>
                            <a:off x="952800" y="6853732"/>
                            <a:ext cx="6060390" cy="160852"/>
                          </a:xfrm>
                          <a:prstGeom prst="rect">
                            <a:avLst/>
                          </a:prstGeom>
                          <a:ln>
                            <a:noFill/>
                          </a:ln>
                        </wps:spPr>
                        <wps:txbx>
                          <w:txbxContent>
                            <w:p w14:paraId="0B55D73A" w14:textId="77777777" w:rsidR="009B2280" w:rsidRDefault="009B2280" w:rsidP="009B2280">
                              <w:r>
                                <w:rPr>
                                  <w:rFonts w:ascii="Calibri" w:eastAsia="Calibri" w:hAnsi="Calibri" w:cs="Calibri"/>
                                  <w:color w:val="181717"/>
                                  <w:w w:val="111"/>
                                  <w:sz w:val="18"/>
                                </w:rPr>
                                <w:t>the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ESKD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treatment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continuum,</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to</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enable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health</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issues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to</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be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addressed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prior</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to</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workup.</w:t>
                              </w:r>
                            </w:p>
                          </w:txbxContent>
                        </wps:txbx>
                        <wps:bodyPr horzOverflow="overflow" vert="horz" lIns="0" tIns="0" rIns="0" bIns="0" rtlCol="0">
                          <a:noAutofit/>
                        </wps:bodyPr>
                      </wps:wsp>
                      <wps:wsp>
                        <wps:cNvPr id="193" name="Shape 243"/>
                        <wps:cNvSpPr/>
                        <wps:spPr>
                          <a:xfrm>
                            <a:off x="648000" y="7045961"/>
                            <a:ext cx="209550" cy="209550"/>
                          </a:xfrm>
                          <a:custGeom>
                            <a:avLst/>
                            <a:gdLst/>
                            <a:ahLst/>
                            <a:cxnLst/>
                            <a:rect l="0" t="0" r="0" b="0"/>
                            <a:pathLst>
                              <a:path w="209550" h="209550">
                                <a:moveTo>
                                  <a:pt x="104775" y="0"/>
                                </a:moveTo>
                                <a:cubicBezTo>
                                  <a:pt x="162636" y="0"/>
                                  <a:pt x="209550" y="46913"/>
                                  <a:pt x="209550" y="104775"/>
                                </a:cubicBezTo>
                                <a:cubicBezTo>
                                  <a:pt x="209550" y="162637"/>
                                  <a:pt x="162636" y="209550"/>
                                  <a:pt x="104775" y="209550"/>
                                </a:cubicBezTo>
                                <a:cubicBezTo>
                                  <a:pt x="46914" y="209550"/>
                                  <a:pt x="0" y="162637"/>
                                  <a:pt x="0" y="104775"/>
                                </a:cubicBezTo>
                                <a:cubicBezTo>
                                  <a:pt x="0" y="46913"/>
                                  <a:pt x="46914" y="0"/>
                                  <a:pt x="104775" y="0"/>
                                </a:cubicBezTo>
                                <a:close/>
                              </a:path>
                            </a:pathLst>
                          </a:custGeom>
                          <a:solidFill>
                            <a:srgbClr val="FFFEFD"/>
                          </a:solidFill>
                          <a:ln w="0" cap="flat">
                            <a:noFill/>
                            <a:miter lim="127000"/>
                          </a:ln>
                          <a:effectLst/>
                        </wps:spPr>
                        <wps:bodyPr/>
                      </wps:wsp>
                      <wps:wsp>
                        <wps:cNvPr id="194" name="Rectangle 194"/>
                        <wps:cNvSpPr/>
                        <wps:spPr>
                          <a:xfrm>
                            <a:off x="706007" y="7091871"/>
                            <a:ext cx="124402" cy="154426"/>
                          </a:xfrm>
                          <a:prstGeom prst="rect">
                            <a:avLst/>
                          </a:prstGeom>
                          <a:ln>
                            <a:noFill/>
                          </a:ln>
                        </wps:spPr>
                        <wps:txbx>
                          <w:txbxContent>
                            <w:p w14:paraId="772E9473" w14:textId="77777777" w:rsidR="009B2280" w:rsidRDefault="009B2280" w:rsidP="009B2280">
                              <w:r>
                                <w:rPr>
                                  <w:rFonts w:ascii="Calibri" w:eastAsia="Calibri" w:hAnsi="Calibri" w:cs="Calibri"/>
                                  <w:b/>
                                  <w:color w:val="181717"/>
                                  <w:w w:val="96"/>
                                  <w:sz w:val="15"/>
                                </w:rPr>
                                <w:t>12</w:t>
                              </w:r>
                            </w:p>
                          </w:txbxContent>
                        </wps:txbx>
                        <wps:bodyPr horzOverflow="overflow" vert="horz" lIns="0" tIns="0" rIns="0" bIns="0" rtlCol="0">
                          <a:noAutofit/>
                        </wps:bodyPr>
                      </wps:wsp>
                      <wps:wsp>
                        <wps:cNvPr id="195" name="Rectangle 195"/>
                        <wps:cNvSpPr/>
                        <wps:spPr>
                          <a:xfrm>
                            <a:off x="857550" y="7101382"/>
                            <a:ext cx="6577407" cy="160852"/>
                          </a:xfrm>
                          <a:prstGeom prst="rect">
                            <a:avLst/>
                          </a:prstGeom>
                          <a:ln>
                            <a:noFill/>
                          </a:ln>
                        </wps:spPr>
                        <wps:txbx>
                          <w:txbxContent>
                            <w:p w14:paraId="5101EB73" w14:textId="77777777" w:rsidR="009B2280" w:rsidRDefault="009B2280" w:rsidP="009B2280">
                              <w:r>
                                <w:rPr>
                                  <w:rFonts w:ascii="Calibri" w:eastAsia="Calibri" w:hAnsi="Calibri" w:cs="Calibri"/>
                                  <w:color w:val="181717"/>
                                  <w:spacing w:val="109"/>
                                  <w:w w:val="111"/>
                                  <w:sz w:val="18"/>
                                </w:rPr>
                                <w:t xml:space="preserve"> </w:t>
                              </w:r>
                              <w:r>
                                <w:rPr>
                                  <w:rFonts w:ascii="Calibri" w:eastAsia="Calibri" w:hAnsi="Calibri" w:cs="Calibri"/>
                                  <w:color w:val="181717"/>
                                  <w:w w:val="111"/>
                                  <w:sz w:val="18"/>
                                </w:rPr>
                                <w:t>Trial</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evaluate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weight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loss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strategies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for</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Indigenous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kidney</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transplant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candidates,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including</w:t>
                              </w:r>
                              <w:r>
                                <w:rPr>
                                  <w:rFonts w:ascii="Calibri" w:eastAsia="Calibri" w:hAnsi="Calibri" w:cs="Calibri"/>
                                  <w:color w:val="181717"/>
                                  <w:spacing w:val="6"/>
                                  <w:w w:val="111"/>
                                  <w:sz w:val="18"/>
                                </w:rPr>
                                <w:t xml:space="preserve"> </w:t>
                              </w:r>
                            </w:p>
                          </w:txbxContent>
                        </wps:txbx>
                        <wps:bodyPr horzOverflow="overflow" vert="horz" lIns="0" tIns="0" rIns="0" bIns="0" rtlCol="0">
                          <a:noAutofit/>
                        </wps:bodyPr>
                      </wps:wsp>
                      <wps:wsp>
                        <wps:cNvPr id="196" name="Rectangle 196"/>
                        <wps:cNvSpPr/>
                        <wps:spPr>
                          <a:xfrm>
                            <a:off x="952800" y="7253782"/>
                            <a:ext cx="5085644" cy="160852"/>
                          </a:xfrm>
                          <a:prstGeom prst="rect">
                            <a:avLst/>
                          </a:prstGeom>
                          <a:ln>
                            <a:noFill/>
                          </a:ln>
                        </wps:spPr>
                        <wps:txbx>
                          <w:txbxContent>
                            <w:p w14:paraId="51B2755D" w14:textId="77777777" w:rsidR="009B2280" w:rsidRDefault="009B2280" w:rsidP="009B2280">
                              <w:r>
                                <w:rPr>
                                  <w:rFonts w:ascii="Calibri" w:eastAsia="Calibri" w:hAnsi="Calibri" w:cs="Calibri"/>
                                  <w:color w:val="181717"/>
                                  <w:w w:val="110"/>
                                  <w:sz w:val="18"/>
                                </w:rPr>
                                <w:t>conservative,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culturally</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tailored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weight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loss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programs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bariatric</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surgery.</w:t>
                              </w:r>
                            </w:p>
                          </w:txbxContent>
                        </wps:txbx>
                        <wps:bodyPr horzOverflow="overflow" vert="horz" lIns="0" tIns="0" rIns="0" bIns="0" rtlCol="0">
                          <a:noAutofit/>
                        </wps:bodyPr>
                      </wps:wsp>
                      <wps:wsp>
                        <wps:cNvPr id="197" name="Shape 247"/>
                        <wps:cNvSpPr/>
                        <wps:spPr>
                          <a:xfrm>
                            <a:off x="648000" y="7446011"/>
                            <a:ext cx="209550" cy="209550"/>
                          </a:xfrm>
                          <a:custGeom>
                            <a:avLst/>
                            <a:gdLst/>
                            <a:ahLst/>
                            <a:cxnLst/>
                            <a:rect l="0" t="0" r="0" b="0"/>
                            <a:pathLst>
                              <a:path w="209550" h="209550">
                                <a:moveTo>
                                  <a:pt x="104775" y="0"/>
                                </a:moveTo>
                                <a:cubicBezTo>
                                  <a:pt x="162636" y="0"/>
                                  <a:pt x="209550" y="46913"/>
                                  <a:pt x="209550" y="104775"/>
                                </a:cubicBezTo>
                                <a:cubicBezTo>
                                  <a:pt x="209550" y="162637"/>
                                  <a:pt x="162636" y="209550"/>
                                  <a:pt x="104775" y="209550"/>
                                </a:cubicBezTo>
                                <a:cubicBezTo>
                                  <a:pt x="46914" y="209550"/>
                                  <a:pt x="0" y="162637"/>
                                  <a:pt x="0" y="104775"/>
                                </a:cubicBezTo>
                                <a:cubicBezTo>
                                  <a:pt x="0" y="46913"/>
                                  <a:pt x="46914" y="0"/>
                                  <a:pt x="104775" y="0"/>
                                </a:cubicBezTo>
                                <a:close/>
                              </a:path>
                            </a:pathLst>
                          </a:custGeom>
                          <a:solidFill>
                            <a:srgbClr val="FFFEFD"/>
                          </a:solidFill>
                          <a:ln w="0" cap="flat">
                            <a:noFill/>
                            <a:miter lim="127000"/>
                          </a:ln>
                          <a:effectLst/>
                        </wps:spPr>
                        <wps:bodyPr/>
                      </wps:wsp>
                      <wps:wsp>
                        <wps:cNvPr id="198" name="Rectangle 198"/>
                        <wps:cNvSpPr/>
                        <wps:spPr>
                          <a:xfrm>
                            <a:off x="705912" y="7491921"/>
                            <a:ext cx="124656" cy="154426"/>
                          </a:xfrm>
                          <a:prstGeom prst="rect">
                            <a:avLst/>
                          </a:prstGeom>
                          <a:ln>
                            <a:noFill/>
                          </a:ln>
                        </wps:spPr>
                        <wps:txbx>
                          <w:txbxContent>
                            <w:p w14:paraId="464D61C7" w14:textId="77777777" w:rsidR="009B2280" w:rsidRDefault="009B2280" w:rsidP="009B2280">
                              <w:r>
                                <w:rPr>
                                  <w:rFonts w:ascii="Calibri" w:eastAsia="Calibri" w:hAnsi="Calibri" w:cs="Calibri"/>
                                  <w:b/>
                                  <w:color w:val="181717"/>
                                  <w:w w:val="97"/>
                                  <w:sz w:val="15"/>
                                </w:rPr>
                                <w:t>13</w:t>
                              </w:r>
                            </w:p>
                          </w:txbxContent>
                        </wps:txbx>
                        <wps:bodyPr horzOverflow="overflow" vert="horz" lIns="0" tIns="0" rIns="0" bIns="0" rtlCol="0">
                          <a:noAutofit/>
                        </wps:bodyPr>
                      </wps:wsp>
                      <wps:wsp>
                        <wps:cNvPr id="199" name="Rectangle 199"/>
                        <wps:cNvSpPr/>
                        <wps:spPr>
                          <a:xfrm>
                            <a:off x="857550" y="7501432"/>
                            <a:ext cx="6167107" cy="160852"/>
                          </a:xfrm>
                          <a:prstGeom prst="rect">
                            <a:avLst/>
                          </a:prstGeom>
                          <a:ln>
                            <a:noFill/>
                          </a:ln>
                        </wps:spPr>
                        <wps:txbx>
                          <w:txbxContent>
                            <w:p w14:paraId="21ACE5D6" w14:textId="77777777" w:rsidR="009B2280" w:rsidRDefault="009B2280" w:rsidP="009B2280">
                              <w:r>
                                <w:rPr>
                                  <w:rFonts w:ascii="Calibri" w:eastAsia="Calibri" w:hAnsi="Calibri" w:cs="Calibri"/>
                                  <w:color w:val="181717"/>
                                  <w:spacing w:val="109"/>
                                  <w:w w:val="111"/>
                                  <w:sz w:val="18"/>
                                </w:rPr>
                                <w:t xml:space="preserve"> </w:t>
                              </w:r>
                              <w:r>
                                <w:rPr>
                                  <w:rFonts w:ascii="Calibri" w:eastAsia="Calibri" w:hAnsi="Calibri" w:cs="Calibri"/>
                                  <w:color w:val="181717"/>
                                  <w:w w:val="111"/>
                                  <w:sz w:val="18"/>
                                </w:rPr>
                                <w:t>If</w:t>
                              </w:r>
                              <w:r w:rsidRPr="008D5CC2">
                                <w:rPr>
                                  <w:rFonts w:ascii="Calibri" w:eastAsia="Calibri" w:hAnsi="Calibri" w:cs="Calibri"/>
                                  <w:color w:val="181717"/>
                                  <w:w w:val="111"/>
                                  <w:sz w:val="18"/>
                                </w:rPr>
                                <w:t xml:space="preserve"> </w:t>
                              </w:r>
                              <w:r>
                                <w:rPr>
                                  <w:rFonts w:ascii="Calibri" w:eastAsia="Calibri" w:hAnsi="Calibri" w:cs="Calibri"/>
                                  <w:color w:val="181717"/>
                                  <w:w w:val="111"/>
                                  <w:sz w:val="18"/>
                                </w:rPr>
                                <w:t>an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empirical</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evidence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base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supports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the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use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of</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bariatric</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surgery</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for</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Indigenous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kidney</w:t>
                              </w:r>
                              <w:r>
                                <w:rPr>
                                  <w:rFonts w:ascii="Calibri" w:eastAsia="Calibri" w:hAnsi="Calibri" w:cs="Calibri"/>
                                  <w:color w:val="181717"/>
                                  <w:spacing w:val="6"/>
                                  <w:w w:val="111"/>
                                  <w:sz w:val="18"/>
                                </w:rPr>
                                <w:t xml:space="preserve"> </w:t>
                              </w:r>
                            </w:p>
                          </w:txbxContent>
                        </wps:txbx>
                        <wps:bodyPr horzOverflow="overflow" vert="horz" lIns="0" tIns="0" rIns="0" bIns="0" rtlCol="0">
                          <a:noAutofit/>
                        </wps:bodyPr>
                      </wps:wsp>
                      <wps:wsp>
                        <wps:cNvPr id="200" name="Rectangle 200"/>
                        <wps:cNvSpPr/>
                        <wps:spPr>
                          <a:xfrm>
                            <a:off x="952800" y="7653832"/>
                            <a:ext cx="6199183" cy="160852"/>
                          </a:xfrm>
                          <a:prstGeom prst="rect">
                            <a:avLst/>
                          </a:prstGeom>
                          <a:ln>
                            <a:noFill/>
                          </a:ln>
                        </wps:spPr>
                        <wps:txbx>
                          <w:txbxContent>
                            <w:p w14:paraId="00FA14B8" w14:textId="77777777" w:rsidR="009B2280" w:rsidRDefault="009B2280" w:rsidP="009B2280">
                              <w:r>
                                <w:rPr>
                                  <w:rFonts w:ascii="Calibri" w:eastAsia="Calibri" w:hAnsi="Calibri" w:cs="Calibri"/>
                                  <w:color w:val="181717"/>
                                  <w:w w:val="111"/>
                                  <w:sz w:val="18"/>
                                </w:rPr>
                                <w:t>transplant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candidates,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increase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funding</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for</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bariatric</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surgery</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procedures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public</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hospitals.</w:t>
                              </w:r>
                            </w:p>
                          </w:txbxContent>
                        </wps:txbx>
                        <wps:bodyPr horzOverflow="overflow" vert="horz" lIns="0" tIns="0" rIns="0" bIns="0" rtlCol="0">
                          <a:noAutofit/>
                        </wps:bodyPr>
                      </wps:wsp>
                      <wps:wsp>
                        <wps:cNvPr id="201" name="Shape 251"/>
                        <wps:cNvSpPr/>
                        <wps:spPr>
                          <a:xfrm>
                            <a:off x="648000" y="7846061"/>
                            <a:ext cx="209550" cy="209550"/>
                          </a:xfrm>
                          <a:custGeom>
                            <a:avLst/>
                            <a:gdLst/>
                            <a:ahLst/>
                            <a:cxnLst/>
                            <a:rect l="0" t="0" r="0" b="0"/>
                            <a:pathLst>
                              <a:path w="209550" h="209550">
                                <a:moveTo>
                                  <a:pt x="104775" y="0"/>
                                </a:moveTo>
                                <a:cubicBezTo>
                                  <a:pt x="162636" y="0"/>
                                  <a:pt x="209550" y="46913"/>
                                  <a:pt x="209550" y="104775"/>
                                </a:cubicBezTo>
                                <a:cubicBezTo>
                                  <a:pt x="209550" y="162637"/>
                                  <a:pt x="162636" y="209550"/>
                                  <a:pt x="104775" y="209550"/>
                                </a:cubicBezTo>
                                <a:cubicBezTo>
                                  <a:pt x="46914" y="209550"/>
                                  <a:pt x="0" y="162637"/>
                                  <a:pt x="0" y="104775"/>
                                </a:cubicBezTo>
                                <a:cubicBezTo>
                                  <a:pt x="0" y="46913"/>
                                  <a:pt x="46914" y="0"/>
                                  <a:pt x="104775" y="0"/>
                                </a:cubicBezTo>
                                <a:close/>
                              </a:path>
                            </a:pathLst>
                          </a:custGeom>
                          <a:solidFill>
                            <a:srgbClr val="00A1A4"/>
                          </a:solidFill>
                          <a:ln w="0" cap="flat">
                            <a:noFill/>
                            <a:miter lim="127000"/>
                          </a:ln>
                          <a:effectLst/>
                        </wps:spPr>
                        <wps:bodyPr/>
                      </wps:wsp>
                      <wps:wsp>
                        <wps:cNvPr id="202" name="Rectangle 202"/>
                        <wps:cNvSpPr/>
                        <wps:spPr>
                          <a:xfrm>
                            <a:off x="701293" y="7891971"/>
                            <a:ext cx="136944" cy="154426"/>
                          </a:xfrm>
                          <a:prstGeom prst="rect">
                            <a:avLst/>
                          </a:prstGeom>
                          <a:ln>
                            <a:noFill/>
                          </a:ln>
                        </wps:spPr>
                        <wps:txbx>
                          <w:txbxContent>
                            <w:p w14:paraId="14F97F62" w14:textId="77777777" w:rsidR="009B2280" w:rsidRDefault="009B2280" w:rsidP="009B2280">
                              <w:r w:rsidRPr="009B2280">
                                <w:rPr>
                                  <w:rFonts w:ascii="Calibri" w:eastAsia="Calibri" w:hAnsi="Calibri" w:cs="Calibri"/>
                                  <w:b/>
                                  <w:w w:val="106"/>
                                  <w:sz w:val="15"/>
                                </w:rPr>
                                <w:t>14</w:t>
                              </w:r>
                            </w:p>
                          </w:txbxContent>
                        </wps:txbx>
                        <wps:bodyPr horzOverflow="overflow" vert="horz" lIns="0" tIns="0" rIns="0" bIns="0" rtlCol="0">
                          <a:noAutofit/>
                        </wps:bodyPr>
                      </wps:wsp>
                      <wps:wsp>
                        <wps:cNvPr id="203" name="Rectangle 203"/>
                        <wps:cNvSpPr/>
                        <wps:spPr>
                          <a:xfrm>
                            <a:off x="857550" y="7901482"/>
                            <a:ext cx="6007031" cy="160852"/>
                          </a:xfrm>
                          <a:prstGeom prst="rect">
                            <a:avLst/>
                          </a:prstGeom>
                          <a:ln>
                            <a:noFill/>
                          </a:ln>
                        </wps:spPr>
                        <wps:txbx>
                          <w:txbxContent>
                            <w:p w14:paraId="42989058" w14:textId="77777777" w:rsidR="009B2280" w:rsidRDefault="009B2280" w:rsidP="009B2280">
                              <w:r>
                                <w:rPr>
                                  <w:rFonts w:ascii="Calibri" w:eastAsia="Calibri" w:hAnsi="Calibri" w:cs="Calibri"/>
                                  <w:color w:val="181717"/>
                                  <w:spacing w:val="109"/>
                                  <w:w w:val="110"/>
                                  <w:sz w:val="18"/>
                                </w:rPr>
                                <w:t xml:space="preserve"> </w:t>
                              </w:r>
                              <w:r>
                                <w:rPr>
                                  <w:rFonts w:ascii="Calibri" w:eastAsia="Calibri" w:hAnsi="Calibri" w:cs="Calibri"/>
                                  <w:color w:val="181717"/>
                                  <w:w w:val="110"/>
                                  <w:sz w:val="18"/>
                                </w:rPr>
                                <w:t>Trial</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multidisciplinary</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pre-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post-transplant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clinic</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one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major</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regional</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centre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for</w:t>
                              </w:r>
                              <w:r>
                                <w:rPr>
                                  <w:rFonts w:ascii="Calibri" w:eastAsia="Calibri" w:hAnsi="Calibri" w:cs="Calibri"/>
                                  <w:color w:val="181717"/>
                                  <w:spacing w:val="6"/>
                                  <w:w w:val="110"/>
                                  <w:sz w:val="18"/>
                                </w:rPr>
                                <w:t xml:space="preserve"> </w:t>
                              </w:r>
                            </w:p>
                          </w:txbxContent>
                        </wps:txbx>
                        <wps:bodyPr horzOverflow="overflow" vert="horz" lIns="0" tIns="0" rIns="0" bIns="0" rtlCol="0">
                          <a:noAutofit/>
                        </wps:bodyPr>
                      </wps:wsp>
                      <wps:wsp>
                        <wps:cNvPr id="204" name="Rectangle 204"/>
                        <wps:cNvSpPr/>
                        <wps:spPr>
                          <a:xfrm>
                            <a:off x="952800" y="8053882"/>
                            <a:ext cx="173606" cy="160852"/>
                          </a:xfrm>
                          <a:prstGeom prst="rect">
                            <a:avLst/>
                          </a:prstGeom>
                          <a:ln>
                            <a:noFill/>
                          </a:ln>
                        </wps:spPr>
                        <wps:txbx>
                          <w:txbxContent>
                            <w:p w14:paraId="71E658B8" w14:textId="77777777" w:rsidR="009B2280" w:rsidRDefault="009B2280" w:rsidP="009B2280">
                              <w:r>
                                <w:rPr>
                                  <w:rFonts w:ascii="Calibri" w:eastAsia="Calibri" w:hAnsi="Calibri" w:cs="Calibri"/>
                                  <w:color w:val="181717"/>
                                  <w:w w:val="112"/>
                                  <w:sz w:val="18"/>
                                </w:rPr>
                                <w:t>12</w:t>
                              </w:r>
                            </w:p>
                          </w:txbxContent>
                        </wps:txbx>
                        <wps:bodyPr horzOverflow="overflow" vert="horz" lIns="0" tIns="0" rIns="0" bIns="0" rtlCol="0">
                          <a:noAutofit/>
                        </wps:bodyPr>
                      </wps:wsp>
                      <wps:wsp>
                        <wps:cNvPr id="205" name="Rectangle 205"/>
                        <wps:cNvSpPr/>
                        <wps:spPr>
                          <a:xfrm>
                            <a:off x="1083330" y="8053882"/>
                            <a:ext cx="5889672" cy="160852"/>
                          </a:xfrm>
                          <a:prstGeom prst="rect">
                            <a:avLst/>
                          </a:prstGeom>
                          <a:ln>
                            <a:noFill/>
                          </a:ln>
                        </wps:spPr>
                        <wps:txbx>
                          <w:txbxContent>
                            <w:p w14:paraId="2CE67DC9" w14:textId="77777777" w:rsidR="009B2280" w:rsidRDefault="009B2280" w:rsidP="009B2280">
                              <w:r>
                                <w:rPr>
                                  <w:rFonts w:ascii="Calibri" w:eastAsia="Calibri" w:hAnsi="Calibri" w:cs="Calibri"/>
                                  <w:color w:val="181717"/>
                                  <w:spacing w:val="6"/>
                                  <w:w w:val="110"/>
                                  <w:sz w:val="18"/>
                                </w:rPr>
                                <w:t xml:space="preserve"> </w:t>
                              </w:r>
                              <w:r>
                                <w:rPr>
                                  <w:rFonts w:ascii="Calibri" w:eastAsia="Calibri" w:hAnsi="Calibri" w:cs="Calibri"/>
                                  <w:color w:val="181717"/>
                                  <w:w w:val="110"/>
                                  <w:sz w:val="18"/>
                                </w:rPr>
                                <w:t>months,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prioritising</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the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availability</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of</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dental</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cardiac</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services,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well</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travel</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p>
                          </w:txbxContent>
                        </wps:txbx>
                        <wps:bodyPr horzOverflow="overflow" vert="horz" lIns="0" tIns="0" rIns="0" bIns="0" rtlCol="0">
                          <a:noAutofit/>
                        </wps:bodyPr>
                      </wps:wsp>
                      <wps:wsp>
                        <wps:cNvPr id="206" name="Rectangle 206"/>
                        <wps:cNvSpPr/>
                        <wps:spPr>
                          <a:xfrm>
                            <a:off x="952800" y="8206282"/>
                            <a:ext cx="3749549" cy="160852"/>
                          </a:xfrm>
                          <a:prstGeom prst="rect">
                            <a:avLst/>
                          </a:prstGeom>
                          <a:ln>
                            <a:noFill/>
                          </a:ln>
                        </wps:spPr>
                        <wps:txbx>
                          <w:txbxContent>
                            <w:p w14:paraId="21745413" w14:textId="77777777" w:rsidR="009B2280" w:rsidRDefault="009B2280" w:rsidP="009B2280">
                              <w:r>
                                <w:rPr>
                                  <w:rFonts w:ascii="Calibri" w:eastAsia="Calibri" w:hAnsi="Calibri" w:cs="Calibri"/>
                                  <w:color w:val="181717"/>
                                  <w:w w:val="111"/>
                                  <w:sz w:val="18"/>
                                </w:rPr>
                                <w:t>accommodation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support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for</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rural</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remote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patients.</w:t>
                              </w:r>
                            </w:p>
                          </w:txbxContent>
                        </wps:txbx>
                        <wps:bodyPr horzOverflow="overflow" vert="horz" lIns="0" tIns="0" rIns="0" bIns="0" rtlCol="0">
                          <a:noAutofit/>
                        </wps:bodyPr>
                      </wps:wsp>
                      <wps:wsp>
                        <wps:cNvPr id="207" name="Shape 256"/>
                        <wps:cNvSpPr/>
                        <wps:spPr>
                          <a:xfrm>
                            <a:off x="648000" y="8398511"/>
                            <a:ext cx="209550" cy="209550"/>
                          </a:xfrm>
                          <a:custGeom>
                            <a:avLst/>
                            <a:gdLst/>
                            <a:ahLst/>
                            <a:cxnLst/>
                            <a:rect l="0" t="0" r="0" b="0"/>
                            <a:pathLst>
                              <a:path w="209550" h="209550">
                                <a:moveTo>
                                  <a:pt x="104775" y="0"/>
                                </a:moveTo>
                                <a:cubicBezTo>
                                  <a:pt x="162636" y="0"/>
                                  <a:pt x="209550" y="46913"/>
                                  <a:pt x="209550" y="104775"/>
                                </a:cubicBezTo>
                                <a:cubicBezTo>
                                  <a:pt x="209550" y="162637"/>
                                  <a:pt x="162636" y="209550"/>
                                  <a:pt x="104775" y="209550"/>
                                </a:cubicBezTo>
                                <a:cubicBezTo>
                                  <a:pt x="46914" y="209550"/>
                                  <a:pt x="0" y="162637"/>
                                  <a:pt x="0" y="104775"/>
                                </a:cubicBezTo>
                                <a:cubicBezTo>
                                  <a:pt x="0" y="46913"/>
                                  <a:pt x="46914" y="0"/>
                                  <a:pt x="104775" y="0"/>
                                </a:cubicBezTo>
                                <a:close/>
                              </a:path>
                            </a:pathLst>
                          </a:custGeom>
                          <a:solidFill>
                            <a:srgbClr val="FFFEFD"/>
                          </a:solidFill>
                          <a:ln w="0" cap="flat">
                            <a:noFill/>
                            <a:miter lim="127000"/>
                          </a:ln>
                          <a:effectLst/>
                        </wps:spPr>
                        <wps:bodyPr/>
                      </wps:wsp>
                      <wps:wsp>
                        <wps:cNvPr id="208" name="Rectangle 208"/>
                        <wps:cNvSpPr/>
                        <wps:spPr>
                          <a:xfrm>
                            <a:off x="705770" y="8444421"/>
                            <a:ext cx="125036" cy="154426"/>
                          </a:xfrm>
                          <a:prstGeom prst="rect">
                            <a:avLst/>
                          </a:prstGeom>
                          <a:ln>
                            <a:noFill/>
                          </a:ln>
                        </wps:spPr>
                        <wps:txbx>
                          <w:txbxContent>
                            <w:p w14:paraId="06CA1E65" w14:textId="77777777" w:rsidR="009B2280" w:rsidRDefault="009B2280" w:rsidP="009B2280">
                              <w:r>
                                <w:rPr>
                                  <w:rFonts w:ascii="Calibri" w:eastAsia="Calibri" w:hAnsi="Calibri" w:cs="Calibri"/>
                                  <w:b/>
                                  <w:color w:val="181717"/>
                                  <w:w w:val="97"/>
                                  <w:sz w:val="15"/>
                                </w:rPr>
                                <w:t>15</w:t>
                              </w:r>
                            </w:p>
                          </w:txbxContent>
                        </wps:txbx>
                        <wps:bodyPr horzOverflow="overflow" vert="horz" lIns="0" tIns="0" rIns="0" bIns="0" rtlCol="0">
                          <a:noAutofit/>
                        </wps:bodyPr>
                      </wps:wsp>
                      <wps:wsp>
                        <wps:cNvPr id="209" name="Rectangle 209"/>
                        <wps:cNvSpPr/>
                        <wps:spPr>
                          <a:xfrm>
                            <a:off x="857550" y="8453932"/>
                            <a:ext cx="202945" cy="160852"/>
                          </a:xfrm>
                          <a:prstGeom prst="rect">
                            <a:avLst/>
                          </a:prstGeom>
                          <a:ln>
                            <a:noFill/>
                          </a:ln>
                        </wps:spPr>
                        <wps:txbx>
                          <w:txbxContent>
                            <w:p w14:paraId="12FCB2BB" w14:textId="77777777" w:rsidR="009B2280" w:rsidRDefault="009B2280" w:rsidP="009B2280">
                              <w:r>
                                <w:rPr>
                                  <w:rFonts w:ascii="Calibri" w:eastAsia="Calibri" w:hAnsi="Calibri" w:cs="Calibri"/>
                                  <w:color w:val="181717"/>
                                  <w:spacing w:val="109"/>
                                  <w:w w:val="109"/>
                                  <w:sz w:val="18"/>
                                </w:rPr>
                                <w:t xml:space="preserve"> </w:t>
                              </w:r>
                              <w:r>
                                <w:rPr>
                                  <w:rFonts w:ascii="Calibri" w:eastAsia="Calibri" w:hAnsi="Calibri" w:cs="Calibri"/>
                                  <w:color w:val="181717"/>
                                  <w:spacing w:val="103"/>
                                  <w:w w:val="109"/>
                                  <w:sz w:val="18"/>
                                </w:rPr>
                                <w:t>F</w:t>
                              </w:r>
                            </w:p>
                          </w:txbxContent>
                        </wps:txbx>
                        <wps:bodyPr horzOverflow="overflow" vert="horz" lIns="0" tIns="0" rIns="0" bIns="0" rtlCol="0">
                          <a:noAutofit/>
                        </wps:bodyPr>
                      </wps:wsp>
                      <wps:wsp>
                        <wps:cNvPr id="210" name="Rectangle 210"/>
                        <wps:cNvSpPr/>
                        <wps:spPr>
                          <a:xfrm>
                            <a:off x="952796" y="8453932"/>
                            <a:ext cx="6343099" cy="160852"/>
                          </a:xfrm>
                          <a:prstGeom prst="rect">
                            <a:avLst/>
                          </a:prstGeom>
                          <a:ln>
                            <a:noFill/>
                          </a:ln>
                        </wps:spPr>
                        <wps:txbx>
                          <w:txbxContent>
                            <w:p w14:paraId="03615F98" w14:textId="77777777" w:rsidR="009B2280" w:rsidRDefault="009B2280" w:rsidP="009B2280">
                              <w:r w:rsidRPr="008D5CC2">
                                <w:rPr>
                                  <w:rFonts w:ascii="Calibri" w:eastAsia="Calibri" w:hAnsi="Calibri" w:cs="Calibri"/>
                                  <w:color w:val="181717"/>
                                  <w:w w:val="110"/>
                                  <w:sz w:val="18"/>
                                </w:rPr>
                                <w:t>Fund</w:t>
                              </w:r>
                              <w:r>
                                <w:rPr>
                                  <w:rFonts w:ascii="Calibri" w:eastAsia="Calibri" w:hAnsi="Calibri" w:cs="Calibri"/>
                                  <w:color w:val="181717"/>
                                  <w:w w:val="110"/>
                                  <w:sz w:val="18"/>
                                </w:rPr>
                                <w:t xml:space="preserve"> </w:t>
                              </w:r>
                              <w:r w:rsidRPr="008D5CC2">
                                <w:rPr>
                                  <w:rFonts w:ascii="Calibri" w:eastAsia="Calibri" w:hAnsi="Calibri" w:cs="Calibri"/>
                                  <w:color w:val="181717"/>
                                  <w:w w:val="110"/>
                                  <w:sz w:val="18"/>
                                </w:rPr>
                                <w:t>relevant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medical</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allied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health</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services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positions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regional</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centres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to</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facilitate</w:t>
                              </w:r>
                              <w:r>
                                <w:rPr>
                                  <w:rFonts w:ascii="Calibri" w:eastAsia="Calibri" w:hAnsi="Calibri" w:cs="Calibri"/>
                                  <w:color w:val="181717"/>
                                  <w:spacing w:val="6"/>
                                  <w:w w:val="110"/>
                                  <w:sz w:val="18"/>
                                </w:rPr>
                                <w:t xml:space="preserve"> </w:t>
                              </w:r>
                            </w:p>
                          </w:txbxContent>
                        </wps:txbx>
                        <wps:bodyPr horzOverflow="overflow" vert="horz" lIns="0" tIns="0" rIns="0" bIns="0" rtlCol="0">
                          <a:noAutofit/>
                        </wps:bodyPr>
                      </wps:wsp>
                      <wps:wsp>
                        <wps:cNvPr id="211" name="Rectangle 211"/>
                        <wps:cNvSpPr/>
                        <wps:spPr>
                          <a:xfrm>
                            <a:off x="952800" y="8606332"/>
                            <a:ext cx="5946224" cy="160852"/>
                          </a:xfrm>
                          <a:prstGeom prst="rect">
                            <a:avLst/>
                          </a:prstGeom>
                          <a:ln>
                            <a:noFill/>
                          </a:ln>
                        </wps:spPr>
                        <wps:txbx>
                          <w:txbxContent>
                            <w:p w14:paraId="499CEB69" w14:textId="77777777" w:rsidR="009B2280" w:rsidRDefault="009B2280" w:rsidP="009B2280">
                              <w:r>
                                <w:rPr>
                                  <w:rFonts w:ascii="Calibri" w:eastAsia="Calibri" w:hAnsi="Calibri" w:cs="Calibri"/>
                                  <w:color w:val="181717"/>
                                  <w:w w:val="110"/>
                                  <w:sz w:val="18"/>
                                </w:rPr>
                                <w:t>the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delivery</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of</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specialist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transplant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support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outreach</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services,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complementing</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regional</w:t>
                              </w:r>
                              <w:r>
                                <w:rPr>
                                  <w:rFonts w:ascii="Calibri" w:eastAsia="Calibri" w:hAnsi="Calibri" w:cs="Calibri"/>
                                  <w:color w:val="181717"/>
                                  <w:spacing w:val="6"/>
                                  <w:w w:val="110"/>
                                  <w:sz w:val="18"/>
                                </w:rPr>
                                <w:t xml:space="preserve"> </w:t>
                              </w:r>
                            </w:p>
                          </w:txbxContent>
                        </wps:txbx>
                        <wps:bodyPr horzOverflow="overflow" vert="horz" lIns="0" tIns="0" rIns="0" bIns="0" rtlCol="0">
                          <a:noAutofit/>
                        </wps:bodyPr>
                      </wps:wsp>
                      <wps:wsp>
                        <wps:cNvPr id="212" name="Rectangle 212"/>
                        <wps:cNvSpPr/>
                        <wps:spPr>
                          <a:xfrm>
                            <a:off x="5423002" y="8606332"/>
                            <a:ext cx="39525" cy="160852"/>
                          </a:xfrm>
                          <a:prstGeom prst="rect">
                            <a:avLst/>
                          </a:prstGeom>
                          <a:ln>
                            <a:noFill/>
                          </a:ln>
                        </wps:spPr>
                        <wps:txbx>
                          <w:txbxContent>
                            <w:p w14:paraId="240006E5" w14:textId="77777777" w:rsidR="009B2280" w:rsidRDefault="009B2280" w:rsidP="009B2280">
                              <w:r>
                                <w:rPr>
                                  <w:rFonts w:ascii="Calibri" w:eastAsia="Calibri" w:hAnsi="Calibri" w:cs="Calibri"/>
                                  <w:color w:val="181717"/>
                                  <w:sz w:val="18"/>
                                </w:rPr>
                                <w:t xml:space="preserve"> </w:t>
                              </w:r>
                            </w:p>
                          </w:txbxContent>
                        </wps:txbx>
                        <wps:bodyPr horzOverflow="overflow" vert="horz" lIns="0" tIns="0" rIns="0" bIns="0" rtlCol="0">
                          <a:noAutofit/>
                        </wps:bodyPr>
                      </wps:wsp>
                      <wps:wsp>
                        <wps:cNvPr id="213" name="Rectangle 213"/>
                        <wps:cNvSpPr/>
                        <wps:spPr>
                          <a:xfrm>
                            <a:off x="952800" y="8758732"/>
                            <a:ext cx="6133663" cy="160852"/>
                          </a:xfrm>
                          <a:prstGeom prst="rect">
                            <a:avLst/>
                          </a:prstGeom>
                          <a:ln>
                            <a:noFill/>
                          </a:ln>
                        </wps:spPr>
                        <wps:txbx>
                          <w:txbxContent>
                            <w:p w14:paraId="30153A50" w14:textId="77777777" w:rsidR="009B2280" w:rsidRDefault="009B2280" w:rsidP="009B2280">
                              <w:r>
                                <w:rPr>
                                  <w:rFonts w:ascii="Calibri" w:eastAsia="Calibri" w:hAnsi="Calibri" w:cs="Calibri"/>
                                  <w:color w:val="181717"/>
                                  <w:w w:val="111"/>
                                  <w:sz w:val="18"/>
                                </w:rPr>
                                <w:t>pre-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post-transplant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clinics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improving</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coordination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of</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appointments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services.</w:t>
                              </w:r>
                            </w:p>
                          </w:txbxContent>
                        </wps:txbx>
                        <wps:bodyPr horzOverflow="overflow" vert="horz" lIns="0" tIns="0" rIns="0" bIns="0" rtlCol="0">
                          <a:noAutofit/>
                        </wps:bodyPr>
                      </wps:wsp>
                      <wps:wsp>
                        <wps:cNvPr id="214" name="Rectangle 214"/>
                        <wps:cNvSpPr/>
                        <wps:spPr>
                          <a:xfrm>
                            <a:off x="647945" y="0"/>
                            <a:ext cx="6235427" cy="304800"/>
                          </a:xfrm>
                          <a:prstGeom prst="rect">
                            <a:avLst/>
                          </a:prstGeom>
                          <a:ln>
                            <a:noFill/>
                          </a:ln>
                        </wps:spPr>
                        <wps:txbx>
                          <w:txbxContent>
                            <w:p w14:paraId="396ACE9A" w14:textId="77777777" w:rsidR="009B2280" w:rsidRDefault="009B2280" w:rsidP="009B2280">
                              <w:r w:rsidRPr="00583BE4">
                                <w:rPr>
                                  <w:rFonts w:ascii="Calibri" w:eastAsia="Calibri" w:hAnsi="Calibri" w:cs="Calibri"/>
                                  <w:b/>
                                  <w:color w:val="181717"/>
                                  <w:w w:val="123"/>
                                  <w:szCs w:val="20"/>
                                </w:rPr>
                                <w:t>CONSOLIDATED LIST OF RECOMMENDATIONS</w:t>
                              </w:r>
                              <w:r>
                                <w:rPr>
                                  <w:rFonts w:ascii="Calibri" w:eastAsia="Calibri" w:hAnsi="Calibri" w:cs="Calibri"/>
                                  <w:b/>
                                  <w:color w:val="181717"/>
                                  <w:w w:val="123"/>
                                  <w:sz w:val="18"/>
                                </w:rPr>
                                <w:t xml:space="preserve"> - Total:</w:t>
                              </w:r>
                              <w:r>
                                <w:rPr>
                                  <w:rFonts w:ascii="Calibri" w:eastAsia="Calibri" w:hAnsi="Calibri" w:cs="Calibri"/>
                                  <w:b/>
                                  <w:color w:val="181717"/>
                                  <w:spacing w:val="6"/>
                                  <w:w w:val="123"/>
                                  <w:sz w:val="18"/>
                                </w:rPr>
                                <w:t xml:space="preserve"> </w:t>
                              </w:r>
                              <w:r>
                                <w:rPr>
                                  <w:rFonts w:ascii="Calibri" w:eastAsia="Calibri" w:hAnsi="Calibri" w:cs="Calibri"/>
                                  <w:b/>
                                  <w:color w:val="181717"/>
                                  <w:w w:val="123"/>
                                  <w:sz w:val="18"/>
                                </w:rPr>
                                <w:t>35</w:t>
                              </w:r>
                              <w:r>
                                <w:rPr>
                                  <w:rFonts w:ascii="Calibri" w:eastAsia="Calibri" w:hAnsi="Calibri" w:cs="Calibri"/>
                                  <w:b/>
                                  <w:color w:val="181717"/>
                                  <w:spacing w:val="6"/>
                                  <w:w w:val="123"/>
                                  <w:sz w:val="18"/>
                                </w:rPr>
                                <w:t xml:space="preserve"> </w:t>
                              </w:r>
                              <w:r>
                                <w:rPr>
                                  <w:rFonts w:ascii="Calibri" w:eastAsia="Calibri" w:hAnsi="Calibri" w:cs="Calibri"/>
                                  <w:b/>
                                  <w:color w:val="181717"/>
                                  <w:w w:val="123"/>
                                  <w:sz w:val="18"/>
                                </w:rPr>
                                <w:t>recommendations</w:t>
                              </w:r>
                            </w:p>
                          </w:txbxContent>
                        </wps:txbx>
                        <wps:bodyPr horzOverflow="overflow" vert="horz" lIns="0" tIns="0" rIns="0" bIns="0" rtlCol="0">
                          <a:noAutofit/>
                        </wps:bodyPr>
                      </wps:wsp>
                      <wps:wsp>
                        <wps:cNvPr id="215" name="Shape 263"/>
                        <wps:cNvSpPr/>
                        <wps:spPr>
                          <a:xfrm>
                            <a:off x="648000" y="173180"/>
                            <a:ext cx="209550" cy="209550"/>
                          </a:xfrm>
                          <a:custGeom>
                            <a:avLst/>
                            <a:gdLst/>
                            <a:ahLst/>
                            <a:cxnLst/>
                            <a:rect l="0" t="0" r="0" b="0"/>
                            <a:pathLst>
                              <a:path w="209550" h="209550">
                                <a:moveTo>
                                  <a:pt x="104775" y="0"/>
                                </a:moveTo>
                                <a:cubicBezTo>
                                  <a:pt x="162636" y="0"/>
                                  <a:pt x="209550" y="46914"/>
                                  <a:pt x="209550" y="104775"/>
                                </a:cubicBezTo>
                                <a:cubicBezTo>
                                  <a:pt x="209550" y="162636"/>
                                  <a:pt x="162636" y="209550"/>
                                  <a:pt x="104775" y="209550"/>
                                </a:cubicBezTo>
                                <a:cubicBezTo>
                                  <a:pt x="46914" y="209550"/>
                                  <a:pt x="0" y="162636"/>
                                  <a:pt x="0" y="104775"/>
                                </a:cubicBezTo>
                                <a:cubicBezTo>
                                  <a:pt x="0" y="46914"/>
                                  <a:pt x="46914" y="0"/>
                                  <a:pt x="104775" y="0"/>
                                </a:cubicBezTo>
                                <a:close/>
                              </a:path>
                            </a:pathLst>
                          </a:custGeom>
                          <a:solidFill>
                            <a:srgbClr val="00A1A4"/>
                          </a:solidFill>
                          <a:ln w="0" cap="flat">
                            <a:noFill/>
                            <a:miter lim="127000"/>
                          </a:ln>
                          <a:effectLst/>
                        </wps:spPr>
                        <wps:bodyPr/>
                      </wps:wsp>
                      <wps:wsp>
                        <wps:cNvPr id="216" name="Rectangle 216"/>
                        <wps:cNvSpPr/>
                        <wps:spPr>
                          <a:xfrm>
                            <a:off x="688101" y="219091"/>
                            <a:ext cx="172035" cy="154426"/>
                          </a:xfrm>
                          <a:prstGeom prst="rect">
                            <a:avLst/>
                          </a:prstGeom>
                          <a:ln>
                            <a:noFill/>
                          </a:ln>
                        </wps:spPr>
                        <wps:txbx>
                          <w:txbxContent>
                            <w:p w14:paraId="5184C4FC" w14:textId="77777777" w:rsidR="009B2280" w:rsidRPr="009B2280" w:rsidRDefault="009B2280" w:rsidP="009B2280">
                              <w:r w:rsidRPr="009B2280">
                                <w:rPr>
                                  <w:rFonts w:ascii="Calibri" w:eastAsia="Calibri" w:hAnsi="Calibri" w:cs="Calibri"/>
                                  <w:b/>
                                  <w:w w:val="133"/>
                                  <w:sz w:val="15"/>
                                </w:rPr>
                                <w:t>00</w:t>
                              </w:r>
                            </w:p>
                          </w:txbxContent>
                        </wps:txbx>
                        <wps:bodyPr horzOverflow="overflow" vert="horz" lIns="0" tIns="0" rIns="0" bIns="0" rtlCol="0">
                          <a:noAutofit/>
                        </wps:bodyPr>
                      </wps:wsp>
                      <wps:wsp>
                        <wps:cNvPr id="218" name="Rectangle 218"/>
                        <wps:cNvSpPr/>
                        <wps:spPr>
                          <a:xfrm>
                            <a:off x="857550" y="228600"/>
                            <a:ext cx="2549359" cy="160852"/>
                          </a:xfrm>
                          <a:prstGeom prst="rect">
                            <a:avLst/>
                          </a:prstGeom>
                          <a:ln>
                            <a:noFill/>
                          </a:ln>
                        </wps:spPr>
                        <wps:txbx>
                          <w:txbxContent>
                            <w:p w14:paraId="6D85C59F" w14:textId="77777777" w:rsidR="009B2280" w:rsidRDefault="009B2280" w:rsidP="009B2280">
                              <w:r>
                                <w:rPr>
                                  <w:rFonts w:ascii="Calibri" w:eastAsia="Calibri" w:hAnsi="Calibri" w:cs="Calibri"/>
                                  <w:color w:val="181717"/>
                                  <w:w w:val="110"/>
                                  <w:sz w:val="18"/>
                                </w:rPr>
                                <w:t> Highlight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Priority</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recommendation</w:t>
                              </w:r>
                            </w:p>
                          </w:txbxContent>
                        </wps:txbx>
                        <wps:bodyPr horzOverflow="overflow" vert="horz" lIns="0" tIns="0" rIns="0" bIns="0" rtlCol="0">
                          <a:noAutofit/>
                        </wps:bodyPr>
                      </wps:wsp>
                    </wpg:wgp>
                  </a:graphicData>
                </a:graphic>
              </wp:inline>
            </w:drawing>
          </mc:Choice>
          <mc:Fallback>
            <w:pict>
              <v:group w14:anchorId="262A19D9" id="Group 24" o:spid="_x0000_s1046" alt="Summary table of list of recommendations " style="width:488.65pt;height:682.65pt;mso-position-horizontal-relative:char;mso-position-vertical-relative:line" coordsize="75599,9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">
                <v:shape id="Shape 3014" o:spid="_x0000_s1047" style="position:absolute;top:4684;width:75599;height:94320;visibility:visible;mso-wrap-style:square;v-text-anchor:top" coordsize="7559993,943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" path="m,l7559993,r,9431998l,9431998,,e" fillcolor="#eae6dd" stroked="f" strokeweight="0">
                  <v:stroke miterlimit="83231f" joinstyle="miter"/>
                  <v:path arrowok="t" textboxrect="0,0,7559993,9431998"/>
                </v:shape>
                <v:rect id="Rectangle 27" o:spid="_x0000_s1048" style="position:absolute;left:6480;top:6208;width:61453;height:2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ADB0518" w14:textId="77777777" w:rsidR="009B2280" w:rsidRDefault="009B2280" w:rsidP="009B2280">
                        <w:r>
                          <w:rPr>
                            <w:rFonts w:ascii="Calibri" w:eastAsia="Calibri" w:hAnsi="Calibri" w:cs="Calibri"/>
                            <w:b/>
                            <w:color w:val="181717"/>
                            <w:w w:val="131"/>
                            <w:sz w:val="21"/>
                            <w:u w:val="single" w:color="3C3375"/>
                          </w:rPr>
                          <w:t>Establishment</w:t>
                        </w:r>
                        <w:r>
                          <w:rPr>
                            <w:rFonts w:ascii="Calibri" w:eastAsia="Calibri" w:hAnsi="Calibri" w:cs="Calibri"/>
                            <w:b/>
                            <w:color w:val="181717"/>
                            <w:spacing w:val="12"/>
                            <w:w w:val="131"/>
                            <w:sz w:val="21"/>
                            <w:u w:val="single" w:color="3C3375"/>
                          </w:rPr>
                          <w:t xml:space="preserve"> </w:t>
                        </w:r>
                        <w:r>
                          <w:rPr>
                            <w:rFonts w:ascii="Calibri" w:eastAsia="Calibri" w:hAnsi="Calibri" w:cs="Calibri"/>
                            <w:b/>
                            <w:color w:val="181717"/>
                            <w:w w:val="131"/>
                            <w:sz w:val="21"/>
                            <w:u w:val="single" w:color="3C3375"/>
                          </w:rPr>
                          <w:t>of</w:t>
                        </w:r>
                        <w:r>
                          <w:rPr>
                            <w:rFonts w:ascii="Calibri" w:eastAsia="Calibri" w:hAnsi="Calibri" w:cs="Calibri"/>
                            <w:b/>
                            <w:color w:val="181717"/>
                            <w:spacing w:val="12"/>
                            <w:w w:val="131"/>
                            <w:sz w:val="21"/>
                            <w:u w:val="single" w:color="3C3375"/>
                          </w:rPr>
                          <w:t xml:space="preserve"> </w:t>
                        </w:r>
                        <w:r>
                          <w:rPr>
                            <w:rFonts w:ascii="Calibri" w:eastAsia="Calibri" w:hAnsi="Calibri" w:cs="Calibri"/>
                            <w:b/>
                            <w:color w:val="181717"/>
                            <w:w w:val="131"/>
                            <w:sz w:val="21"/>
                            <w:u w:val="single" w:color="3C3375"/>
                          </w:rPr>
                          <w:t>a</w:t>
                        </w:r>
                        <w:r>
                          <w:rPr>
                            <w:rFonts w:ascii="Calibri" w:eastAsia="Calibri" w:hAnsi="Calibri" w:cs="Calibri"/>
                            <w:b/>
                            <w:color w:val="181717"/>
                            <w:spacing w:val="12"/>
                            <w:w w:val="131"/>
                            <w:sz w:val="21"/>
                            <w:u w:val="single" w:color="3C3375"/>
                          </w:rPr>
                          <w:t xml:space="preserve"> </w:t>
                        </w:r>
                        <w:r>
                          <w:rPr>
                            <w:rFonts w:ascii="Calibri" w:eastAsia="Calibri" w:hAnsi="Calibri" w:cs="Calibri"/>
                            <w:b/>
                            <w:color w:val="181717"/>
                            <w:w w:val="131"/>
                            <w:sz w:val="21"/>
                            <w:u w:val="single" w:color="3C3375"/>
                          </w:rPr>
                          <w:t>National</w:t>
                        </w:r>
                        <w:r>
                          <w:rPr>
                            <w:rFonts w:ascii="Calibri" w:eastAsia="Calibri" w:hAnsi="Calibri" w:cs="Calibri"/>
                            <w:b/>
                            <w:color w:val="181717"/>
                            <w:spacing w:val="12"/>
                            <w:w w:val="131"/>
                            <w:sz w:val="21"/>
                            <w:u w:val="single" w:color="3C3375"/>
                          </w:rPr>
                          <w:t xml:space="preserve"> </w:t>
                        </w:r>
                        <w:r>
                          <w:rPr>
                            <w:rFonts w:ascii="Calibri" w:eastAsia="Calibri" w:hAnsi="Calibri" w:cs="Calibri"/>
                            <w:b/>
                            <w:color w:val="181717"/>
                            <w:w w:val="131"/>
                            <w:sz w:val="21"/>
                            <w:u w:val="single" w:color="3C3375"/>
                          </w:rPr>
                          <w:t>Indigenous</w:t>
                        </w:r>
                        <w:r>
                          <w:rPr>
                            <w:rFonts w:ascii="Calibri" w:eastAsia="Calibri" w:hAnsi="Calibri" w:cs="Calibri"/>
                            <w:b/>
                            <w:color w:val="181717"/>
                            <w:spacing w:val="12"/>
                            <w:w w:val="131"/>
                            <w:sz w:val="21"/>
                            <w:u w:val="single" w:color="3C3375"/>
                          </w:rPr>
                          <w:t xml:space="preserve"> Kidney </w:t>
                        </w:r>
                        <w:r>
                          <w:rPr>
                            <w:rFonts w:ascii="Calibri" w:eastAsia="Calibri" w:hAnsi="Calibri" w:cs="Calibri"/>
                            <w:b/>
                            <w:color w:val="181717"/>
                            <w:w w:val="131"/>
                            <w:sz w:val="21"/>
                            <w:u w:val="single" w:color="3C3375"/>
                          </w:rPr>
                          <w:t>Transplantation</w:t>
                        </w:r>
                        <w:r>
                          <w:rPr>
                            <w:rFonts w:ascii="Calibri" w:eastAsia="Calibri" w:hAnsi="Calibri" w:cs="Calibri"/>
                            <w:b/>
                            <w:color w:val="181717"/>
                            <w:spacing w:val="12"/>
                            <w:w w:val="131"/>
                            <w:sz w:val="21"/>
                            <w:u w:val="single" w:color="3C3375"/>
                          </w:rPr>
                          <w:t xml:space="preserve"> </w:t>
                        </w:r>
                        <w:r>
                          <w:rPr>
                            <w:rFonts w:ascii="Calibri" w:eastAsia="Calibri" w:hAnsi="Calibri" w:cs="Calibri"/>
                            <w:b/>
                            <w:color w:val="181717"/>
                            <w:w w:val="131"/>
                            <w:sz w:val="21"/>
                            <w:u w:val="single" w:color="3C3375"/>
                          </w:rPr>
                          <w:t>Taskforce</w:t>
                        </w:r>
                      </w:p>
                    </w:txbxContent>
                  </v:textbox>
                </v:rect>
                <v:shape id="Shape 188" o:spid="_x0000_s1049" style="position:absolute;left:6480;top:8547;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" path="m104775,v57861,,104775,46914,104775,104775c209550,162636,162636,209550,104775,209550,46914,209550,,162636,,104775,,46914,46914,,104775,xe" fillcolor="#00a1a4" stroked="f" strokeweight="0">
                  <v:stroke miterlimit="83231f" joinstyle="miter"/>
                  <v:path arrowok="t" textboxrect="0,0,209550,209550"/>
                </v:shape>
                <v:rect id="Rectangle 30" o:spid="_x0000_s1050" style="position:absolute;left:7341;top:9006;width:496;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F5F7469" w14:textId="77777777" w:rsidR="009B2280" w:rsidRDefault="009B2280" w:rsidP="009B2280">
                        <w:r w:rsidRPr="009B2280">
                          <w:rPr>
                            <w:rFonts w:ascii="Calibri" w:eastAsia="Calibri" w:hAnsi="Calibri" w:cs="Calibri"/>
                            <w:b/>
                            <w:w w:val="77"/>
                            <w:sz w:val="15"/>
                          </w:rPr>
                          <w:t>1</w:t>
                        </w:r>
                      </w:p>
                    </w:txbxContent>
                  </v:textbox>
                </v:rect>
                <v:rect id="Rectangle 31" o:spid="_x0000_s1051" style="position:absolute;left:8575;top:9101;width:63188;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14:paraId="4C01C260" w14:textId="77777777" w:rsidR="009B2280" w:rsidRDefault="009B2280" w:rsidP="009B2280">
                        <w:r>
                          <w:rPr>
                            <w:rFonts w:ascii="Calibri" w:eastAsia="Calibri" w:hAnsi="Calibri" w:cs="Calibri"/>
                            <w:color w:val="181717"/>
                            <w:spacing w:val="109"/>
                            <w:w w:val="111"/>
                            <w:sz w:val="18"/>
                          </w:rPr>
                          <w:t xml:space="preserve"> </w:t>
                        </w:r>
                        <w:r>
                          <w:rPr>
                            <w:rFonts w:ascii="Calibri" w:eastAsia="Calibri" w:hAnsi="Calibri" w:cs="Calibri"/>
                            <w:color w:val="181717"/>
                            <w:w w:val="111"/>
                            <w:sz w:val="18"/>
                          </w:rPr>
                          <w:t>E</w:t>
                        </w:r>
                        <w:r>
                          <w:rPr>
                            <w:rFonts w:ascii="Calibri" w:eastAsia="Calibri" w:hAnsi="Calibri" w:cs="Calibri"/>
                            <w:color w:val="181717"/>
                            <w:spacing w:val="-41"/>
                            <w:w w:val="111"/>
                            <w:sz w:val="18"/>
                          </w:rPr>
                          <w:t xml:space="preserve"> </w:t>
                        </w:r>
                        <w:r>
                          <w:rPr>
                            <w:rFonts w:ascii="Calibri" w:eastAsia="Calibri" w:hAnsi="Calibri" w:cs="Calibri"/>
                            <w:color w:val="181717"/>
                            <w:w w:val="111"/>
                            <w:sz w:val="18"/>
                          </w:rPr>
                          <w:t>stablish</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resourced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National</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Indigenous Kidney</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Transplantation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Taskforce,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with</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representations</w:t>
                        </w:r>
                        <w:r>
                          <w:rPr>
                            <w:rFonts w:ascii="Calibri" w:eastAsia="Calibri" w:hAnsi="Calibri" w:cs="Calibri"/>
                            <w:color w:val="181717"/>
                            <w:spacing w:val="6"/>
                            <w:w w:val="111"/>
                            <w:sz w:val="18"/>
                          </w:rPr>
                          <w:t xml:space="preserve"> </w:t>
                        </w:r>
                      </w:p>
                    </w:txbxContent>
                  </v:textbox>
                </v:rect>
                <v:rect id="Rectangle 96" o:spid="_x0000_s1052" style="position:absolute;left:9528;top:10625;width:55757;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7A8ABBBB" w14:textId="77777777" w:rsidR="009B2280" w:rsidRDefault="009B2280" w:rsidP="009B2280">
                        <w:r>
                          <w:rPr>
                            <w:rFonts w:ascii="Calibri" w:eastAsia="Calibri" w:hAnsi="Calibri" w:cs="Calibri"/>
                            <w:color w:val="181717"/>
                            <w:w w:val="111"/>
                            <w:sz w:val="18"/>
                          </w:rPr>
                          <w:t>from</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DoH,</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TSANZ,</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ANZDATA,</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ANZSN,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OTA</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invited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subject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experts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to</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drive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the</w:t>
                        </w:r>
                        <w:r>
                          <w:rPr>
                            <w:rFonts w:ascii="Calibri" w:eastAsia="Calibri" w:hAnsi="Calibri" w:cs="Calibri"/>
                            <w:color w:val="181717"/>
                            <w:spacing w:val="6"/>
                            <w:w w:val="111"/>
                            <w:sz w:val="18"/>
                          </w:rPr>
                          <w:t xml:space="preserve"> </w:t>
                        </w:r>
                      </w:p>
                    </w:txbxContent>
                  </v:textbox>
                </v:rect>
                <v:rect id="Rectangle 97" o:spid="_x0000_s1053" style="position:absolute;left:9528;top:12149;width:61432;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3750F37D" w14:textId="77777777" w:rsidR="009B2280" w:rsidRDefault="009B2280" w:rsidP="009B2280">
                        <w:r>
                          <w:rPr>
                            <w:rFonts w:ascii="Calibri" w:eastAsia="Calibri" w:hAnsi="Calibri" w:cs="Calibri"/>
                            <w:color w:val="181717"/>
                            <w:w w:val="110"/>
                            <w:sz w:val="18"/>
                          </w:rPr>
                          <w:t>implementation</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of</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the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report’s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recommendations,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consult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the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Indigenous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health</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care</w:t>
                        </w:r>
                        <w:r>
                          <w:rPr>
                            <w:rFonts w:ascii="Calibri" w:eastAsia="Calibri" w:hAnsi="Calibri" w:cs="Calibri"/>
                            <w:color w:val="181717"/>
                            <w:spacing w:val="6"/>
                            <w:w w:val="110"/>
                            <w:sz w:val="18"/>
                          </w:rPr>
                          <w:t xml:space="preserve"> </w:t>
                        </w:r>
                      </w:p>
                    </w:txbxContent>
                  </v:textbox>
                </v:rect>
                <v:rect id="Rectangle 99" o:spid="_x0000_s1054" style="position:absolute;left:9528;top:13673;width:64776;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3799D44F" w14:textId="77777777" w:rsidR="009B2280" w:rsidRDefault="009B2280" w:rsidP="009B2280">
                        <w:r>
                          <w:rPr>
                            <w:rFonts w:ascii="Calibri" w:eastAsia="Calibri" w:hAnsi="Calibri" w:cs="Calibri"/>
                            <w:color w:val="181717"/>
                            <w:w w:val="110"/>
                            <w:sz w:val="18"/>
                          </w:rPr>
                          <w:t>communities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on</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all</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relevant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initiatives,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advocate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for</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equitable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access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to</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transplantation</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for</w:t>
                        </w:r>
                        <w:r>
                          <w:rPr>
                            <w:rFonts w:ascii="Calibri" w:eastAsia="Calibri" w:hAnsi="Calibri" w:cs="Calibri"/>
                            <w:color w:val="181717"/>
                            <w:spacing w:val="6"/>
                            <w:w w:val="110"/>
                            <w:sz w:val="18"/>
                          </w:rPr>
                          <w:t xml:space="preserve"> </w:t>
                        </w:r>
                      </w:p>
                    </w:txbxContent>
                  </v:textbox>
                </v:rect>
                <v:rect id="Rectangle 100" o:spid="_x0000_s1055" style="position:absolute;left:9528;top:15197;width:13820;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2372A2A2" w14:textId="77777777" w:rsidR="009B2280" w:rsidRDefault="009B2280" w:rsidP="009B2280">
                        <w:r>
                          <w:rPr>
                            <w:rFonts w:ascii="Calibri" w:eastAsia="Calibri" w:hAnsi="Calibri" w:cs="Calibri"/>
                            <w:color w:val="181717"/>
                            <w:w w:val="111"/>
                            <w:sz w:val="18"/>
                          </w:rPr>
                          <w:t>Indigenous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patients.</w:t>
                        </w:r>
                      </w:p>
                    </w:txbxContent>
                  </v:textbox>
                </v:rect>
                <v:rect id="Rectangle 101" o:spid="_x0000_s1056" style="position:absolute;left:6480;top:18210;width:4425;height:2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7FD5E2B6" w14:textId="77777777" w:rsidR="009B2280" w:rsidRDefault="009B2280" w:rsidP="009B2280">
                        <w:r>
                          <w:rPr>
                            <w:rFonts w:ascii="Calibri" w:eastAsia="Calibri" w:hAnsi="Calibri" w:cs="Calibri"/>
                            <w:b/>
                            <w:color w:val="181717"/>
                            <w:w w:val="132"/>
                            <w:sz w:val="21"/>
                            <w:u w:val="single" w:color="757BAE"/>
                          </w:rPr>
                          <w:t>Data</w:t>
                        </w:r>
                      </w:p>
                    </w:txbxContent>
                  </v:textbox>
                </v:rect>
                <v:shape id="Shape 196" o:spid="_x0000_s1057" style="position:absolute;left:6480;top:20548;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" path="m104775,v57861,,104775,46914,104775,104775c209550,162636,162636,209550,104775,209550,46914,209550,,162636,,104775,,46914,46914,,104775,xe" fillcolor="#00a1a4" stroked="f" strokeweight="0">
                  <v:stroke miterlimit="83231f" joinstyle="miter"/>
                  <v:path arrowok="t" textboxrect="0,0,209550,209550"/>
                </v:shape>
                <v:rect id="Rectangle 105" o:spid="_x0000_s1058" style="position:absolute;left:7246;top:21007;width:748;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4B67535B" w14:textId="77777777" w:rsidR="009B2280" w:rsidRDefault="009B2280" w:rsidP="009B2280">
                        <w:r w:rsidRPr="009B2280">
                          <w:rPr>
                            <w:rFonts w:ascii="Calibri" w:eastAsia="Calibri" w:hAnsi="Calibri" w:cs="Calibri"/>
                            <w:b/>
                            <w:w w:val="116"/>
                            <w:sz w:val="15"/>
                          </w:rPr>
                          <w:t>2</w:t>
                        </w:r>
                      </w:p>
                    </w:txbxContent>
                  </v:textbox>
                </v:rect>
                <v:rect id="Rectangle 106" o:spid="_x0000_s1059" style="position:absolute;left:8575;top:21102;width:65903;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55F5B1FC" w14:textId="77777777" w:rsidR="009B2280" w:rsidRDefault="009B2280" w:rsidP="009B2280">
                        <w:r>
                          <w:rPr>
                            <w:rFonts w:ascii="Calibri" w:eastAsia="Calibri" w:hAnsi="Calibri" w:cs="Calibri"/>
                            <w:color w:val="181717"/>
                            <w:spacing w:val="109"/>
                            <w:w w:val="110"/>
                            <w:sz w:val="18"/>
                          </w:rPr>
                          <w:t xml:space="preserve"> </w:t>
                        </w:r>
                        <w:r>
                          <w:rPr>
                            <w:rFonts w:ascii="Calibri" w:eastAsia="Calibri" w:hAnsi="Calibri" w:cs="Calibri"/>
                            <w:color w:val="181717"/>
                            <w:w w:val="110"/>
                            <w:sz w:val="18"/>
                          </w:rPr>
                          <w:t>Implement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12-month</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pilot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project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to</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capture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additional</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pre-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post-kidney</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transplant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data</w:t>
                        </w:r>
                        <w:r>
                          <w:rPr>
                            <w:rFonts w:ascii="Calibri" w:eastAsia="Calibri" w:hAnsi="Calibri" w:cs="Calibri"/>
                            <w:color w:val="181717"/>
                            <w:spacing w:val="6"/>
                            <w:w w:val="110"/>
                            <w:sz w:val="18"/>
                          </w:rPr>
                          <w:t xml:space="preserve"> </w:t>
                        </w:r>
                      </w:p>
                    </w:txbxContent>
                  </v:textbox>
                </v:rect>
                <v:rect id="Rectangle 107" o:spid="_x0000_s1060" style="position:absolute;left:9528;top:22626;width:39406;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4DB9E7EA" w14:textId="77777777" w:rsidR="009B2280" w:rsidRDefault="009B2280" w:rsidP="009B2280">
                        <w:r>
                          <w:rPr>
                            <w:rFonts w:ascii="Calibri" w:eastAsia="Calibri" w:hAnsi="Calibri" w:cs="Calibri"/>
                            <w:color w:val="181717"/>
                            <w:w w:val="111"/>
                            <w:sz w:val="18"/>
                          </w:rPr>
                          <w:t>points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expanded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ANZDATA</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data</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collection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protocol.</w:t>
                        </w:r>
                        <w:r>
                          <w:rPr>
                            <w:rFonts w:ascii="Calibri" w:eastAsia="Calibri" w:hAnsi="Calibri" w:cs="Calibri"/>
                            <w:color w:val="181717"/>
                            <w:spacing w:val="6"/>
                            <w:w w:val="111"/>
                            <w:sz w:val="18"/>
                          </w:rPr>
                          <w:t xml:space="preserve"> </w:t>
                        </w:r>
                      </w:p>
                    </w:txbxContent>
                  </v:textbox>
                </v:rect>
                <v:shape id="Shape 200" o:spid="_x0000_s1061" style="position:absolute;left:6480;top:24549;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" path="m104775,v57861,,104775,46914,104775,104775c209550,162636,162636,209550,104775,209550,46914,209550,,162636,,104775,,46914,46914,,104775,xe" fillcolor="#00a1a4" stroked="f" strokeweight="0">
                  <v:stroke miterlimit="83231f" joinstyle="miter"/>
                  <v:path arrowok="t" textboxrect="0,0,209550,209550"/>
                </v:shape>
                <v:rect id="Rectangle 109" o:spid="_x0000_s1062" style="position:absolute;left:7245;top:25008;width:75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7002CDE7" w14:textId="77777777" w:rsidR="009B2280" w:rsidRDefault="009B2280" w:rsidP="009B2280">
                        <w:r w:rsidRPr="009B2280">
                          <w:rPr>
                            <w:rFonts w:ascii="Calibri" w:eastAsia="Calibri" w:hAnsi="Calibri" w:cs="Calibri"/>
                            <w:b/>
                            <w:w w:val="116"/>
                            <w:sz w:val="15"/>
                          </w:rPr>
                          <w:t>3</w:t>
                        </w:r>
                      </w:p>
                    </w:txbxContent>
                  </v:textbox>
                </v:rect>
                <v:rect id="Rectangle 110" o:spid="_x0000_s1063" style="position:absolute;left:8575;top:25103;width:65906;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36A20537" w14:textId="77777777" w:rsidR="009B2280" w:rsidRDefault="009B2280" w:rsidP="009B2280">
                        <w:r>
                          <w:rPr>
                            <w:rFonts w:ascii="Calibri" w:eastAsia="Calibri" w:hAnsi="Calibri" w:cs="Calibri"/>
                            <w:color w:val="181717"/>
                            <w:spacing w:val="109"/>
                            <w:w w:val="111"/>
                            <w:sz w:val="18"/>
                          </w:rPr>
                          <w:t xml:space="preserve"> </w:t>
                        </w:r>
                        <w:r>
                          <w:rPr>
                            <w:rFonts w:ascii="Calibri" w:eastAsia="Calibri" w:hAnsi="Calibri" w:cs="Calibri"/>
                            <w:color w:val="181717"/>
                            <w:w w:val="111"/>
                            <w:sz w:val="18"/>
                          </w:rPr>
                          <w:t>Incorporate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specific</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chapter</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the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ANZDATA</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annual</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report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on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kidney</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transplantation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among</w:t>
                        </w:r>
                        <w:r>
                          <w:rPr>
                            <w:rFonts w:ascii="Calibri" w:eastAsia="Calibri" w:hAnsi="Calibri" w:cs="Calibri"/>
                            <w:color w:val="181717"/>
                            <w:spacing w:val="6"/>
                            <w:w w:val="111"/>
                            <w:sz w:val="18"/>
                          </w:rPr>
                          <w:t xml:space="preserve"> </w:t>
                        </w:r>
                      </w:p>
                    </w:txbxContent>
                  </v:textbox>
                </v:rect>
                <v:rect id="Rectangle 115" o:spid="_x0000_s1064" style="position:absolute;left:9528;top:26627;width:30349;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00AED0D9" w14:textId="77777777" w:rsidR="009B2280" w:rsidRDefault="009B2280" w:rsidP="009B2280">
                        <w:r>
                          <w:rPr>
                            <w:rFonts w:ascii="Calibri" w:eastAsia="Calibri" w:hAnsi="Calibri" w:cs="Calibri"/>
                            <w:color w:val="181717"/>
                            <w:w w:val="111"/>
                            <w:sz w:val="18"/>
                          </w:rPr>
                          <w:t>Aboriginal</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Torres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Strait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Islander</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people.</w:t>
                        </w:r>
                        <w:r>
                          <w:rPr>
                            <w:rFonts w:ascii="Calibri" w:eastAsia="Calibri" w:hAnsi="Calibri" w:cs="Calibri"/>
                            <w:color w:val="181717"/>
                            <w:spacing w:val="6"/>
                            <w:w w:val="111"/>
                            <w:sz w:val="18"/>
                          </w:rPr>
                          <w:t xml:space="preserve"> </w:t>
                        </w:r>
                      </w:p>
                    </w:txbxContent>
                  </v:textbox>
                </v:rect>
                <v:shape id="Shape 204" o:spid="_x0000_s1065" style="position:absolute;left:6480;top:28549;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" path="m104775,v57861,,104775,46914,104775,104775c209550,162636,162636,209550,104775,209550,46914,209550,,162636,,104775,,46914,46914,,104775,xe" fillcolor="#00a1a4" stroked="f" strokeweight="0">
                  <v:stroke miterlimit="83231f" joinstyle="miter"/>
                  <v:path arrowok="t" textboxrect="0,0,209550,209550"/>
                </v:shape>
                <v:rect id="Rectangle 118" o:spid="_x0000_s1066" style="position:absolute;left:7199;top:29008;width:873;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4D8EBB58" w14:textId="77777777" w:rsidR="009B2280" w:rsidRDefault="009B2280" w:rsidP="009B2280">
                        <w:r w:rsidRPr="009B2280">
                          <w:rPr>
                            <w:rFonts w:ascii="Calibri" w:eastAsia="Calibri" w:hAnsi="Calibri" w:cs="Calibri"/>
                            <w:b/>
                            <w:w w:val="135"/>
                            <w:sz w:val="15"/>
                          </w:rPr>
                          <w:t>4</w:t>
                        </w:r>
                      </w:p>
                    </w:txbxContent>
                  </v:textbox>
                </v:rect>
                <v:rect id="Rectangle 123" o:spid="_x0000_s1067" style="position:absolute;left:8575;top:29103;width:61495;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77B606BE" w14:textId="77777777" w:rsidR="009B2280" w:rsidRDefault="009B2280" w:rsidP="009B2280">
                        <w:r>
                          <w:rPr>
                            <w:rFonts w:ascii="Calibri" w:eastAsia="Calibri" w:hAnsi="Calibri" w:cs="Calibri"/>
                            <w:color w:val="181717"/>
                            <w:spacing w:val="109"/>
                            <w:w w:val="110"/>
                            <w:sz w:val="18"/>
                          </w:rPr>
                          <w:t xml:space="preserve"> </w:t>
                        </w:r>
                        <w:r>
                          <w:rPr>
                            <w:rFonts w:ascii="Calibri" w:eastAsia="Calibri" w:hAnsi="Calibri" w:cs="Calibri"/>
                            <w:color w:val="181717"/>
                            <w:w w:val="110"/>
                            <w:sz w:val="18"/>
                          </w:rPr>
                          <w:t>Undertake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additional</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data</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linkage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research</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projects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that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target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Indigenous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patients’</w:t>
                        </w:r>
                        <w:r>
                          <w:rPr>
                            <w:rFonts w:ascii="Calibri" w:eastAsia="Calibri" w:hAnsi="Calibri" w:cs="Calibri"/>
                            <w:color w:val="181717"/>
                            <w:spacing w:val="6"/>
                            <w:w w:val="110"/>
                            <w:sz w:val="18"/>
                          </w:rPr>
                          <w:t xml:space="preserve"> </w:t>
                        </w:r>
                      </w:p>
                    </w:txbxContent>
                  </v:textbox>
                </v:rect>
                <v:rect id="Rectangle 124" o:spid="_x0000_s1068" style="position:absolute;left:54805;top:29103;width:395;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1D2DA248" w14:textId="77777777" w:rsidR="009B2280" w:rsidRDefault="009B2280" w:rsidP="009B2280">
                        <w:r>
                          <w:rPr>
                            <w:rFonts w:ascii="Calibri" w:eastAsia="Calibri" w:hAnsi="Calibri" w:cs="Calibri"/>
                            <w:color w:val="181717"/>
                            <w:sz w:val="18"/>
                          </w:rPr>
                          <w:t xml:space="preserve"> </w:t>
                        </w:r>
                      </w:p>
                    </w:txbxContent>
                  </v:textbox>
                </v:rect>
                <v:rect id="Rectangle 125" o:spid="_x0000_s1069" style="position:absolute;left:9528;top:30627;width:59544;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7AB77659" w14:textId="77777777" w:rsidR="009B2280" w:rsidRDefault="009B2280" w:rsidP="009B2280">
                        <w:r>
                          <w:rPr>
                            <w:rFonts w:ascii="Calibri" w:eastAsia="Calibri" w:hAnsi="Calibri" w:cs="Calibri"/>
                            <w:color w:val="181717"/>
                            <w:w w:val="111"/>
                            <w:sz w:val="18"/>
                          </w:rPr>
                          <w:t>post-transplant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outcomes,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enabling</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identification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of</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best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practice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immunosuppression,</w:t>
                        </w:r>
                        <w:r>
                          <w:rPr>
                            <w:rFonts w:ascii="Calibri" w:eastAsia="Calibri" w:hAnsi="Calibri" w:cs="Calibri"/>
                            <w:color w:val="181717"/>
                            <w:spacing w:val="6"/>
                            <w:w w:val="111"/>
                            <w:sz w:val="18"/>
                          </w:rPr>
                          <w:t xml:space="preserve"> </w:t>
                        </w:r>
                      </w:p>
                    </w:txbxContent>
                  </v:textbox>
                </v:rect>
                <v:rect id="Rectangle 126" o:spid="_x0000_s1070" style="position:absolute;left:9528;top:32151;width:39166;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6B443E7F" w14:textId="77777777" w:rsidR="009B2280" w:rsidRDefault="009B2280" w:rsidP="009B2280">
                        <w:r>
                          <w:rPr>
                            <w:rFonts w:ascii="Calibri" w:eastAsia="Calibri" w:hAnsi="Calibri" w:cs="Calibri"/>
                            <w:color w:val="181717"/>
                            <w:w w:val="111"/>
                            <w:sz w:val="18"/>
                          </w:rPr>
                          <w:t>infective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prophylaxis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vascular</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complication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protocols.</w:t>
                        </w:r>
                      </w:p>
                    </w:txbxContent>
                  </v:textbox>
                </v:rect>
                <v:rect id="Rectangle 127" o:spid="_x0000_s1071" style="position:absolute;left:6480;top:35164;width:33814;height:2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341E8C3E" w14:textId="77777777" w:rsidR="009B2280" w:rsidRDefault="009B2280" w:rsidP="009B2280">
                        <w:r>
                          <w:rPr>
                            <w:rFonts w:ascii="Calibri" w:eastAsia="Calibri" w:hAnsi="Calibri" w:cs="Calibri"/>
                            <w:b/>
                            <w:color w:val="181717"/>
                            <w:w w:val="131"/>
                            <w:sz w:val="21"/>
                            <w:u w:val="single" w:color="66BED3"/>
                          </w:rPr>
                          <w:t>Consumer</w:t>
                        </w:r>
                        <w:r>
                          <w:rPr>
                            <w:rFonts w:ascii="Calibri" w:eastAsia="Calibri" w:hAnsi="Calibri" w:cs="Calibri"/>
                            <w:b/>
                            <w:color w:val="181717"/>
                            <w:spacing w:val="12"/>
                            <w:w w:val="131"/>
                            <w:sz w:val="21"/>
                            <w:u w:val="single" w:color="66BED3"/>
                          </w:rPr>
                          <w:t xml:space="preserve"> </w:t>
                        </w:r>
                        <w:r>
                          <w:rPr>
                            <w:rFonts w:ascii="Calibri" w:eastAsia="Calibri" w:hAnsi="Calibri" w:cs="Calibri"/>
                            <w:b/>
                            <w:color w:val="181717"/>
                            <w:w w:val="131"/>
                            <w:sz w:val="21"/>
                            <w:u w:val="single" w:color="66BED3"/>
                          </w:rPr>
                          <w:t>engagement</w:t>
                        </w:r>
                        <w:r>
                          <w:rPr>
                            <w:rFonts w:ascii="Calibri" w:eastAsia="Calibri" w:hAnsi="Calibri" w:cs="Calibri"/>
                            <w:b/>
                            <w:color w:val="181717"/>
                            <w:spacing w:val="12"/>
                            <w:w w:val="131"/>
                            <w:sz w:val="21"/>
                            <w:u w:val="single" w:color="66BED3"/>
                          </w:rPr>
                          <w:t xml:space="preserve"> </w:t>
                        </w:r>
                        <w:r>
                          <w:rPr>
                            <w:rFonts w:ascii="Calibri" w:eastAsia="Calibri" w:hAnsi="Calibri" w:cs="Calibri"/>
                            <w:b/>
                            <w:color w:val="181717"/>
                            <w:w w:val="131"/>
                            <w:sz w:val="21"/>
                            <w:u w:val="single" w:color="66BED3"/>
                          </w:rPr>
                          <w:t>&amp;</w:t>
                        </w:r>
                        <w:r>
                          <w:rPr>
                            <w:rFonts w:ascii="Calibri" w:eastAsia="Calibri" w:hAnsi="Calibri" w:cs="Calibri"/>
                            <w:b/>
                            <w:color w:val="181717"/>
                            <w:spacing w:val="12"/>
                            <w:w w:val="131"/>
                            <w:sz w:val="21"/>
                            <w:u w:val="single" w:color="66BED3"/>
                          </w:rPr>
                          <w:t xml:space="preserve"> </w:t>
                        </w:r>
                        <w:r>
                          <w:rPr>
                            <w:rFonts w:ascii="Calibri" w:eastAsia="Calibri" w:hAnsi="Calibri" w:cs="Calibri"/>
                            <w:b/>
                            <w:color w:val="181717"/>
                            <w:w w:val="131"/>
                            <w:sz w:val="21"/>
                            <w:u w:val="single" w:color="66BED3"/>
                          </w:rPr>
                          <w:t>education</w:t>
                        </w:r>
                      </w:p>
                    </w:txbxContent>
                  </v:textbox>
                </v:rect>
                <v:shape id="Shape 211" o:spid="_x0000_s1072" style="position:absolute;left:6480;top:37503;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" path="m104775,v57861,,104775,46914,104775,104775c209550,162636,162636,209550,104775,209550,46914,209550,,162636,,104775,,46914,46914,,104775,xe" fillcolor="#fffefd" stroked="f" strokeweight="0">
                  <v:stroke miterlimit="83231f" joinstyle="miter"/>
                  <v:path arrowok="t" textboxrect="0,0,209550,209550"/>
                </v:shape>
                <v:rect id="Rectangle 3010" o:spid="_x0000_s1073" style="position:absolute;left:7244;top:37962;width:754;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" filled="f" stroked="f">
                  <v:textbox inset="0,0,0,0">
                    <w:txbxContent>
                      <w:p w14:paraId="12F6F4FA" w14:textId="77777777" w:rsidR="009B2280" w:rsidRDefault="009B2280" w:rsidP="009B2280">
                        <w:r>
                          <w:rPr>
                            <w:rFonts w:ascii="Calibri" w:eastAsia="Calibri" w:hAnsi="Calibri" w:cs="Calibri"/>
                            <w:b/>
                            <w:color w:val="181717"/>
                            <w:w w:val="117"/>
                            <w:sz w:val="15"/>
                          </w:rPr>
                          <w:t>5</w:t>
                        </w:r>
                      </w:p>
                    </w:txbxContent>
                  </v:textbox>
                </v:rect>
                <v:rect id="Rectangle 3011" o:spid="_x0000_s1074" style="position:absolute;left:8575;top:38057;width:46328;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" filled="f" stroked="f">
                  <v:textbox inset="0,0,0,0">
                    <w:txbxContent>
                      <w:p w14:paraId="2720D51E" w14:textId="77777777" w:rsidR="009B2280" w:rsidRDefault="009B2280" w:rsidP="009B2280">
                        <w:r>
                          <w:rPr>
                            <w:rFonts w:ascii="Calibri" w:eastAsia="Calibri" w:hAnsi="Calibri" w:cs="Calibri"/>
                            <w:color w:val="181717"/>
                            <w:spacing w:val="109"/>
                            <w:w w:val="110"/>
                            <w:sz w:val="18"/>
                          </w:rPr>
                          <w:t xml:space="preserve"> </w:t>
                        </w:r>
                        <w:r>
                          <w:rPr>
                            <w:rFonts w:ascii="Calibri" w:eastAsia="Calibri" w:hAnsi="Calibri" w:cs="Calibri"/>
                            <w:color w:val="181717"/>
                            <w:spacing w:val="-1"/>
                            <w:w w:val="110"/>
                            <w:sz w:val="18"/>
                          </w:rPr>
                          <w:t>Deliver</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education</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programs</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to</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Indigenous</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communities</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about</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the</w:t>
                        </w:r>
                        <w:r>
                          <w:rPr>
                            <w:rFonts w:ascii="Calibri" w:eastAsia="Calibri" w:hAnsi="Calibri" w:cs="Calibri"/>
                            <w:color w:val="181717"/>
                            <w:spacing w:val="6"/>
                            <w:w w:val="110"/>
                            <w:sz w:val="18"/>
                          </w:rPr>
                          <w:t xml:space="preserve"> </w:t>
                        </w:r>
                      </w:p>
                    </w:txbxContent>
                  </v:textbox>
                </v:rect>
                <v:rect id="Rectangle 3012" o:spid="_x0000_s1075" style="position:absolute;left:50934;top:38057;width:19508;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" filled="f" stroked="f">
                  <v:textbox inset="0,0,0,0">
                    <w:txbxContent>
                      <w:p w14:paraId="319C9F84" w14:textId="77777777" w:rsidR="009B2280" w:rsidRDefault="009B2280" w:rsidP="009B2280">
                        <w:r>
                          <w:rPr>
                            <w:rFonts w:ascii="Calibri" w:eastAsia="Calibri" w:hAnsi="Calibri" w:cs="Calibri"/>
                            <w:color w:val="181717"/>
                            <w:spacing w:val="-1"/>
                            <w:w w:val="110"/>
                            <w:sz w:val="18"/>
                          </w:rPr>
                          <w:t>value</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of</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organ</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donation</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and</w:t>
                        </w:r>
                        <w:r>
                          <w:rPr>
                            <w:rFonts w:ascii="Calibri" w:eastAsia="Calibri" w:hAnsi="Calibri" w:cs="Calibri"/>
                            <w:color w:val="181717"/>
                            <w:spacing w:val="6"/>
                            <w:w w:val="110"/>
                            <w:sz w:val="18"/>
                          </w:rPr>
                          <w:t xml:space="preserve"> </w:t>
                        </w:r>
                      </w:p>
                    </w:txbxContent>
                  </v:textbox>
                </v:rect>
                <v:rect id="Rectangle 3013" o:spid="_x0000_s1076" style="position:absolute;left:9528;top:39581;width:64763;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" filled="f" stroked="f">
                  <v:textbox inset="0,0,0,0">
                    <w:txbxContent>
                      <w:p w14:paraId="60A04698" w14:textId="77777777" w:rsidR="009B2280" w:rsidRDefault="009B2280" w:rsidP="009B2280">
                        <w:r>
                          <w:rPr>
                            <w:rFonts w:ascii="Calibri" w:eastAsia="Calibri" w:hAnsi="Calibri" w:cs="Calibri"/>
                            <w:color w:val="181717"/>
                            <w:spacing w:val="-1"/>
                            <w:w w:val="110"/>
                            <w:sz w:val="18"/>
                          </w:rPr>
                          <w:t>how</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it</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links</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to</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transplantation,</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in</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partnership</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with</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local</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transplant</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recipients</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donor</w:t>
                        </w:r>
                        <w:r>
                          <w:rPr>
                            <w:rFonts w:ascii="Calibri" w:eastAsia="Calibri" w:hAnsi="Calibri" w:cs="Calibri"/>
                            <w:color w:val="181717"/>
                            <w:spacing w:val="6"/>
                            <w:w w:val="110"/>
                            <w:sz w:val="18"/>
                          </w:rPr>
                          <w:t xml:space="preserve"> </w:t>
                        </w:r>
                        <w:r>
                          <w:rPr>
                            <w:rFonts w:ascii="Calibri" w:eastAsia="Calibri" w:hAnsi="Calibri" w:cs="Calibri"/>
                            <w:color w:val="181717"/>
                            <w:spacing w:val="-1"/>
                            <w:w w:val="110"/>
                            <w:sz w:val="18"/>
                          </w:rPr>
                          <w:t>families.</w:t>
                        </w:r>
                      </w:p>
                    </w:txbxContent>
                  </v:textbox>
                </v:rect>
                <v:shape id="Shape 216" o:spid="_x0000_s1077" style="position:absolute;left:6480;top:41503;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" path="m104775,v57861,,104775,46914,104775,104775c209550,162636,162636,209550,104775,209550,46914,209550,,162636,,104775,,46914,46914,,104775,xe" fillcolor="#fffefd" stroked="f" strokeweight="0">
                  <v:stroke miterlimit="83231f" joinstyle="miter"/>
                  <v:path arrowok="t" textboxrect="0,0,209550,209550"/>
                </v:shape>
                <v:rect id="Rectangle 3015" o:spid="_x0000_s1078" style="position:absolute;left:7224;top:41962;width:807;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" filled="f" stroked="f">
                  <v:textbox inset="0,0,0,0">
                    <w:txbxContent>
                      <w:p w14:paraId="7FC12588" w14:textId="77777777" w:rsidR="009B2280" w:rsidRDefault="009B2280" w:rsidP="009B2280">
                        <w:r>
                          <w:rPr>
                            <w:rFonts w:ascii="Calibri" w:eastAsia="Calibri" w:hAnsi="Calibri" w:cs="Calibri"/>
                            <w:b/>
                            <w:color w:val="181717"/>
                            <w:w w:val="125"/>
                            <w:sz w:val="15"/>
                          </w:rPr>
                          <w:t>6</w:t>
                        </w:r>
                      </w:p>
                    </w:txbxContent>
                  </v:textbox>
                </v:rect>
                <v:rect id="Rectangle 3016" o:spid="_x0000_s1079" style="position:absolute;left:8575;top:42057;width:62588;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" filled="f" stroked="f">
                  <v:textbox inset="0,0,0,0">
                    <w:txbxContent>
                      <w:p w14:paraId="2FC9DD53" w14:textId="77777777" w:rsidR="009B2280" w:rsidRDefault="009B2280" w:rsidP="009B2280">
                        <w:r>
                          <w:rPr>
                            <w:rFonts w:ascii="Calibri" w:eastAsia="Calibri" w:hAnsi="Calibri" w:cs="Calibri"/>
                            <w:color w:val="181717"/>
                            <w:spacing w:val="109"/>
                            <w:w w:val="111"/>
                            <w:sz w:val="18"/>
                          </w:rPr>
                          <w:t xml:space="preserve"> </w:t>
                        </w:r>
                        <w:r>
                          <w:rPr>
                            <w:rFonts w:ascii="Calibri" w:eastAsia="Calibri" w:hAnsi="Calibri" w:cs="Calibri"/>
                            <w:color w:val="181717"/>
                            <w:w w:val="111"/>
                            <w:sz w:val="18"/>
                          </w:rPr>
                          <w:t>Undertake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consumer</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engagement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projects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that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specifically</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explore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Indigenous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transplant</w:t>
                        </w:r>
                        <w:r>
                          <w:rPr>
                            <w:rFonts w:ascii="Calibri" w:eastAsia="Calibri" w:hAnsi="Calibri" w:cs="Calibri"/>
                            <w:color w:val="181717"/>
                            <w:spacing w:val="6"/>
                            <w:w w:val="111"/>
                            <w:sz w:val="18"/>
                          </w:rPr>
                          <w:t xml:space="preserve"> </w:t>
                        </w:r>
                      </w:p>
                    </w:txbxContent>
                  </v:textbox>
                </v:rect>
                <v:rect id="Rectangle 3017" o:spid="_x0000_s1080" style="position:absolute;left:9528;top:43581;width:35773;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" filled="f" stroked="f">
                  <v:textbox inset="0,0,0,0">
                    <w:txbxContent>
                      <w:p w14:paraId="6E3C89FF" w14:textId="77777777" w:rsidR="009B2280" w:rsidRDefault="009B2280" w:rsidP="009B2280">
                        <w:r>
                          <w:rPr>
                            <w:rFonts w:ascii="Calibri" w:eastAsia="Calibri" w:hAnsi="Calibri" w:cs="Calibri"/>
                            <w:color w:val="181717"/>
                            <w:w w:val="110"/>
                            <w:sz w:val="18"/>
                          </w:rPr>
                          <w:t>candidates’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recipients’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preferred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models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of</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care.</w:t>
                        </w:r>
                      </w:p>
                    </w:txbxContent>
                  </v:textbox>
                </v:rect>
                <v:shape id="Shape 220" o:spid="_x0000_s1081" style="position:absolute;left:6480;top:45504;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" path="m104775,v57861,,104775,46914,104775,104775c209550,162636,162636,209550,104775,209550,46914,209550,,162636,,104775,,46914,46914,,104775,xe" fillcolor="#00a1a4" stroked="f" strokeweight="0">
                  <v:stroke miterlimit="83231f" joinstyle="miter"/>
                  <v:path arrowok="t" textboxrect="0,0,209550,209550"/>
                </v:shape>
                <v:rect id="Rectangle 3019" o:spid="_x0000_s1082" style="position:absolute;left:7232;top:45963;width:785;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" filled="f" stroked="f">
                  <v:textbox inset="0,0,0,0">
                    <w:txbxContent>
                      <w:p w14:paraId="2386FB77" w14:textId="77777777" w:rsidR="009B2280" w:rsidRDefault="009B2280" w:rsidP="009B2280">
                        <w:r w:rsidRPr="009B2280">
                          <w:rPr>
                            <w:rFonts w:ascii="Calibri" w:eastAsia="Calibri" w:hAnsi="Calibri" w:cs="Calibri"/>
                            <w:b/>
                            <w:w w:val="122"/>
                            <w:sz w:val="15"/>
                          </w:rPr>
                          <w:t>7</w:t>
                        </w:r>
                      </w:p>
                    </w:txbxContent>
                  </v:textbox>
                </v:rect>
                <v:rect id="Rectangle 3020" o:spid="_x0000_s1083" style="position:absolute;left:8575;top:46058;width:65199;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" filled="f" stroked="f">
                  <v:textbox inset="0,0,0,0">
                    <w:txbxContent>
                      <w:p w14:paraId="0C69D994" w14:textId="77777777" w:rsidR="009B2280" w:rsidRDefault="009B2280" w:rsidP="009B2280">
                        <w:r>
                          <w:rPr>
                            <w:rFonts w:ascii="Calibri" w:eastAsia="Calibri" w:hAnsi="Calibri" w:cs="Calibri"/>
                            <w:color w:val="181717"/>
                            <w:spacing w:val="109"/>
                            <w:w w:val="111"/>
                            <w:sz w:val="18"/>
                          </w:rPr>
                          <w:t xml:space="preserve"> </w:t>
                        </w:r>
                        <w:r>
                          <w:rPr>
                            <w:rFonts w:ascii="Calibri" w:eastAsia="Calibri" w:hAnsi="Calibri" w:cs="Calibri"/>
                            <w:color w:val="181717"/>
                            <w:w w:val="111"/>
                            <w:sz w:val="18"/>
                          </w:rPr>
                          <w:t>E</w:t>
                        </w:r>
                        <w:r>
                          <w:rPr>
                            <w:rFonts w:ascii="Calibri" w:eastAsia="Calibri" w:hAnsi="Calibri" w:cs="Calibri"/>
                            <w:color w:val="181717"/>
                            <w:spacing w:val="-41"/>
                            <w:w w:val="111"/>
                            <w:sz w:val="18"/>
                          </w:rPr>
                          <w:t xml:space="preserve"> </w:t>
                        </w:r>
                        <w:r>
                          <w:rPr>
                            <w:rFonts w:ascii="Calibri" w:eastAsia="Calibri" w:hAnsi="Calibri" w:cs="Calibri"/>
                            <w:color w:val="181717"/>
                            <w:w w:val="111"/>
                            <w:sz w:val="18"/>
                          </w:rPr>
                          <w:t>stablish</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Indigenous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reference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group</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every</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transplant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unit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to</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help</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design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pathways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and</w:t>
                        </w:r>
                        <w:r>
                          <w:rPr>
                            <w:rFonts w:ascii="Calibri" w:eastAsia="Calibri" w:hAnsi="Calibri" w:cs="Calibri"/>
                            <w:color w:val="181717"/>
                            <w:spacing w:val="6"/>
                            <w:w w:val="111"/>
                            <w:sz w:val="18"/>
                          </w:rPr>
                          <w:t xml:space="preserve"> </w:t>
                        </w:r>
                      </w:p>
                    </w:txbxContent>
                  </v:textbox>
                </v:rect>
                <v:rect id="Rectangle 3021" o:spid="_x0000_s1084" style="position:absolute;left:9528;top:47582;width:31247;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" filled="f" stroked="f">
                  <v:textbox inset="0,0,0,0">
                    <w:txbxContent>
                      <w:p w14:paraId="53CCB1F8" w14:textId="77777777" w:rsidR="009B2280" w:rsidRDefault="009B2280" w:rsidP="009B2280">
                        <w:r>
                          <w:rPr>
                            <w:rFonts w:ascii="Calibri" w:eastAsia="Calibri" w:hAnsi="Calibri" w:cs="Calibri"/>
                            <w:color w:val="181717"/>
                            <w:w w:val="110"/>
                            <w:sz w:val="18"/>
                          </w:rPr>
                          <w:t>models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of</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care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that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are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culturally</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appropriate.</w:t>
                        </w:r>
                      </w:p>
                    </w:txbxContent>
                  </v:textbox>
                </v:rect>
                <v:shape id="Shape 224" o:spid="_x0000_s1085" style="position:absolute;left:6480;top:49504;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" path="m104775,v57861,,104775,46914,104775,104775c209550,162636,162636,209550,104775,209550,46914,209550,,162636,,104775,,46914,46914,,104775,xe" fillcolor="#00a1a4" stroked="f" strokeweight="0">
                  <v:stroke miterlimit="83231f" joinstyle="miter"/>
                  <v:path arrowok="t" textboxrect="0,0,209550,209550"/>
                </v:shape>
                <v:rect id="Rectangle 3023" o:spid="_x0000_s1086" style="position:absolute;left:7213;top:49963;width:836;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" filled="f" stroked="f">
                  <v:textbox inset="0,0,0,0">
                    <w:txbxContent>
                      <w:p w14:paraId="6ED46190" w14:textId="77777777" w:rsidR="009B2280" w:rsidRDefault="009B2280" w:rsidP="009B2280">
                        <w:r w:rsidRPr="009B2280">
                          <w:rPr>
                            <w:rFonts w:ascii="Calibri" w:eastAsia="Calibri" w:hAnsi="Calibri" w:cs="Calibri"/>
                            <w:b/>
                            <w:w w:val="130"/>
                            <w:sz w:val="15"/>
                          </w:rPr>
                          <w:t>8</w:t>
                        </w:r>
                      </w:p>
                    </w:txbxContent>
                  </v:textbox>
                </v:rect>
                <v:rect id="Rectangle 3024" o:spid="_x0000_s1087" style="position:absolute;left:8575;top:50058;width:58264;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" filled="f" stroked="f">
                  <v:textbox inset="0,0,0,0">
                    <w:txbxContent>
                      <w:p w14:paraId="64AFD5C9" w14:textId="77777777" w:rsidR="009B2280" w:rsidRDefault="009B2280" w:rsidP="009B2280">
                        <w:r>
                          <w:rPr>
                            <w:rFonts w:ascii="Calibri" w:eastAsia="Calibri" w:hAnsi="Calibri" w:cs="Calibri"/>
                            <w:color w:val="181717"/>
                            <w:spacing w:val="109"/>
                            <w:w w:val="110"/>
                            <w:sz w:val="18"/>
                          </w:rPr>
                          <w:t xml:space="preserve"> </w:t>
                        </w:r>
                        <w:r>
                          <w:rPr>
                            <w:rFonts w:ascii="Calibri" w:eastAsia="Calibri" w:hAnsi="Calibri" w:cs="Calibri"/>
                            <w:color w:val="181717"/>
                            <w:w w:val="110"/>
                            <w:sz w:val="18"/>
                          </w:rPr>
                          <w:t>Trial</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evaluate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the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adoption</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of</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patient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navigator</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programs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yarning</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circles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w:t>
                        </w:r>
                        <w:r>
                          <w:rPr>
                            <w:rFonts w:ascii="Calibri" w:eastAsia="Calibri" w:hAnsi="Calibri" w:cs="Calibri"/>
                            <w:color w:val="181717"/>
                            <w:spacing w:val="6"/>
                            <w:w w:val="110"/>
                            <w:sz w:val="18"/>
                          </w:rPr>
                          <w:t xml:space="preserve"> </w:t>
                        </w:r>
                      </w:p>
                    </w:txbxContent>
                  </v:textbox>
                </v:rect>
                <v:rect id="Rectangle 3025" o:spid="_x0000_s1088" style="position:absolute;left:52376;top:50058;width:395;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" filled="f" stroked="f">
                  <v:textbox inset="0,0,0,0">
                    <w:txbxContent>
                      <w:p w14:paraId="48A95F41" w14:textId="77777777" w:rsidR="009B2280" w:rsidRDefault="009B2280" w:rsidP="009B2280">
                        <w:r>
                          <w:rPr>
                            <w:rFonts w:ascii="Calibri" w:eastAsia="Calibri" w:hAnsi="Calibri" w:cs="Calibri"/>
                            <w:color w:val="181717"/>
                            <w:sz w:val="18"/>
                          </w:rPr>
                          <w:t xml:space="preserve"> </w:t>
                        </w:r>
                      </w:p>
                    </w:txbxContent>
                  </v:textbox>
                </v:rect>
                <v:rect id="Rectangle 3026" o:spid="_x0000_s1089" style="position:absolute;left:9528;top:51582;width:17000;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" filled="f" stroked="f">
                  <v:textbox inset="0,0,0,0">
                    <w:txbxContent>
                      <w:p w14:paraId="24B81549" w14:textId="77777777" w:rsidR="009B2280" w:rsidRDefault="009B2280" w:rsidP="009B2280">
                        <w:r>
                          <w:rPr>
                            <w:rFonts w:ascii="Calibri" w:eastAsia="Calibri" w:hAnsi="Calibri" w:cs="Calibri"/>
                            <w:color w:val="181717"/>
                            <w:w w:val="111"/>
                            <w:sz w:val="18"/>
                          </w:rPr>
                          <w:t>pre-transplant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protocols.</w:t>
                        </w:r>
                      </w:p>
                    </w:txbxContent>
                  </v:textbox>
                </v:rect>
                <v:shape id="Shape 229" o:spid="_x0000_s1090" style="position:absolute;left:6480;top:53505;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" path="m104775,v57861,,104775,46914,104775,104775c209550,162636,162636,209550,104775,209550,46914,209550,,162636,,104775,,46914,46914,,104775,xe" fillcolor="#fffefd" stroked="f" strokeweight="0">
                  <v:stroke miterlimit="83231f" joinstyle="miter"/>
                  <v:path arrowok="t" textboxrect="0,0,209550,209550"/>
                </v:shape>
                <v:rect id="Rectangle 3028" o:spid="_x0000_s1091" style="position:absolute;left:7224;top:53964;width:807;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" filled="f" stroked="f">
                  <v:textbox inset="0,0,0,0">
                    <w:txbxContent>
                      <w:p w14:paraId="45154EBC" w14:textId="77777777" w:rsidR="009B2280" w:rsidRDefault="009B2280" w:rsidP="009B2280">
                        <w:r>
                          <w:rPr>
                            <w:rFonts w:ascii="Calibri" w:eastAsia="Calibri" w:hAnsi="Calibri" w:cs="Calibri"/>
                            <w:b/>
                            <w:color w:val="181717"/>
                            <w:w w:val="125"/>
                            <w:sz w:val="15"/>
                          </w:rPr>
                          <w:t>9</w:t>
                        </w:r>
                      </w:p>
                    </w:txbxContent>
                  </v:textbox>
                </v:rect>
                <v:rect id="Rectangle 3029" o:spid="_x0000_s1092" style="position:absolute;left:8575;top:54059;width:66080;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" filled="f" stroked="f">
                  <v:textbox inset="0,0,0,0">
                    <w:txbxContent>
                      <w:p w14:paraId="5D7A6B7F" w14:textId="77777777" w:rsidR="009B2280" w:rsidRDefault="009B2280" w:rsidP="009B2280">
                        <w:r>
                          <w:rPr>
                            <w:rFonts w:ascii="Calibri" w:eastAsia="Calibri" w:hAnsi="Calibri" w:cs="Calibri"/>
                            <w:color w:val="181717"/>
                            <w:spacing w:val="109"/>
                            <w:w w:val="110"/>
                            <w:sz w:val="18"/>
                          </w:rPr>
                          <w:t xml:space="preserve"> </w:t>
                        </w:r>
                        <w:r>
                          <w:rPr>
                            <w:rFonts w:ascii="Calibri" w:eastAsia="Calibri" w:hAnsi="Calibri" w:cs="Calibri"/>
                            <w:color w:val="181717"/>
                            <w:w w:val="110"/>
                            <w:sz w:val="18"/>
                          </w:rPr>
                          <w:t>Pilot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culturally</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informed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transplant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education</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interventions,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including</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remote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language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centres</w:t>
                        </w:r>
                        <w:r>
                          <w:rPr>
                            <w:rFonts w:ascii="Calibri" w:eastAsia="Calibri" w:hAnsi="Calibri" w:cs="Calibri"/>
                            <w:color w:val="181717"/>
                            <w:spacing w:val="6"/>
                            <w:w w:val="110"/>
                            <w:sz w:val="18"/>
                          </w:rPr>
                          <w:t xml:space="preserve"> </w:t>
                        </w:r>
                      </w:p>
                    </w:txbxContent>
                  </v:textbox>
                </v:rect>
                <v:rect id="Rectangle 3030" o:spid="_x0000_s1093" style="position:absolute;left:9528;top:55583;width:49321;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" filled="f" stroked="f">
                  <v:textbox inset="0,0,0,0">
                    <w:txbxContent>
                      <w:p w14:paraId="3C7AC1E0" w14:textId="77777777" w:rsidR="009B2280" w:rsidRDefault="009B2280" w:rsidP="009B2280">
                        <w:r>
                          <w:rPr>
                            <w:rFonts w:ascii="Calibri" w:eastAsia="Calibri" w:hAnsi="Calibri" w:cs="Calibri"/>
                            <w:color w:val="181717"/>
                            <w:w w:val="111"/>
                            <w:sz w:val="18"/>
                          </w:rPr>
                          <w:t>and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culturally</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tailored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immunosuppression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adherence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education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videos.</w:t>
                        </w:r>
                      </w:p>
                    </w:txbxContent>
                  </v:textbox>
                </v:rect>
                <v:rect id="Rectangle 3031" o:spid="_x0000_s1094" style="position:absolute;left:6480;top:58596;width:45092;height:2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" filled="f" stroked="f">
                  <v:textbox inset="0,0,0,0">
                    <w:txbxContent>
                      <w:p w14:paraId="4C6C86F1" w14:textId="77777777" w:rsidR="009B2280" w:rsidRDefault="009B2280" w:rsidP="009B2280">
                        <w:r>
                          <w:rPr>
                            <w:rFonts w:ascii="Calibri" w:eastAsia="Calibri" w:hAnsi="Calibri" w:cs="Calibri"/>
                            <w:b/>
                            <w:color w:val="181717"/>
                            <w:w w:val="131"/>
                            <w:sz w:val="21"/>
                            <w:u w:val="single" w:color="00A8CA"/>
                          </w:rPr>
                          <w:t>Improving</w:t>
                        </w:r>
                        <w:r>
                          <w:rPr>
                            <w:rFonts w:ascii="Calibri" w:eastAsia="Calibri" w:hAnsi="Calibri" w:cs="Calibri"/>
                            <w:b/>
                            <w:color w:val="181717"/>
                            <w:spacing w:val="12"/>
                            <w:w w:val="131"/>
                            <w:sz w:val="21"/>
                            <w:u w:val="single" w:color="00A8CA"/>
                          </w:rPr>
                          <w:t xml:space="preserve"> </w:t>
                        </w:r>
                        <w:r>
                          <w:rPr>
                            <w:rFonts w:ascii="Calibri" w:eastAsia="Calibri" w:hAnsi="Calibri" w:cs="Calibri"/>
                            <w:b/>
                            <w:color w:val="181717"/>
                            <w:w w:val="131"/>
                            <w:sz w:val="21"/>
                            <w:u w:val="single" w:color="00A8CA"/>
                          </w:rPr>
                          <w:t>equity</w:t>
                        </w:r>
                        <w:r>
                          <w:rPr>
                            <w:rFonts w:ascii="Calibri" w:eastAsia="Calibri" w:hAnsi="Calibri" w:cs="Calibri"/>
                            <w:b/>
                            <w:color w:val="181717"/>
                            <w:spacing w:val="12"/>
                            <w:w w:val="131"/>
                            <w:sz w:val="21"/>
                            <w:u w:val="single" w:color="00A8CA"/>
                          </w:rPr>
                          <w:t xml:space="preserve"> </w:t>
                        </w:r>
                        <w:r>
                          <w:rPr>
                            <w:rFonts w:ascii="Calibri" w:eastAsia="Calibri" w:hAnsi="Calibri" w:cs="Calibri"/>
                            <w:b/>
                            <w:color w:val="181717"/>
                            <w:w w:val="131"/>
                            <w:sz w:val="21"/>
                            <w:u w:val="single" w:color="00A8CA"/>
                          </w:rPr>
                          <w:t>&amp;</w:t>
                        </w:r>
                        <w:r>
                          <w:rPr>
                            <w:rFonts w:ascii="Calibri" w:eastAsia="Calibri" w:hAnsi="Calibri" w:cs="Calibri"/>
                            <w:b/>
                            <w:color w:val="181717"/>
                            <w:spacing w:val="12"/>
                            <w:w w:val="131"/>
                            <w:sz w:val="21"/>
                            <w:u w:val="single" w:color="00A8CA"/>
                          </w:rPr>
                          <w:t xml:space="preserve"> </w:t>
                        </w:r>
                        <w:r>
                          <w:rPr>
                            <w:rFonts w:ascii="Calibri" w:eastAsia="Calibri" w:hAnsi="Calibri" w:cs="Calibri"/>
                            <w:b/>
                            <w:color w:val="181717"/>
                            <w:w w:val="131"/>
                            <w:sz w:val="21"/>
                            <w:u w:val="single" w:color="00A8CA"/>
                          </w:rPr>
                          <w:t>access</w:t>
                        </w:r>
                        <w:r>
                          <w:rPr>
                            <w:rFonts w:ascii="Calibri" w:eastAsia="Calibri" w:hAnsi="Calibri" w:cs="Calibri"/>
                            <w:b/>
                            <w:color w:val="181717"/>
                            <w:spacing w:val="12"/>
                            <w:w w:val="131"/>
                            <w:sz w:val="21"/>
                            <w:u w:val="single" w:color="00A8CA"/>
                          </w:rPr>
                          <w:t xml:space="preserve"> </w:t>
                        </w:r>
                        <w:r>
                          <w:rPr>
                            <w:rFonts w:ascii="Calibri" w:eastAsia="Calibri" w:hAnsi="Calibri" w:cs="Calibri"/>
                            <w:b/>
                            <w:color w:val="181717"/>
                            <w:w w:val="131"/>
                            <w:sz w:val="21"/>
                            <w:u w:val="single" w:color="00A8CA"/>
                          </w:rPr>
                          <w:t>to</w:t>
                        </w:r>
                        <w:r>
                          <w:rPr>
                            <w:rFonts w:ascii="Calibri" w:eastAsia="Calibri" w:hAnsi="Calibri" w:cs="Calibri"/>
                            <w:b/>
                            <w:color w:val="181717"/>
                            <w:spacing w:val="12"/>
                            <w:w w:val="131"/>
                            <w:sz w:val="21"/>
                            <w:u w:val="single" w:color="00A8CA"/>
                          </w:rPr>
                          <w:t xml:space="preserve"> </w:t>
                        </w:r>
                        <w:r>
                          <w:rPr>
                            <w:rFonts w:ascii="Calibri" w:eastAsia="Calibri" w:hAnsi="Calibri" w:cs="Calibri"/>
                            <w:b/>
                            <w:color w:val="181717"/>
                            <w:w w:val="131"/>
                            <w:sz w:val="21"/>
                            <w:u w:val="single" w:color="00A8CA"/>
                          </w:rPr>
                          <w:t>transplant</w:t>
                        </w:r>
                        <w:r>
                          <w:rPr>
                            <w:rFonts w:ascii="Calibri" w:eastAsia="Calibri" w:hAnsi="Calibri" w:cs="Calibri"/>
                            <w:b/>
                            <w:color w:val="181717"/>
                            <w:spacing w:val="12"/>
                            <w:w w:val="131"/>
                            <w:sz w:val="21"/>
                            <w:u w:val="single" w:color="00A8CA"/>
                          </w:rPr>
                          <w:t xml:space="preserve"> </w:t>
                        </w:r>
                        <w:r>
                          <w:rPr>
                            <w:rFonts w:ascii="Calibri" w:eastAsia="Calibri" w:hAnsi="Calibri" w:cs="Calibri"/>
                            <w:b/>
                            <w:color w:val="181717"/>
                            <w:w w:val="131"/>
                            <w:sz w:val="21"/>
                            <w:u w:val="single" w:color="00A8CA"/>
                          </w:rPr>
                          <w:t>services</w:t>
                        </w:r>
                      </w:p>
                    </w:txbxContent>
                  </v:textbox>
                </v:rect>
                <v:shape id="Shape 234" o:spid="_x0000_s1095" style="position:absolute;left:6480;top:60934;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" path="m104775,v57861,,104775,46913,104775,104775c209550,162637,162636,209550,104775,209550,46914,209550,,162637,,104775,,46913,46914,,104775,xe" fillcolor="#00a1a4" stroked="f" strokeweight="0">
                  <v:stroke miterlimit="83231f" joinstyle="miter"/>
                  <v:path arrowok="t" textboxrect="0,0,209550,209550"/>
                </v:shape>
                <v:rect id="Rectangle 3033" o:spid="_x0000_s1096" style="position:absolute;left:7017;top:61393;width:1357;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" filled="f" stroked="f">
                  <v:textbox inset="0,0,0,0">
                    <w:txbxContent>
                      <w:p w14:paraId="7A8199D9" w14:textId="77777777" w:rsidR="009B2280" w:rsidRDefault="009B2280" w:rsidP="009B2280">
                        <w:r w:rsidRPr="009B2280">
                          <w:rPr>
                            <w:rFonts w:ascii="Calibri" w:eastAsia="Calibri" w:hAnsi="Calibri" w:cs="Calibri"/>
                            <w:b/>
                            <w:w w:val="105"/>
                            <w:sz w:val="15"/>
                          </w:rPr>
                          <w:t>10</w:t>
                        </w:r>
                      </w:p>
                    </w:txbxContent>
                  </v:textbox>
                </v:rect>
                <v:rect id="Rectangle 3034" o:spid="_x0000_s1097" style="position:absolute;left:8575;top:61488;width:65081;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" filled="f" stroked="f">
                  <v:textbox inset="0,0,0,0">
                    <w:txbxContent>
                      <w:p w14:paraId="58F812EA" w14:textId="77777777" w:rsidR="009B2280" w:rsidRDefault="009B2280" w:rsidP="009B2280">
                        <w:r>
                          <w:rPr>
                            <w:rFonts w:ascii="Calibri" w:eastAsia="Calibri" w:hAnsi="Calibri" w:cs="Calibri"/>
                            <w:color w:val="181717"/>
                            <w:spacing w:val="109"/>
                            <w:w w:val="110"/>
                            <w:sz w:val="18"/>
                          </w:rPr>
                          <w:t xml:space="preserve"> </w:t>
                        </w:r>
                        <w:r>
                          <w:rPr>
                            <w:rFonts w:ascii="Calibri" w:eastAsia="Calibri" w:hAnsi="Calibri" w:cs="Calibri"/>
                            <w:color w:val="181717"/>
                            <w:w w:val="110"/>
                            <w:sz w:val="18"/>
                          </w:rPr>
                          <w:t>E</w:t>
                        </w:r>
                        <w:r>
                          <w:rPr>
                            <w:rFonts w:ascii="Calibri" w:eastAsia="Calibri" w:hAnsi="Calibri" w:cs="Calibri"/>
                            <w:color w:val="181717"/>
                            <w:spacing w:val="-41"/>
                            <w:w w:val="110"/>
                            <w:sz w:val="18"/>
                          </w:rPr>
                          <w:t xml:space="preserve"> </w:t>
                        </w:r>
                        <w:r>
                          <w:rPr>
                            <w:rFonts w:ascii="Calibri" w:eastAsia="Calibri" w:hAnsi="Calibri" w:cs="Calibri"/>
                            <w:color w:val="181717"/>
                            <w:w w:val="110"/>
                            <w:sz w:val="18"/>
                          </w:rPr>
                          <w:t>valuate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leverage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existing</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initiatives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that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target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cultural</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bias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health</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services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to</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facilitate</w:t>
                        </w:r>
                        <w:r>
                          <w:rPr>
                            <w:rFonts w:ascii="Calibri" w:eastAsia="Calibri" w:hAnsi="Calibri" w:cs="Calibri"/>
                            <w:color w:val="181717"/>
                            <w:spacing w:val="6"/>
                            <w:w w:val="110"/>
                            <w:sz w:val="18"/>
                          </w:rPr>
                          <w:t xml:space="preserve"> </w:t>
                        </w:r>
                      </w:p>
                    </w:txbxContent>
                  </v:textbox>
                </v:rect>
                <v:rect id="Rectangle 3035" o:spid="_x0000_s1098" style="position:absolute;left:9528;top:63012;width:60388;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" filled="f" stroked="f">
                  <v:textbox inset="0,0,0,0">
                    <w:txbxContent>
                      <w:p w14:paraId="3FFA893A" w14:textId="77777777" w:rsidR="009B2280" w:rsidRDefault="009B2280" w:rsidP="009B2280">
                        <w:r>
                          <w:rPr>
                            <w:rFonts w:ascii="Calibri" w:eastAsia="Calibri" w:hAnsi="Calibri" w:cs="Calibri"/>
                            <w:color w:val="181717"/>
                            <w:w w:val="111"/>
                            <w:sz w:val="18"/>
                          </w:rPr>
                          <w:t>the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rollout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of</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best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practice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pre-transplant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care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support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interventions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for</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Indigenous</w:t>
                        </w:r>
                        <w:r>
                          <w:rPr>
                            <w:rFonts w:ascii="Calibri" w:eastAsia="Calibri" w:hAnsi="Calibri" w:cs="Calibri"/>
                            <w:color w:val="181717"/>
                            <w:spacing w:val="6"/>
                            <w:w w:val="111"/>
                            <w:sz w:val="18"/>
                          </w:rPr>
                          <w:t xml:space="preserve"> </w:t>
                        </w:r>
                      </w:p>
                    </w:txbxContent>
                  </v:textbox>
                </v:rect>
                <v:rect id="Rectangle 3036" o:spid="_x0000_s1099" style="position:absolute;left:9528;top:64536;width:15559;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" filled="f" stroked="f">
                  <v:textbox inset="0,0,0,0">
                    <w:txbxContent>
                      <w:p w14:paraId="096F5755" w14:textId="77777777" w:rsidR="009B2280" w:rsidRDefault="009B2280" w:rsidP="009B2280">
                        <w:r>
                          <w:rPr>
                            <w:rFonts w:ascii="Calibri" w:eastAsia="Calibri" w:hAnsi="Calibri" w:cs="Calibri"/>
                            <w:color w:val="181717"/>
                            <w:w w:val="111"/>
                            <w:sz w:val="18"/>
                          </w:rPr>
                          <w:t>transplant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candidates.</w:t>
                        </w:r>
                        <w:r>
                          <w:rPr>
                            <w:rFonts w:ascii="Calibri" w:eastAsia="Calibri" w:hAnsi="Calibri" w:cs="Calibri"/>
                            <w:color w:val="181717"/>
                            <w:spacing w:val="6"/>
                            <w:w w:val="111"/>
                            <w:sz w:val="18"/>
                          </w:rPr>
                          <w:t xml:space="preserve"> </w:t>
                        </w:r>
                      </w:p>
                    </w:txbxContent>
                  </v:textbox>
                </v:rect>
                <v:shape id="Shape 239" o:spid="_x0000_s1100" style="position:absolute;left:6480;top:66459;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" path="m104775,v57861,,104775,46913,104775,104775c209550,162637,162636,209550,104775,209550,46914,209550,,162637,,104775,,46913,46914,,104775,xe" fillcolor="#fffefd" stroked="f" strokeweight="0">
                  <v:stroke miterlimit="83231f" joinstyle="miter"/>
                  <v:path arrowok="t" textboxrect="0,0,209550,209550"/>
                </v:shape>
                <v:rect id="Rectangle 3038" o:spid="_x0000_s1101" style="position:absolute;left:7154;top:66918;width:993;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" filled="f" stroked="f">
                  <v:textbox inset="0,0,0,0">
                    <w:txbxContent>
                      <w:p w14:paraId="0F760284" w14:textId="77777777" w:rsidR="009B2280" w:rsidRDefault="009B2280" w:rsidP="009B2280">
                        <w:r>
                          <w:rPr>
                            <w:rFonts w:ascii="Calibri" w:eastAsia="Calibri" w:hAnsi="Calibri" w:cs="Calibri"/>
                            <w:b/>
                            <w:color w:val="181717"/>
                            <w:w w:val="77"/>
                            <w:sz w:val="15"/>
                          </w:rPr>
                          <w:t>11</w:t>
                        </w:r>
                      </w:p>
                    </w:txbxContent>
                  </v:textbox>
                </v:rect>
                <v:rect id="Rectangle 3039" o:spid="_x0000_s1102" style="position:absolute;left:8575;top:67013;width:64283;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" filled="f" stroked="f">
                  <v:textbox inset="0,0,0,0">
                    <w:txbxContent>
                      <w:p w14:paraId="3D4B42FE" w14:textId="77777777" w:rsidR="009B2280" w:rsidRDefault="009B2280" w:rsidP="009B2280">
                        <w:r>
                          <w:rPr>
                            <w:rFonts w:ascii="Calibri" w:eastAsia="Calibri" w:hAnsi="Calibri" w:cs="Calibri"/>
                            <w:color w:val="181717"/>
                            <w:spacing w:val="109"/>
                            <w:w w:val="111"/>
                            <w:sz w:val="18"/>
                          </w:rPr>
                          <w:t xml:space="preserve"> </w:t>
                        </w:r>
                        <w:r>
                          <w:rPr>
                            <w:rFonts w:ascii="Calibri" w:eastAsia="Calibri" w:hAnsi="Calibri" w:cs="Calibri"/>
                            <w:color w:val="181717"/>
                            <w:w w:val="111"/>
                            <w:sz w:val="18"/>
                          </w:rPr>
                          <w:t>Ensure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Indigenous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transplant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candidates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are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connected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with</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primary</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care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services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earlier</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w:t>
                        </w:r>
                        <w:r>
                          <w:rPr>
                            <w:rFonts w:ascii="Calibri" w:eastAsia="Calibri" w:hAnsi="Calibri" w:cs="Calibri"/>
                            <w:color w:val="181717"/>
                            <w:spacing w:val="6"/>
                            <w:w w:val="111"/>
                            <w:sz w:val="18"/>
                          </w:rPr>
                          <w:t xml:space="preserve"> </w:t>
                        </w:r>
                      </w:p>
                    </w:txbxContent>
                  </v:textbox>
                </v:rect>
                <v:rect id="Rectangle 192" o:spid="_x0000_s1103" style="position:absolute;left:9528;top:68537;width:60603;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0B55D73A" w14:textId="77777777" w:rsidR="009B2280" w:rsidRDefault="009B2280" w:rsidP="009B2280">
                        <w:r>
                          <w:rPr>
                            <w:rFonts w:ascii="Calibri" w:eastAsia="Calibri" w:hAnsi="Calibri" w:cs="Calibri"/>
                            <w:color w:val="181717"/>
                            <w:w w:val="111"/>
                            <w:sz w:val="18"/>
                          </w:rPr>
                          <w:t>the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ESKD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treatment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continuum,</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to</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enable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health</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issues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to</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be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addressed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prior</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to</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workup.</w:t>
                        </w:r>
                      </w:p>
                    </w:txbxContent>
                  </v:textbox>
                </v:rect>
                <v:shape id="Shape 243" o:spid="_x0000_s1104" style="position:absolute;left:6480;top:70459;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" path="m104775,v57861,,104775,46913,104775,104775c209550,162637,162636,209550,104775,209550,46914,209550,,162637,,104775,,46913,46914,,104775,xe" fillcolor="#fffefd" stroked="f" strokeweight="0">
                  <v:stroke miterlimit="83231f" joinstyle="miter"/>
                  <v:path arrowok="t" textboxrect="0,0,209550,209550"/>
                </v:shape>
                <v:rect id="Rectangle 194" o:spid="_x0000_s1105" style="position:absolute;left:7060;top:70918;width:1244;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772E9473" w14:textId="77777777" w:rsidR="009B2280" w:rsidRDefault="009B2280" w:rsidP="009B2280">
                        <w:r>
                          <w:rPr>
                            <w:rFonts w:ascii="Calibri" w:eastAsia="Calibri" w:hAnsi="Calibri" w:cs="Calibri"/>
                            <w:b/>
                            <w:color w:val="181717"/>
                            <w:w w:val="96"/>
                            <w:sz w:val="15"/>
                          </w:rPr>
                          <w:t>12</w:t>
                        </w:r>
                      </w:p>
                    </w:txbxContent>
                  </v:textbox>
                </v:rect>
                <v:rect id="Rectangle 195" o:spid="_x0000_s1106" style="position:absolute;left:8575;top:71013;width:65774;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5101EB73" w14:textId="77777777" w:rsidR="009B2280" w:rsidRDefault="009B2280" w:rsidP="009B2280">
                        <w:r>
                          <w:rPr>
                            <w:rFonts w:ascii="Calibri" w:eastAsia="Calibri" w:hAnsi="Calibri" w:cs="Calibri"/>
                            <w:color w:val="181717"/>
                            <w:spacing w:val="109"/>
                            <w:w w:val="111"/>
                            <w:sz w:val="18"/>
                          </w:rPr>
                          <w:t xml:space="preserve"> </w:t>
                        </w:r>
                        <w:r>
                          <w:rPr>
                            <w:rFonts w:ascii="Calibri" w:eastAsia="Calibri" w:hAnsi="Calibri" w:cs="Calibri"/>
                            <w:color w:val="181717"/>
                            <w:w w:val="111"/>
                            <w:sz w:val="18"/>
                          </w:rPr>
                          <w:t>Trial</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evaluate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weight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loss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strategies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for</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Indigenous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kidney</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transplant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candidates,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including</w:t>
                        </w:r>
                        <w:r>
                          <w:rPr>
                            <w:rFonts w:ascii="Calibri" w:eastAsia="Calibri" w:hAnsi="Calibri" w:cs="Calibri"/>
                            <w:color w:val="181717"/>
                            <w:spacing w:val="6"/>
                            <w:w w:val="111"/>
                            <w:sz w:val="18"/>
                          </w:rPr>
                          <w:t xml:space="preserve"> </w:t>
                        </w:r>
                      </w:p>
                    </w:txbxContent>
                  </v:textbox>
                </v:rect>
                <v:rect id="Rectangle 196" o:spid="_x0000_s1107" style="position:absolute;left:9528;top:72537;width:50856;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51B2755D" w14:textId="77777777" w:rsidR="009B2280" w:rsidRDefault="009B2280" w:rsidP="009B2280">
                        <w:r>
                          <w:rPr>
                            <w:rFonts w:ascii="Calibri" w:eastAsia="Calibri" w:hAnsi="Calibri" w:cs="Calibri"/>
                            <w:color w:val="181717"/>
                            <w:w w:val="110"/>
                            <w:sz w:val="18"/>
                          </w:rPr>
                          <w:t>conservative,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culturally</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tailored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weight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loss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programs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bariatric</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surgery.</w:t>
                        </w:r>
                      </w:p>
                    </w:txbxContent>
                  </v:textbox>
                </v:rect>
                <v:shape id="Shape 247" o:spid="_x0000_s1108" style="position:absolute;left:6480;top:74460;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" path="m104775,v57861,,104775,46913,104775,104775c209550,162637,162636,209550,104775,209550,46914,209550,,162637,,104775,,46913,46914,,104775,xe" fillcolor="#fffefd" stroked="f" strokeweight="0">
                  <v:stroke miterlimit="83231f" joinstyle="miter"/>
                  <v:path arrowok="t" textboxrect="0,0,209550,209550"/>
                </v:shape>
                <v:rect id="Rectangle 198" o:spid="_x0000_s1109" style="position:absolute;left:7059;top:74919;width:1246;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464D61C7" w14:textId="77777777" w:rsidR="009B2280" w:rsidRDefault="009B2280" w:rsidP="009B2280">
                        <w:r>
                          <w:rPr>
                            <w:rFonts w:ascii="Calibri" w:eastAsia="Calibri" w:hAnsi="Calibri" w:cs="Calibri"/>
                            <w:b/>
                            <w:color w:val="181717"/>
                            <w:w w:val="97"/>
                            <w:sz w:val="15"/>
                          </w:rPr>
                          <w:t>13</w:t>
                        </w:r>
                      </w:p>
                    </w:txbxContent>
                  </v:textbox>
                </v:rect>
                <v:rect id="Rectangle 199" o:spid="_x0000_s1110" style="position:absolute;left:8575;top:75014;width:61671;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21ACE5D6" w14:textId="77777777" w:rsidR="009B2280" w:rsidRDefault="009B2280" w:rsidP="009B2280">
                        <w:r>
                          <w:rPr>
                            <w:rFonts w:ascii="Calibri" w:eastAsia="Calibri" w:hAnsi="Calibri" w:cs="Calibri"/>
                            <w:color w:val="181717"/>
                            <w:spacing w:val="109"/>
                            <w:w w:val="111"/>
                            <w:sz w:val="18"/>
                          </w:rPr>
                          <w:t xml:space="preserve"> </w:t>
                        </w:r>
                        <w:r>
                          <w:rPr>
                            <w:rFonts w:ascii="Calibri" w:eastAsia="Calibri" w:hAnsi="Calibri" w:cs="Calibri"/>
                            <w:color w:val="181717"/>
                            <w:w w:val="111"/>
                            <w:sz w:val="18"/>
                          </w:rPr>
                          <w:t>If</w:t>
                        </w:r>
                        <w:r w:rsidRPr="008D5CC2">
                          <w:rPr>
                            <w:rFonts w:ascii="Calibri" w:eastAsia="Calibri" w:hAnsi="Calibri" w:cs="Calibri"/>
                            <w:color w:val="181717"/>
                            <w:w w:val="111"/>
                            <w:sz w:val="18"/>
                          </w:rPr>
                          <w:t xml:space="preserve"> </w:t>
                        </w:r>
                        <w:r>
                          <w:rPr>
                            <w:rFonts w:ascii="Calibri" w:eastAsia="Calibri" w:hAnsi="Calibri" w:cs="Calibri"/>
                            <w:color w:val="181717"/>
                            <w:w w:val="111"/>
                            <w:sz w:val="18"/>
                          </w:rPr>
                          <w:t>an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empirical</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evidence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base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supports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the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use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of</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bariatric</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surgery</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for</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Indigenous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kidney</w:t>
                        </w:r>
                        <w:r>
                          <w:rPr>
                            <w:rFonts w:ascii="Calibri" w:eastAsia="Calibri" w:hAnsi="Calibri" w:cs="Calibri"/>
                            <w:color w:val="181717"/>
                            <w:spacing w:val="6"/>
                            <w:w w:val="111"/>
                            <w:sz w:val="18"/>
                          </w:rPr>
                          <w:t xml:space="preserve"> </w:t>
                        </w:r>
                      </w:p>
                    </w:txbxContent>
                  </v:textbox>
                </v:rect>
                <v:rect id="Rectangle 200" o:spid="_x0000_s1111" style="position:absolute;left:9528;top:76538;width:61991;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00FA14B8" w14:textId="77777777" w:rsidR="009B2280" w:rsidRDefault="009B2280" w:rsidP="009B2280">
                        <w:r>
                          <w:rPr>
                            <w:rFonts w:ascii="Calibri" w:eastAsia="Calibri" w:hAnsi="Calibri" w:cs="Calibri"/>
                            <w:color w:val="181717"/>
                            <w:w w:val="111"/>
                            <w:sz w:val="18"/>
                          </w:rPr>
                          <w:t>transplant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candidates,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increase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funding</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for</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bariatric</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surgery</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procedures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public</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hospitals.</w:t>
                        </w:r>
                      </w:p>
                    </w:txbxContent>
                  </v:textbox>
                </v:rect>
                <v:shape id="Shape 251" o:spid="_x0000_s1112" style="position:absolute;left:6480;top:78460;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" path="m104775,v57861,,104775,46913,104775,104775c209550,162637,162636,209550,104775,209550,46914,209550,,162637,,104775,,46913,46914,,104775,xe" fillcolor="#00a1a4" stroked="f" strokeweight="0">
                  <v:stroke miterlimit="83231f" joinstyle="miter"/>
                  <v:path arrowok="t" textboxrect="0,0,209550,209550"/>
                </v:shape>
                <v:rect id="Rectangle 202" o:spid="_x0000_s1113" style="position:absolute;left:7012;top:78919;width:137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14:paraId="14F97F62" w14:textId="77777777" w:rsidR="009B2280" w:rsidRDefault="009B2280" w:rsidP="009B2280">
                        <w:r w:rsidRPr="009B2280">
                          <w:rPr>
                            <w:rFonts w:ascii="Calibri" w:eastAsia="Calibri" w:hAnsi="Calibri" w:cs="Calibri"/>
                            <w:b/>
                            <w:w w:val="106"/>
                            <w:sz w:val="15"/>
                          </w:rPr>
                          <w:t>14</w:t>
                        </w:r>
                      </w:p>
                    </w:txbxContent>
                  </v:textbox>
                </v:rect>
                <v:rect id="Rectangle 203" o:spid="_x0000_s1114" style="position:absolute;left:8575;top:79014;width:60070;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42989058" w14:textId="77777777" w:rsidR="009B2280" w:rsidRDefault="009B2280" w:rsidP="009B2280">
                        <w:r>
                          <w:rPr>
                            <w:rFonts w:ascii="Calibri" w:eastAsia="Calibri" w:hAnsi="Calibri" w:cs="Calibri"/>
                            <w:color w:val="181717"/>
                            <w:spacing w:val="109"/>
                            <w:w w:val="110"/>
                            <w:sz w:val="18"/>
                          </w:rPr>
                          <w:t xml:space="preserve"> </w:t>
                        </w:r>
                        <w:r>
                          <w:rPr>
                            <w:rFonts w:ascii="Calibri" w:eastAsia="Calibri" w:hAnsi="Calibri" w:cs="Calibri"/>
                            <w:color w:val="181717"/>
                            <w:w w:val="110"/>
                            <w:sz w:val="18"/>
                          </w:rPr>
                          <w:t>Trial</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multidisciplinary</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pre-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post-transplant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clinic</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one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major</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regional</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centre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for</w:t>
                        </w:r>
                        <w:r>
                          <w:rPr>
                            <w:rFonts w:ascii="Calibri" w:eastAsia="Calibri" w:hAnsi="Calibri" w:cs="Calibri"/>
                            <w:color w:val="181717"/>
                            <w:spacing w:val="6"/>
                            <w:w w:val="110"/>
                            <w:sz w:val="18"/>
                          </w:rPr>
                          <w:t xml:space="preserve"> </w:t>
                        </w:r>
                      </w:p>
                    </w:txbxContent>
                  </v:textbox>
                </v:rect>
                <v:rect id="Rectangle 204" o:spid="_x0000_s1115" style="position:absolute;left:9528;top:80538;width:1736;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71E658B8" w14:textId="77777777" w:rsidR="009B2280" w:rsidRDefault="009B2280" w:rsidP="009B2280">
                        <w:r>
                          <w:rPr>
                            <w:rFonts w:ascii="Calibri" w:eastAsia="Calibri" w:hAnsi="Calibri" w:cs="Calibri"/>
                            <w:color w:val="181717"/>
                            <w:w w:val="112"/>
                            <w:sz w:val="18"/>
                          </w:rPr>
                          <w:t>12</w:t>
                        </w:r>
                      </w:p>
                    </w:txbxContent>
                  </v:textbox>
                </v:rect>
                <v:rect id="Rectangle 205" o:spid="_x0000_s1116" style="position:absolute;left:10833;top:80538;width:58897;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2CE67DC9" w14:textId="77777777" w:rsidR="009B2280" w:rsidRDefault="009B2280" w:rsidP="009B2280">
                        <w:r>
                          <w:rPr>
                            <w:rFonts w:ascii="Calibri" w:eastAsia="Calibri" w:hAnsi="Calibri" w:cs="Calibri"/>
                            <w:color w:val="181717"/>
                            <w:spacing w:val="6"/>
                            <w:w w:val="110"/>
                            <w:sz w:val="18"/>
                          </w:rPr>
                          <w:t xml:space="preserve"> </w:t>
                        </w:r>
                        <w:r>
                          <w:rPr>
                            <w:rFonts w:ascii="Calibri" w:eastAsia="Calibri" w:hAnsi="Calibri" w:cs="Calibri"/>
                            <w:color w:val="181717"/>
                            <w:w w:val="110"/>
                            <w:sz w:val="18"/>
                          </w:rPr>
                          <w:t>months,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prioritising</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the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availability</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of</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dental</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cardiac</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services,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well</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travel</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p>
                    </w:txbxContent>
                  </v:textbox>
                </v:rect>
                <v:rect id="Rectangle 206" o:spid="_x0000_s1117" style="position:absolute;left:9528;top:82062;width:37495;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21745413" w14:textId="77777777" w:rsidR="009B2280" w:rsidRDefault="009B2280" w:rsidP="009B2280">
                        <w:r>
                          <w:rPr>
                            <w:rFonts w:ascii="Calibri" w:eastAsia="Calibri" w:hAnsi="Calibri" w:cs="Calibri"/>
                            <w:color w:val="181717"/>
                            <w:w w:val="111"/>
                            <w:sz w:val="18"/>
                          </w:rPr>
                          <w:t>accommodation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support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for</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rural</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remote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patients.</w:t>
                        </w:r>
                      </w:p>
                    </w:txbxContent>
                  </v:textbox>
                </v:rect>
                <v:shape id="Shape 256" o:spid="_x0000_s1118" style="position:absolute;left:6480;top:83985;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" path="m104775,v57861,,104775,46913,104775,104775c209550,162637,162636,209550,104775,209550,46914,209550,,162637,,104775,,46913,46914,,104775,xe" fillcolor="#fffefd" stroked="f" strokeweight="0">
                  <v:stroke miterlimit="83231f" joinstyle="miter"/>
                  <v:path arrowok="t" textboxrect="0,0,209550,209550"/>
                </v:shape>
                <v:rect id="Rectangle 208" o:spid="_x0000_s1119" style="position:absolute;left:7057;top:84444;width:1251;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06CA1E65" w14:textId="77777777" w:rsidR="009B2280" w:rsidRDefault="009B2280" w:rsidP="009B2280">
                        <w:r>
                          <w:rPr>
                            <w:rFonts w:ascii="Calibri" w:eastAsia="Calibri" w:hAnsi="Calibri" w:cs="Calibri"/>
                            <w:b/>
                            <w:color w:val="181717"/>
                            <w:w w:val="97"/>
                            <w:sz w:val="15"/>
                          </w:rPr>
                          <w:t>15</w:t>
                        </w:r>
                      </w:p>
                    </w:txbxContent>
                  </v:textbox>
                </v:rect>
                <v:rect id="Rectangle 209" o:spid="_x0000_s1120" style="position:absolute;left:8575;top:84539;width:2029;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12FCB2BB" w14:textId="77777777" w:rsidR="009B2280" w:rsidRDefault="009B2280" w:rsidP="009B2280">
                        <w:r>
                          <w:rPr>
                            <w:rFonts w:ascii="Calibri" w:eastAsia="Calibri" w:hAnsi="Calibri" w:cs="Calibri"/>
                            <w:color w:val="181717"/>
                            <w:spacing w:val="109"/>
                            <w:w w:val="109"/>
                            <w:sz w:val="18"/>
                          </w:rPr>
                          <w:t xml:space="preserve"> </w:t>
                        </w:r>
                        <w:r>
                          <w:rPr>
                            <w:rFonts w:ascii="Calibri" w:eastAsia="Calibri" w:hAnsi="Calibri" w:cs="Calibri"/>
                            <w:color w:val="181717"/>
                            <w:spacing w:val="103"/>
                            <w:w w:val="109"/>
                            <w:sz w:val="18"/>
                          </w:rPr>
                          <w:t>F</w:t>
                        </w:r>
                      </w:p>
                    </w:txbxContent>
                  </v:textbox>
                </v:rect>
                <v:rect id="Rectangle 210" o:spid="_x0000_s1121" style="position:absolute;left:9527;top:84539;width:63431;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03615F98" w14:textId="77777777" w:rsidR="009B2280" w:rsidRDefault="009B2280" w:rsidP="009B2280">
                        <w:r w:rsidRPr="008D5CC2">
                          <w:rPr>
                            <w:rFonts w:ascii="Calibri" w:eastAsia="Calibri" w:hAnsi="Calibri" w:cs="Calibri"/>
                            <w:color w:val="181717"/>
                            <w:w w:val="110"/>
                            <w:sz w:val="18"/>
                          </w:rPr>
                          <w:t>Fund</w:t>
                        </w:r>
                        <w:r>
                          <w:rPr>
                            <w:rFonts w:ascii="Calibri" w:eastAsia="Calibri" w:hAnsi="Calibri" w:cs="Calibri"/>
                            <w:color w:val="181717"/>
                            <w:w w:val="110"/>
                            <w:sz w:val="18"/>
                          </w:rPr>
                          <w:t xml:space="preserve"> </w:t>
                        </w:r>
                        <w:r w:rsidRPr="008D5CC2">
                          <w:rPr>
                            <w:rFonts w:ascii="Calibri" w:eastAsia="Calibri" w:hAnsi="Calibri" w:cs="Calibri"/>
                            <w:color w:val="181717"/>
                            <w:w w:val="110"/>
                            <w:sz w:val="18"/>
                          </w:rPr>
                          <w:t>relevant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medical</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allied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health</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services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positions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regional</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centres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to</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facilitate</w:t>
                        </w:r>
                        <w:r>
                          <w:rPr>
                            <w:rFonts w:ascii="Calibri" w:eastAsia="Calibri" w:hAnsi="Calibri" w:cs="Calibri"/>
                            <w:color w:val="181717"/>
                            <w:spacing w:val="6"/>
                            <w:w w:val="110"/>
                            <w:sz w:val="18"/>
                          </w:rPr>
                          <w:t xml:space="preserve"> </w:t>
                        </w:r>
                      </w:p>
                    </w:txbxContent>
                  </v:textbox>
                </v:rect>
                <v:rect id="Rectangle 211" o:spid="_x0000_s1122" style="position:absolute;left:9528;top:86063;width:59462;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14:paraId="499CEB69" w14:textId="77777777" w:rsidR="009B2280" w:rsidRDefault="009B2280" w:rsidP="009B2280">
                        <w:r>
                          <w:rPr>
                            <w:rFonts w:ascii="Calibri" w:eastAsia="Calibri" w:hAnsi="Calibri" w:cs="Calibri"/>
                            <w:color w:val="181717"/>
                            <w:w w:val="110"/>
                            <w:sz w:val="18"/>
                          </w:rPr>
                          <w:t>the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delivery</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of</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specialist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transplant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support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outreach</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services,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complementing</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regional</w:t>
                        </w:r>
                        <w:r>
                          <w:rPr>
                            <w:rFonts w:ascii="Calibri" w:eastAsia="Calibri" w:hAnsi="Calibri" w:cs="Calibri"/>
                            <w:color w:val="181717"/>
                            <w:spacing w:val="6"/>
                            <w:w w:val="110"/>
                            <w:sz w:val="18"/>
                          </w:rPr>
                          <w:t xml:space="preserve"> </w:t>
                        </w:r>
                      </w:p>
                    </w:txbxContent>
                  </v:textbox>
                </v:rect>
                <v:rect id="Rectangle 212" o:spid="_x0000_s1123" style="position:absolute;left:54230;top:86063;width:395;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240006E5" w14:textId="77777777" w:rsidR="009B2280" w:rsidRDefault="009B2280" w:rsidP="009B2280">
                        <w:r>
                          <w:rPr>
                            <w:rFonts w:ascii="Calibri" w:eastAsia="Calibri" w:hAnsi="Calibri" w:cs="Calibri"/>
                            <w:color w:val="181717"/>
                            <w:sz w:val="18"/>
                          </w:rPr>
                          <w:t xml:space="preserve"> </w:t>
                        </w:r>
                      </w:p>
                    </w:txbxContent>
                  </v:textbox>
                </v:rect>
                <v:rect id="Rectangle 213" o:spid="_x0000_s1124" style="position:absolute;left:9528;top:87587;width:61336;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30153A50" w14:textId="77777777" w:rsidR="009B2280" w:rsidRDefault="009B2280" w:rsidP="009B2280">
                        <w:r>
                          <w:rPr>
                            <w:rFonts w:ascii="Calibri" w:eastAsia="Calibri" w:hAnsi="Calibri" w:cs="Calibri"/>
                            <w:color w:val="181717"/>
                            <w:w w:val="111"/>
                            <w:sz w:val="18"/>
                          </w:rPr>
                          <w:t>pre-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post-transplant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clinics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improving</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coordination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of</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appointments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services.</w:t>
                        </w:r>
                      </w:p>
                    </w:txbxContent>
                  </v:textbox>
                </v:rect>
                <v:rect id="Rectangle 214" o:spid="_x0000_s1125" style="position:absolute;left:6479;width:6235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396ACE9A" w14:textId="77777777" w:rsidR="009B2280" w:rsidRDefault="009B2280" w:rsidP="009B2280">
                        <w:r w:rsidRPr="00583BE4">
                          <w:rPr>
                            <w:rFonts w:ascii="Calibri" w:eastAsia="Calibri" w:hAnsi="Calibri" w:cs="Calibri"/>
                            <w:b/>
                            <w:color w:val="181717"/>
                            <w:w w:val="123"/>
                            <w:szCs w:val="20"/>
                          </w:rPr>
                          <w:t>CONSOLIDATED LIST OF RECOMMENDATIONS</w:t>
                        </w:r>
                        <w:r>
                          <w:rPr>
                            <w:rFonts w:ascii="Calibri" w:eastAsia="Calibri" w:hAnsi="Calibri" w:cs="Calibri"/>
                            <w:b/>
                            <w:color w:val="181717"/>
                            <w:w w:val="123"/>
                            <w:sz w:val="18"/>
                          </w:rPr>
                          <w:t xml:space="preserve"> - Total:</w:t>
                        </w:r>
                        <w:r>
                          <w:rPr>
                            <w:rFonts w:ascii="Calibri" w:eastAsia="Calibri" w:hAnsi="Calibri" w:cs="Calibri"/>
                            <w:b/>
                            <w:color w:val="181717"/>
                            <w:spacing w:val="6"/>
                            <w:w w:val="123"/>
                            <w:sz w:val="18"/>
                          </w:rPr>
                          <w:t xml:space="preserve"> </w:t>
                        </w:r>
                        <w:r>
                          <w:rPr>
                            <w:rFonts w:ascii="Calibri" w:eastAsia="Calibri" w:hAnsi="Calibri" w:cs="Calibri"/>
                            <w:b/>
                            <w:color w:val="181717"/>
                            <w:w w:val="123"/>
                            <w:sz w:val="18"/>
                          </w:rPr>
                          <w:t>35</w:t>
                        </w:r>
                        <w:r>
                          <w:rPr>
                            <w:rFonts w:ascii="Calibri" w:eastAsia="Calibri" w:hAnsi="Calibri" w:cs="Calibri"/>
                            <w:b/>
                            <w:color w:val="181717"/>
                            <w:spacing w:val="6"/>
                            <w:w w:val="123"/>
                            <w:sz w:val="18"/>
                          </w:rPr>
                          <w:t xml:space="preserve"> </w:t>
                        </w:r>
                        <w:r>
                          <w:rPr>
                            <w:rFonts w:ascii="Calibri" w:eastAsia="Calibri" w:hAnsi="Calibri" w:cs="Calibri"/>
                            <w:b/>
                            <w:color w:val="181717"/>
                            <w:w w:val="123"/>
                            <w:sz w:val="18"/>
                          </w:rPr>
                          <w:t>recommendations</w:t>
                        </w:r>
                      </w:p>
                    </w:txbxContent>
                  </v:textbox>
                </v:rect>
                <v:shape id="Shape 263" o:spid="_x0000_s1126" style="position:absolute;left:6480;top:1731;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" path="m104775,v57861,,104775,46914,104775,104775c209550,162636,162636,209550,104775,209550,46914,209550,,162636,,104775,,46914,46914,,104775,xe" fillcolor="#00a1a4" stroked="f" strokeweight="0">
                  <v:stroke miterlimit="83231f" joinstyle="miter"/>
                  <v:path arrowok="t" textboxrect="0,0,209550,209550"/>
                </v:shape>
                <v:rect id="Rectangle 216" o:spid="_x0000_s1127" style="position:absolute;left:6881;top:2190;width:172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5184C4FC" w14:textId="77777777" w:rsidR="009B2280" w:rsidRPr="009B2280" w:rsidRDefault="009B2280" w:rsidP="009B2280">
                        <w:r w:rsidRPr="009B2280">
                          <w:rPr>
                            <w:rFonts w:ascii="Calibri" w:eastAsia="Calibri" w:hAnsi="Calibri" w:cs="Calibri"/>
                            <w:b/>
                            <w:w w:val="133"/>
                            <w:sz w:val="15"/>
                          </w:rPr>
                          <w:t>00</w:t>
                        </w:r>
                      </w:p>
                    </w:txbxContent>
                  </v:textbox>
                </v:rect>
                <v:rect id="Rectangle 218" o:spid="_x0000_s1128" style="position:absolute;left:8575;top:2286;width:25494;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6D85C59F" w14:textId="77777777" w:rsidR="009B2280" w:rsidRDefault="009B2280" w:rsidP="009B2280">
                        <w:r>
                          <w:rPr>
                            <w:rFonts w:ascii="Calibri" w:eastAsia="Calibri" w:hAnsi="Calibri" w:cs="Calibri"/>
                            <w:color w:val="181717"/>
                            <w:w w:val="110"/>
                            <w:sz w:val="18"/>
                          </w:rPr>
                          <w:t> Highlight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Priority</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recommendation</w:t>
                        </w:r>
                      </w:p>
                    </w:txbxContent>
                  </v:textbox>
                </v:rect>
                <w10:anchorlock/>
              </v:group>
            </w:pict>
          </mc:Fallback>
        </mc:AlternateContent>
      </w:r>
      <w:r w:rsidRPr="009D683D">
        <w:rPr>
          <w:rFonts w:ascii="Calibri" w:eastAsia="Calibri" w:hAnsi="Calibri" w:cs="Times New Roman"/>
          <w:sz w:val="22"/>
        </w:rPr>
        <w:t xml:space="preserve"> </w:t>
      </w:r>
    </w:p>
    <w:p w14:paraId="383486DE" w14:textId="77777777" w:rsidR="009D683D" w:rsidRPr="009D683D" w:rsidRDefault="009D683D" w:rsidP="009D683D">
      <w:pPr>
        <w:spacing w:after="3"/>
        <w:rPr>
          <w:rFonts w:ascii="Calibri" w:eastAsia="Calibri" w:hAnsi="Calibri" w:cs="Times New Roman"/>
          <w:sz w:val="22"/>
        </w:rPr>
      </w:pPr>
      <w:r w:rsidRPr="009D683D">
        <w:rPr>
          <w:rFonts w:ascii="Calibri" w:eastAsia="Calibri" w:hAnsi="Calibri" w:cs="Times New Roman"/>
          <w:noProof/>
          <w:sz w:val="22"/>
          <w:lang w:eastAsia="en-AU"/>
        </w:rPr>
        <w:lastRenderedPageBreak/>
        <mc:AlternateContent>
          <mc:Choice Requires="wpg">
            <w:drawing>
              <wp:inline distT="0" distB="0" distL="0" distR="0" wp14:anchorId="05A5C3C7" wp14:editId="7E18972B">
                <wp:extent cx="6391910" cy="8754533"/>
                <wp:effectExtent l="0" t="0" r="0" b="8890"/>
                <wp:docPr id="2654" name="Group 2654" descr="Continuation of summary table"/>
                <wp:cNvGraphicFramePr/>
                <a:graphic xmlns:a="http://schemas.openxmlformats.org/drawingml/2006/main">
                  <a:graphicData uri="http://schemas.microsoft.com/office/word/2010/wordprocessingGroup">
                    <wpg:wgp>
                      <wpg:cNvGrpSpPr/>
                      <wpg:grpSpPr>
                        <a:xfrm>
                          <a:off x="0" y="0"/>
                          <a:ext cx="6391910" cy="8754533"/>
                          <a:chOff x="0" y="0"/>
                          <a:chExt cx="7795849" cy="9431998"/>
                        </a:xfrm>
                      </wpg:grpSpPr>
                      <wps:wsp>
                        <wps:cNvPr id="4812" name="Shape 4812"/>
                        <wps:cNvSpPr/>
                        <wps:spPr>
                          <a:xfrm>
                            <a:off x="0" y="0"/>
                            <a:ext cx="7559993" cy="9431998"/>
                          </a:xfrm>
                          <a:custGeom>
                            <a:avLst/>
                            <a:gdLst/>
                            <a:ahLst/>
                            <a:cxnLst/>
                            <a:rect l="0" t="0" r="0" b="0"/>
                            <a:pathLst>
                              <a:path w="7559993" h="9431998">
                                <a:moveTo>
                                  <a:pt x="0" y="0"/>
                                </a:moveTo>
                                <a:lnTo>
                                  <a:pt x="7559993" y="0"/>
                                </a:lnTo>
                                <a:lnTo>
                                  <a:pt x="7559993" y="9431998"/>
                                </a:lnTo>
                                <a:lnTo>
                                  <a:pt x="0" y="9431998"/>
                                </a:lnTo>
                                <a:lnTo>
                                  <a:pt x="0" y="0"/>
                                </a:lnTo>
                              </a:path>
                            </a:pathLst>
                          </a:custGeom>
                          <a:solidFill>
                            <a:srgbClr val="EAE6DD"/>
                          </a:solidFill>
                          <a:ln w="0" cap="flat">
                            <a:noFill/>
                            <a:miter lim="127000"/>
                          </a:ln>
                          <a:effectLst/>
                        </wps:spPr>
                        <wps:bodyPr/>
                      </wps:wsp>
                      <wps:wsp>
                        <wps:cNvPr id="276" name="Shape 276"/>
                        <wps:cNvSpPr/>
                        <wps:spPr>
                          <a:xfrm>
                            <a:off x="648000" y="219073"/>
                            <a:ext cx="209550" cy="209550"/>
                          </a:xfrm>
                          <a:custGeom>
                            <a:avLst/>
                            <a:gdLst/>
                            <a:ahLst/>
                            <a:cxnLst/>
                            <a:rect l="0" t="0" r="0" b="0"/>
                            <a:pathLst>
                              <a:path w="209550" h="209550">
                                <a:moveTo>
                                  <a:pt x="104775" y="0"/>
                                </a:moveTo>
                                <a:cubicBezTo>
                                  <a:pt x="162636" y="0"/>
                                  <a:pt x="209550" y="46914"/>
                                  <a:pt x="209550" y="104775"/>
                                </a:cubicBezTo>
                                <a:cubicBezTo>
                                  <a:pt x="209550" y="162636"/>
                                  <a:pt x="162636" y="209550"/>
                                  <a:pt x="104775" y="209550"/>
                                </a:cubicBezTo>
                                <a:cubicBezTo>
                                  <a:pt x="46914" y="209550"/>
                                  <a:pt x="0" y="162636"/>
                                  <a:pt x="0" y="104775"/>
                                </a:cubicBezTo>
                                <a:cubicBezTo>
                                  <a:pt x="0" y="46914"/>
                                  <a:pt x="46914" y="0"/>
                                  <a:pt x="104775" y="0"/>
                                </a:cubicBezTo>
                                <a:close/>
                              </a:path>
                            </a:pathLst>
                          </a:custGeom>
                          <a:solidFill>
                            <a:srgbClr val="FFFEFD"/>
                          </a:solidFill>
                          <a:ln w="0" cap="flat">
                            <a:noFill/>
                            <a:miter lim="127000"/>
                          </a:ln>
                          <a:effectLst/>
                        </wps:spPr>
                        <wps:bodyPr/>
                      </wps:wsp>
                      <wps:wsp>
                        <wps:cNvPr id="277" name="Rectangle 277"/>
                        <wps:cNvSpPr/>
                        <wps:spPr>
                          <a:xfrm>
                            <a:off x="703769" y="264984"/>
                            <a:ext cx="130356" cy="154426"/>
                          </a:xfrm>
                          <a:prstGeom prst="rect">
                            <a:avLst/>
                          </a:prstGeom>
                          <a:ln>
                            <a:noFill/>
                          </a:ln>
                        </wps:spPr>
                        <wps:txbx>
                          <w:txbxContent>
                            <w:p w14:paraId="50C672AD" w14:textId="77777777" w:rsidR="00A41391" w:rsidRDefault="00A41391" w:rsidP="009D683D">
                              <w:r>
                                <w:rPr>
                                  <w:rFonts w:ascii="Calibri" w:eastAsia="Calibri" w:hAnsi="Calibri" w:cs="Calibri"/>
                                  <w:b/>
                                  <w:color w:val="181717"/>
                                  <w:w w:val="101"/>
                                  <w:sz w:val="15"/>
                                </w:rPr>
                                <w:t>16</w:t>
                              </w:r>
                            </w:p>
                          </w:txbxContent>
                        </wps:txbx>
                        <wps:bodyPr horzOverflow="overflow" vert="horz" lIns="0" tIns="0" rIns="0" bIns="0" rtlCol="0">
                          <a:noAutofit/>
                        </wps:bodyPr>
                      </wps:wsp>
                      <wps:wsp>
                        <wps:cNvPr id="278" name="Rectangle 278"/>
                        <wps:cNvSpPr/>
                        <wps:spPr>
                          <a:xfrm>
                            <a:off x="857550" y="274493"/>
                            <a:ext cx="6937540" cy="160852"/>
                          </a:xfrm>
                          <a:prstGeom prst="rect">
                            <a:avLst/>
                          </a:prstGeom>
                          <a:ln>
                            <a:noFill/>
                          </a:ln>
                        </wps:spPr>
                        <wps:txbx>
                          <w:txbxContent>
                            <w:p w14:paraId="361C0741" w14:textId="77777777" w:rsidR="00A41391" w:rsidRDefault="00A41391" w:rsidP="009D683D">
                              <w:r>
                                <w:rPr>
                                  <w:rFonts w:ascii="Calibri" w:eastAsia="Calibri" w:hAnsi="Calibri" w:cs="Calibri"/>
                                  <w:color w:val="181717"/>
                                  <w:spacing w:val="109"/>
                                  <w:w w:val="111"/>
                                  <w:sz w:val="18"/>
                                </w:rPr>
                                <w:t xml:space="preserve"> </w:t>
                              </w:r>
                              <w:r>
                                <w:rPr>
                                  <w:rFonts w:ascii="Calibri" w:eastAsia="Calibri" w:hAnsi="Calibri" w:cs="Calibri"/>
                                  <w:color w:val="181717"/>
                                  <w:w w:val="111"/>
                                  <w:sz w:val="18"/>
                                </w:rPr>
                                <w:t>Conduct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study</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on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transplant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models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of</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care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to</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quantify</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the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costs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for</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rural</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remote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Indigenous</w:t>
                              </w:r>
                              <w:r>
                                <w:rPr>
                                  <w:rFonts w:ascii="Calibri" w:eastAsia="Calibri" w:hAnsi="Calibri" w:cs="Calibri"/>
                                  <w:color w:val="181717"/>
                                  <w:spacing w:val="6"/>
                                  <w:w w:val="111"/>
                                  <w:sz w:val="18"/>
                                </w:rPr>
                                <w:t xml:space="preserve"> </w:t>
                              </w:r>
                            </w:p>
                          </w:txbxContent>
                        </wps:txbx>
                        <wps:bodyPr horzOverflow="overflow" vert="horz" lIns="0" tIns="0" rIns="0" bIns="0" rtlCol="0">
                          <a:noAutofit/>
                        </wps:bodyPr>
                      </wps:wsp>
                      <wps:wsp>
                        <wps:cNvPr id="279" name="Rectangle 279"/>
                        <wps:cNvSpPr/>
                        <wps:spPr>
                          <a:xfrm>
                            <a:off x="952800" y="426893"/>
                            <a:ext cx="4746642" cy="160852"/>
                          </a:xfrm>
                          <a:prstGeom prst="rect">
                            <a:avLst/>
                          </a:prstGeom>
                          <a:ln>
                            <a:noFill/>
                          </a:ln>
                        </wps:spPr>
                        <wps:txbx>
                          <w:txbxContent>
                            <w:p w14:paraId="3299116F" w14:textId="77777777" w:rsidR="00A41391" w:rsidRDefault="00A41391" w:rsidP="009D683D">
                              <w:r>
                                <w:rPr>
                                  <w:rFonts w:ascii="Calibri" w:eastAsia="Calibri" w:hAnsi="Calibri" w:cs="Calibri"/>
                                  <w:color w:val="181717"/>
                                  <w:w w:val="111"/>
                                  <w:sz w:val="18"/>
                                </w:rPr>
                                <w:t>patients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to</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inform</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the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development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of</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needs-based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funding</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model.</w:t>
                              </w:r>
                              <w:r>
                                <w:rPr>
                                  <w:rFonts w:ascii="Calibri" w:eastAsia="Calibri" w:hAnsi="Calibri" w:cs="Calibri"/>
                                  <w:color w:val="181717"/>
                                  <w:spacing w:val="6"/>
                                  <w:w w:val="111"/>
                                  <w:sz w:val="18"/>
                                </w:rPr>
                                <w:t xml:space="preserve"> </w:t>
                              </w:r>
                            </w:p>
                          </w:txbxContent>
                        </wps:txbx>
                        <wps:bodyPr horzOverflow="overflow" vert="horz" lIns="0" tIns="0" rIns="0" bIns="0" rtlCol="0">
                          <a:noAutofit/>
                        </wps:bodyPr>
                      </wps:wsp>
                      <wps:wsp>
                        <wps:cNvPr id="280" name="Shape 280"/>
                        <wps:cNvSpPr/>
                        <wps:spPr>
                          <a:xfrm>
                            <a:off x="648000" y="619123"/>
                            <a:ext cx="209550" cy="209550"/>
                          </a:xfrm>
                          <a:custGeom>
                            <a:avLst/>
                            <a:gdLst/>
                            <a:ahLst/>
                            <a:cxnLst/>
                            <a:rect l="0" t="0" r="0" b="0"/>
                            <a:pathLst>
                              <a:path w="209550" h="209550">
                                <a:moveTo>
                                  <a:pt x="104775" y="0"/>
                                </a:moveTo>
                                <a:cubicBezTo>
                                  <a:pt x="162636" y="0"/>
                                  <a:pt x="209550" y="46914"/>
                                  <a:pt x="209550" y="104775"/>
                                </a:cubicBezTo>
                                <a:cubicBezTo>
                                  <a:pt x="209550" y="162636"/>
                                  <a:pt x="162636" y="209550"/>
                                  <a:pt x="104775" y="209550"/>
                                </a:cubicBezTo>
                                <a:cubicBezTo>
                                  <a:pt x="46914" y="209550"/>
                                  <a:pt x="0" y="162636"/>
                                  <a:pt x="0" y="104775"/>
                                </a:cubicBezTo>
                                <a:cubicBezTo>
                                  <a:pt x="0" y="46914"/>
                                  <a:pt x="46914" y="0"/>
                                  <a:pt x="104775" y="0"/>
                                </a:cubicBezTo>
                                <a:close/>
                              </a:path>
                            </a:pathLst>
                          </a:custGeom>
                          <a:solidFill>
                            <a:srgbClr val="FFFEFD"/>
                          </a:solidFill>
                          <a:ln w="0" cap="flat">
                            <a:noFill/>
                            <a:miter lim="127000"/>
                          </a:ln>
                          <a:effectLst/>
                        </wps:spPr>
                        <wps:bodyPr/>
                      </wps:wsp>
                      <wps:wsp>
                        <wps:cNvPr id="281" name="Rectangle 281"/>
                        <wps:cNvSpPr/>
                        <wps:spPr>
                          <a:xfrm>
                            <a:off x="704578" y="665034"/>
                            <a:ext cx="128203" cy="154426"/>
                          </a:xfrm>
                          <a:prstGeom prst="rect">
                            <a:avLst/>
                          </a:prstGeom>
                          <a:ln>
                            <a:noFill/>
                          </a:ln>
                        </wps:spPr>
                        <wps:txbx>
                          <w:txbxContent>
                            <w:p w14:paraId="3FEC81EE" w14:textId="77777777" w:rsidR="00A41391" w:rsidRDefault="00A41391" w:rsidP="009D683D">
                              <w:r>
                                <w:rPr>
                                  <w:rFonts w:ascii="Calibri" w:eastAsia="Calibri" w:hAnsi="Calibri" w:cs="Calibri"/>
                                  <w:b/>
                                  <w:color w:val="181717"/>
                                  <w:w w:val="99"/>
                                  <w:sz w:val="15"/>
                                </w:rPr>
                                <w:t>17</w:t>
                              </w:r>
                            </w:p>
                          </w:txbxContent>
                        </wps:txbx>
                        <wps:bodyPr horzOverflow="overflow" vert="horz" lIns="0" tIns="0" rIns="0" bIns="0" rtlCol="0">
                          <a:noAutofit/>
                        </wps:bodyPr>
                      </wps:wsp>
                      <wps:wsp>
                        <wps:cNvPr id="282" name="Rectangle 282"/>
                        <wps:cNvSpPr/>
                        <wps:spPr>
                          <a:xfrm>
                            <a:off x="857550" y="674543"/>
                            <a:ext cx="6543354" cy="160852"/>
                          </a:xfrm>
                          <a:prstGeom prst="rect">
                            <a:avLst/>
                          </a:prstGeom>
                          <a:ln>
                            <a:noFill/>
                          </a:ln>
                        </wps:spPr>
                        <wps:txbx>
                          <w:txbxContent>
                            <w:p w14:paraId="3A2D596C" w14:textId="77777777" w:rsidR="00A41391" w:rsidRDefault="00A41391" w:rsidP="009D683D">
                              <w:r>
                                <w:rPr>
                                  <w:rFonts w:ascii="Calibri" w:eastAsia="Calibri" w:hAnsi="Calibri" w:cs="Calibri"/>
                                  <w:color w:val="181717"/>
                                  <w:spacing w:val="109"/>
                                  <w:w w:val="110"/>
                                  <w:sz w:val="18"/>
                                </w:rPr>
                                <w:t xml:space="preserve"> </w:t>
                              </w:r>
                              <w:r>
                                <w:rPr>
                                  <w:rFonts w:ascii="Calibri" w:eastAsia="Calibri" w:hAnsi="Calibri" w:cs="Calibri"/>
                                  <w:color w:val="181717"/>
                                  <w:w w:val="110"/>
                                  <w:sz w:val="18"/>
                                </w:rPr>
                                <w:t>Undertake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systematic</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review</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of</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Australian</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POCT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models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to</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guide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the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development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of</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post-</w:t>
                              </w:r>
                            </w:p>
                          </w:txbxContent>
                        </wps:txbx>
                        <wps:bodyPr horzOverflow="overflow" vert="horz" lIns="0" tIns="0" rIns="0" bIns="0" rtlCol="0">
                          <a:noAutofit/>
                        </wps:bodyPr>
                      </wps:wsp>
                      <wps:wsp>
                        <wps:cNvPr id="283" name="Rectangle 283"/>
                        <wps:cNvSpPr/>
                        <wps:spPr>
                          <a:xfrm>
                            <a:off x="952800" y="826943"/>
                            <a:ext cx="6441502" cy="160852"/>
                          </a:xfrm>
                          <a:prstGeom prst="rect">
                            <a:avLst/>
                          </a:prstGeom>
                          <a:ln>
                            <a:noFill/>
                          </a:ln>
                        </wps:spPr>
                        <wps:txbx>
                          <w:txbxContent>
                            <w:p w14:paraId="512568E3" w14:textId="77777777" w:rsidR="00A41391" w:rsidRDefault="00A41391" w:rsidP="009D683D">
                              <w:r>
                                <w:rPr>
                                  <w:rFonts w:ascii="Calibri" w:eastAsia="Calibri" w:hAnsi="Calibri" w:cs="Calibri"/>
                                  <w:color w:val="181717"/>
                                  <w:w w:val="111"/>
                                  <w:sz w:val="18"/>
                                </w:rPr>
                                <w:t>transplant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care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POCT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program,</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comprising</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new</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POCT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measures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that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enable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the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monitoring</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of</w:t>
                              </w:r>
                              <w:r>
                                <w:rPr>
                                  <w:rFonts w:ascii="Calibri" w:eastAsia="Calibri" w:hAnsi="Calibri" w:cs="Calibri"/>
                                  <w:color w:val="181717"/>
                                  <w:spacing w:val="6"/>
                                  <w:w w:val="111"/>
                                  <w:sz w:val="18"/>
                                </w:rPr>
                                <w:t xml:space="preserve"> </w:t>
                              </w:r>
                            </w:p>
                          </w:txbxContent>
                        </wps:txbx>
                        <wps:bodyPr horzOverflow="overflow" vert="horz" lIns="0" tIns="0" rIns="0" bIns="0" rtlCol="0">
                          <a:noAutofit/>
                        </wps:bodyPr>
                      </wps:wsp>
                      <wps:wsp>
                        <wps:cNvPr id="284" name="Rectangle 284"/>
                        <wps:cNvSpPr/>
                        <wps:spPr>
                          <a:xfrm>
                            <a:off x="952800" y="979343"/>
                            <a:ext cx="5572105" cy="160852"/>
                          </a:xfrm>
                          <a:prstGeom prst="rect">
                            <a:avLst/>
                          </a:prstGeom>
                          <a:ln>
                            <a:noFill/>
                          </a:ln>
                        </wps:spPr>
                        <wps:txbx>
                          <w:txbxContent>
                            <w:p w14:paraId="5D4DC397" w14:textId="77777777" w:rsidR="00A41391" w:rsidRDefault="00A41391" w:rsidP="009D683D">
                              <w:r>
                                <w:rPr>
                                  <w:rFonts w:ascii="Calibri" w:eastAsia="Calibri" w:hAnsi="Calibri" w:cs="Calibri"/>
                                  <w:color w:val="181717"/>
                                  <w:w w:val="111"/>
                                  <w:sz w:val="18"/>
                                </w:rPr>
                                <w:t>renal</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function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immunosuppressive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drug</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levels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kidney</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transplant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recipients.</w:t>
                              </w:r>
                            </w:p>
                          </w:txbxContent>
                        </wps:txbx>
                        <wps:bodyPr horzOverflow="overflow" vert="horz" lIns="0" tIns="0" rIns="0" bIns="0" rtlCol="0">
                          <a:noAutofit/>
                        </wps:bodyPr>
                      </wps:wsp>
                      <wps:wsp>
                        <wps:cNvPr id="285" name="Shape 285"/>
                        <wps:cNvSpPr/>
                        <wps:spPr>
                          <a:xfrm>
                            <a:off x="648000" y="1171574"/>
                            <a:ext cx="209550" cy="209550"/>
                          </a:xfrm>
                          <a:custGeom>
                            <a:avLst/>
                            <a:gdLst/>
                            <a:ahLst/>
                            <a:cxnLst/>
                            <a:rect l="0" t="0" r="0" b="0"/>
                            <a:pathLst>
                              <a:path w="209550" h="209550">
                                <a:moveTo>
                                  <a:pt x="104775" y="0"/>
                                </a:moveTo>
                                <a:cubicBezTo>
                                  <a:pt x="162636" y="0"/>
                                  <a:pt x="209550" y="46914"/>
                                  <a:pt x="209550" y="104775"/>
                                </a:cubicBezTo>
                                <a:cubicBezTo>
                                  <a:pt x="209550" y="162636"/>
                                  <a:pt x="162636" y="209550"/>
                                  <a:pt x="104775" y="209550"/>
                                </a:cubicBezTo>
                                <a:cubicBezTo>
                                  <a:pt x="46914" y="209550"/>
                                  <a:pt x="0" y="162636"/>
                                  <a:pt x="0" y="104775"/>
                                </a:cubicBezTo>
                                <a:cubicBezTo>
                                  <a:pt x="0" y="46914"/>
                                  <a:pt x="46914" y="0"/>
                                  <a:pt x="104775" y="0"/>
                                </a:cubicBezTo>
                                <a:close/>
                              </a:path>
                            </a:pathLst>
                          </a:custGeom>
                          <a:solidFill>
                            <a:srgbClr val="FFFEFD"/>
                          </a:solidFill>
                          <a:ln w="0" cap="flat">
                            <a:noFill/>
                            <a:miter lim="127000"/>
                          </a:ln>
                          <a:effectLst/>
                        </wps:spPr>
                        <wps:bodyPr/>
                      </wps:wsp>
                      <wps:wsp>
                        <wps:cNvPr id="286" name="Rectangle 286"/>
                        <wps:cNvSpPr/>
                        <wps:spPr>
                          <a:xfrm>
                            <a:off x="702675" y="1217484"/>
                            <a:ext cx="133270" cy="154426"/>
                          </a:xfrm>
                          <a:prstGeom prst="rect">
                            <a:avLst/>
                          </a:prstGeom>
                          <a:ln>
                            <a:noFill/>
                          </a:ln>
                        </wps:spPr>
                        <wps:txbx>
                          <w:txbxContent>
                            <w:p w14:paraId="670E7E96" w14:textId="77777777" w:rsidR="00A41391" w:rsidRDefault="00A41391" w:rsidP="009D683D">
                              <w:r>
                                <w:rPr>
                                  <w:rFonts w:ascii="Calibri" w:eastAsia="Calibri" w:hAnsi="Calibri" w:cs="Calibri"/>
                                  <w:b/>
                                  <w:color w:val="181717"/>
                                  <w:w w:val="103"/>
                                  <w:sz w:val="15"/>
                                </w:rPr>
                                <w:t>18</w:t>
                              </w:r>
                            </w:p>
                          </w:txbxContent>
                        </wps:txbx>
                        <wps:bodyPr horzOverflow="overflow" vert="horz" lIns="0" tIns="0" rIns="0" bIns="0" rtlCol="0">
                          <a:noAutofit/>
                        </wps:bodyPr>
                      </wps:wsp>
                      <wps:wsp>
                        <wps:cNvPr id="287" name="Rectangle 287"/>
                        <wps:cNvSpPr/>
                        <wps:spPr>
                          <a:xfrm>
                            <a:off x="857550" y="1226993"/>
                            <a:ext cx="4819763" cy="160852"/>
                          </a:xfrm>
                          <a:prstGeom prst="rect">
                            <a:avLst/>
                          </a:prstGeom>
                          <a:ln>
                            <a:noFill/>
                          </a:ln>
                        </wps:spPr>
                        <wps:txbx>
                          <w:txbxContent>
                            <w:p w14:paraId="59854A3C" w14:textId="77777777" w:rsidR="00A41391" w:rsidRDefault="00A41391" w:rsidP="009D683D">
                              <w:r>
                                <w:rPr>
                                  <w:rFonts w:ascii="Calibri" w:eastAsia="Calibri" w:hAnsi="Calibri" w:cs="Calibri"/>
                                  <w:color w:val="181717"/>
                                  <w:spacing w:val="109"/>
                                  <w:w w:val="111"/>
                                  <w:sz w:val="18"/>
                                </w:rPr>
                                <w:t xml:space="preserve"> </w:t>
                              </w:r>
                              <w:r>
                                <w:rPr>
                                  <w:rFonts w:ascii="Calibri" w:eastAsia="Calibri" w:hAnsi="Calibri" w:cs="Calibri"/>
                                  <w:color w:val="181717"/>
                                  <w:w w:val="111"/>
                                  <w:sz w:val="18"/>
                                </w:rPr>
                                <w:t>Subsidise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POCT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tests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that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have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been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validated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by</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empirical</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evidence.</w:t>
                              </w:r>
                            </w:p>
                          </w:txbxContent>
                        </wps:txbx>
                        <wps:bodyPr horzOverflow="overflow" vert="horz" lIns="0" tIns="0" rIns="0" bIns="0" rtlCol="0">
                          <a:noAutofit/>
                        </wps:bodyPr>
                      </wps:wsp>
                      <wps:wsp>
                        <wps:cNvPr id="288" name="Shape 288"/>
                        <wps:cNvSpPr/>
                        <wps:spPr>
                          <a:xfrm>
                            <a:off x="648000" y="1419224"/>
                            <a:ext cx="209550" cy="209550"/>
                          </a:xfrm>
                          <a:custGeom>
                            <a:avLst/>
                            <a:gdLst/>
                            <a:ahLst/>
                            <a:cxnLst/>
                            <a:rect l="0" t="0" r="0" b="0"/>
                            <a:pathLst>
                              <a:path w="209550" h="209550">
                                <a:moveTo>
                                  <a:pt x="104775" y="0"/>
                                </a:moveTo>
                                <a:cubicBezTo>
                                  <a:pt x="162636" y="0"/>
                                  <a:pt x="209550" y="46914"/>
                                  <a:pt x="209550" y="104775"/>
                                </a:cubicBezTo>
                                <a:cubicBezTo>
                                  <a:pt x="209550" y="162636"/>
                                  <a:pt x="162636" y="209550"/>
                                  <a:pt x="104775" y="209550"/>
                                </a:cubicBezTo>
                                <a:cubicBezTo>
                                  <a:pt x="46914" y="209550"/>
                                  <a:pt x="0" y="162636"/>
                                  <a:pt x="0" y="104775"/>
                                </a:cubicBezTo>
                                <a:cubicBezTo>
                                  <a:pt x="0" y="46914"/>
                                  <a:pt x="46914" y="0"/>
                                  <a:pt x="104775" y="0"/>
                                </a:cubicBezTo>
                                <a:close/>
                              </a:path>
                            </a:pathLst>
                          </a:custGeom>
                          <a:solidFill>
                            <a:srgbClr val="FFFEFD"/>
                          </a:solidFill>
                          <a:ln w="0" cap="flat">
                            <a:noFill/>
                            <a:miter lim="127000"/>
                          </a:ln>
                          <a:effectLst/>
                        </wps:spPr>
                        <wps:bodyPr/>
                      </wps:wsp>
                      <wps:wsp>
                        <wps:cNvPr id="289" name="Rectangle 289"/>
                        <wps:cNvSpPr/>
                        <wps:spPr>
                          <a:xfrm>
                            <a:off x="703769" y="1465134"/>
                            <a:ext cx="130356" cy="154426"/>
                          </a:xfrm>
                          <a:prstGeom prst="rect">
                            <a:avLst/>
                          </a:prstGeom>
                          <a:ln>
                            <a:noFill/>
                          </a:ln>
                        </wps:spPr>
                        <wps:txbx>
                          <w:txbxContent>
                            <w:p w14:paraId="1689BC6D" w14:textId="77777777" w:rsidR="00A41391" w:rsidRDefault="00A41391" w:rsidP="009D683D">
                              <w:r>
                                <w:rPr>
                                  <w:rFonts w:ascii="Calibri" w:eastAsia="Calibri" w:hAnsi="Calibri" w:cs="Calibri"/>
                                  <w:b/>
                                  <w:color w:val="181717"/>
                                  <w:w w:val="101"/>
                                  <w:sz w:val="15"/>
                                </w:rPr>
                                <w:t>19</w:t>
                              </w:r>
                            </w:p>
                          </w:txbxContent>
                        </wps:txbx>
                        <wps:bodyPr horzOverflow="overflow" vert="horz" lIns="0" tIns="0" rIns="0" bIns="0" rtlCol="0">
                          <a:noAutofit/>
                        </wps:bodyPr>
                      </wps:wsp>
                      <wps:wsp>
                        <wps:cNvPr id="290" name="Rectangle 290"/>
                        <wps:cNvSpPr/>
                        <wps:spPr>
                          <a:xfrm>
                            <a:off x="857550" y="1474643"/>
                            <a:ext cx="6929483" cy="160852"/>
                          </a:xfrm>
                          <a:prstGeom prst="rect">
                            <a:avLst/>
                          </a:prstGeom>
                          <a:ln>
                            <a:noFill/>
                          </a:ln>
                        </wps:spPr>
                        <wps:txbx>
                          <w:txbxContent>
                            <w:p w14:paraId="6A558666" w14:textId="77777777" w:rsidR="00A41391" w:rsidRDefault="00A41391" w:rsidP="009D683D">
                              <w:r>
                                <w:rPr>
                                  <w:rFonts w:ascii="Calibri" w:eastAsia="Calibri" w:hAnsi="Calibri" w:cs="Calibri"/>
                                  <w:color w:val="181717"/>
                                  <w:spacing w:val="109"/>
                                  <w:w w:val="110"/>
                                  <w:sz w:val="18"/>
                                </w:rPr>
                                <w:t xml:space="preserve"> </w:t>
                              </w:r>
                              <w:r>
                                <w:rPr>
                                  <w:rFonts w:ascii="Calibri" w:eastAsia="Calibri" w:hAnsi="Calibri" w:cs="Calibri"/>
                                  <w:color w:val="181717"/>
                                  <w:w w:val="110"/>
                                  <w:sz w:val="18"/>
                                </w:rPr>
                                <w:t>Investigate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the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value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of</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telenephrology</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telepharmacy</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programs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for</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kidney</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transplant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recipients</w:t>
                              </w:r>
                              <w:r>
                                <w:rPr>
                                  <w:rFonts w:ascii="Calibri" w:eastAsia="Calibri" w:hAnsi="Calibri" w:cs="Calibri"/>
                                  <w:color w:val="181717"/>
                                  <w:spacing w:val="6"/>
                                  <w:w w:val="110"/>
                                  <w:sz w:val="18"/>
                                </w:rPr>
                                <w:t xml:space="preserve"> </w:t>
                              </w:r>
                            </w:p>
                          </w:txbxContent>
                        </wps:txbx>
                        <wps:bodyPr horzOverflow="overflow" vert="horz" lIns="0" tIns="0" rIns="0" bIns="0" rtlCol="0">
                          <a:noAutofit/>
                        </wps:bodyPr>
                      </wps:wsp>
                      <wps:wsp>
                        <wps:cNvPr id="291" name="Rectangle 291"/>
                        <wps:cNvSpPr/>
                        <wps:spPr>
                          <a:xfrm>
                            <a:off x="952800" y="1627043"/>
                            <a:ext cx="2208228" cy="160852"/>
                          </a:xfrm>
                          <a:prstGeom prst="rect">
                            <a:avLst/>
                          </a:prstGeom>
                          <a:ln>
                            <a:noFill/>
                          </a:ln>
                        </wps:spPr>
                        <wps:txbx>
                          <w:txbxContent>
                            <w:p w14:paraId="40814515" w14:textId="77777777" w:rsidR="00A41391" w:rsidRDefault="00A41391" w:rsidP="009D683D">
                              <w:r>
                                <w:rPr>
                                  <w:rFonts w:ascii="Calibri" w:eastAsia="Calibri" w:hAnsi="Calibri" w:cs="Calibri"/>
                                  <w:color w:val="181717"/>
                                  <w:w w:val="111"/>
                                  <w:sz w:val="18"/>
                                </w:rPr>
                                <w:t>living</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rural</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regional</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areas.</w:t>
                              </w:r>
                            </w:p>
                          </w:txbxContent>
                        </wps:txbx>
                        <wps:bodyPr horzOverflow="overflow" vert="horz" lIns="0" tIns="0" rIns="0" bIns="0" rtlCol="0">
                          <a:noAutofit/>
                        </wps:bodyPr>
                      </wps:wsp>
                      <wps:wsp>
                        <wps:cNvPr id="292" name="Shape 292"/>
                        <wps:cNvSpPr/>
                        <wps:spPr>
                          <a:xfrm>
                            <a:off x="648000" y="1819274"/>
                            <a:ext cx="209550" cy="209550"/>
                          </a:xfrm>
                          <a:custGeom>
                            <a:avLst/>
                            <a:gdLst/>
                            <a:ahLst/>
                            <a:cxnLst/>
                            <a:rect l="0" t="0" r="0" b="0"/>
                            <a:pathLst>
                              <a:path w="209550" h="209550">
                                <a:moveTo>
                                  <a:pt x="104775" y="0"/>
                                </a:moveTo>
                                <a:cubicBezTo>
                                  <a:pt x="162636" y="0"/>
                                  <a:pt x="209550" y="46914"/>
                                  <a:pt x="209550" y="104775"/>
                                </a:cubicBezTo>
                                <a:cubicBezTo>
                                  <a:pt x="209550" y="162636"/>
                                  <a:pt x="162636" y="209550"/>
                                  <a:pt x="104775" y="209550"/>
                                </a:cubicBezTo>
                                <a:cubicBezTo>
                                  <a:pt x="46914" y="209550"/>
                                  <a:pt x="0" y="162636"/>
                                  <a:pt x="0" y="104775"/>
                                </a:cubicBezTo>
                                <a:cubicBezTo>
                                  <a:pt x="0" y="46914"/>
                                  <a:pt x="46914" y="0"/>
                                  <a:pt x="104775" y="0"/>
                                </a:cubicBezTo>
                                <a:close/>
                              </a:path>
                            </a:pathLst>
                          </a:custGeom>
                          <a:solidFill>
                            <a:srgbClr val="FFFEFD"/>
                          </a:solidFill>
                          <a:ln w="0" cap="flat">
                            <a:noFill/>
                            <a:miter lim="127000"/>
                          </a:ln>
                          <a:effectLst/>
                        </wps:spPr>
                        <wps:bodyPr/>
                      </wps:wsp>
                      <wps:wsp>
                        <wps:cNvPr id="293" name="Rectangle 293"/>
                        <wps:cNvSpPr/>
                        <wps:spPr>
                          <a:xfrm>
                            <a:off x="692435" y="1865184"/>
                            <a:ext cx="160507" cy="154426"/>
                          </a:xfrm>
                          <a:prstGeom prst="rect">
                            <a:avLst/>
                          </a:prstGeom>
                          <a:ln>
                            <a:noFill/>
                          </a:ln>
                        </wps:spPr>
                        <wps:txbx>
                          <w:txbxContent>
                            <w:p w14:paraId="5FFF1FDA" w14:textId="77777777" w:rsidR="00A41391" w:rsidRDefault="00A41391" w:rsidP="009D683D">
                              <w:r>
                                <w:rPr>
                                  <w:rFonts w:ascii="Calibri" w:eastAsia="Calibri" w:hAnsi="Calibri" w:cs="Calibri"/>
                                  <w:b/>
                                  <w:color w:val="181717"/>
                                  <w:w w:val="124"/>
                                  <w:sz w:val="15"/>
                                </w:rPr>
                                <w:t>20</w:t>
                              </w:r>
                            </w:p>
                          </w:txbxContent>
                        </wps:txbx>
                        <wps:bodyPr horzOverflow="overflow" vert="horz" lIns="0" tIns="0" rIns="0" bIns="0" rtlCol="0">
                          <a:noAutofit/>
                        </wps:bodyPr>
                      </wps:wsp>
                      <wps:wsp>
                        <wps:cNvPr id="294" name="Rectangle 294"/>
                        <wps:cNvSpPr/>
                        <wps:spPr>
                          <a:xfrm>
                            <a:off x="857550" y="1874693"/>
                            <a:ext cx="6816380" cy="160852"/>
                          </a:xfrm>
                          <a:prstGeom prst="rect">
                            <a:avLst/>
                          </a:prstGeom>
                          <a:ln>
                            <a:noFill/>
                          </a:ln>
                        </wps:spPr>
                        <wps:txbx>
                          <w:txbxContent>
                            <w:p w14:paraId="175109E4" w14:textId="77777777" w:rsidR="00A41391" w:rsidRDefault="00A41391" w:rsidP="009D683D">
                              <w:r>
                                <w:rPr>
                                  <w:rFonts w:ascii="Calibri" w:eastAsia="Calibri" w:hAnsi="Calibri" w:cs="Calibri"/>
                                  <w:color w:val="181717"/>
                                  <w:spacing w:val="109"/>
                                  <w:w w:val="110"/>
                                  <w:sz w:val="18"/>
                                </w:rPr>
                                <w:t xml:space="preserve"> </w:t>
                              </w:r>
                              <w:r>
                                <w:rPr>
                                  <w:rFonts w:ascii="Calibri" w:eastAsia="Calibri" w:hAnsi="Calibri" w:cs="Calibri"/>
                                  <w:color w:val="181717"/>
                                  <w:w w:val="110"/>
                                  <w:sz w:val="18"/>
                                </w:rPr>
                                <w:t>Design</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implement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remote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community</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pharmacist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trial</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to</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facilitate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improved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awareness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p>
                          </w:txbxContent>
                        </wps:txbx>
                        <wps:bodyPr horzOverflow="overflow" vert="horz" lIns="0" tIns="0" rIns="0" bIns="0" rtlCol="0">
                          <a:noAutofit/>
                        </wps:bodyPr>
                      </wps:wsp>
                      <wps:wsp>
                        <wps:cNvPr id="295" name="Rectangle 295"/>
                        <wps:cNvSpPr/>
                        <wps:spPr>
                          <a:xfrm>
                            <a:off x="952800" y="2027093"/>
                            <a:ext cx="6627269" cy="160852"/>
                          </a:xfrm>
                          <a:prstGeom prst="rect">
                            <a:avLst/>
                          </a:prstGeom>
                          <a:ln>
                            <a:noFill/>
                          </a:ln>
                        </wps:spPr>
                        <wps:txbx>
                          <w:txbxContent>
                            <w:p w14:paraId="4C0A19F8" w14:textId="77777777" w:rsidR="00A41391" w:rsidRDefault="00A41391" w:rsidP="009D683D">
                              <w:r>
                                <w:rPr>
                                  <w:rFonts w:ascii="Calibri" w:eastAsia="Calibri" w:hAnsi="Calibri" w:cs="Calibri"/>
                                  <w:color w:val="181717"/>
                                  <w:w w:val="111"/>
                                  <w:sz w:val="18"/>
                                </w:rPr>
                                <w:t>knowledge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of</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transplant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related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maintenance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requirements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among</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Indigenous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kidney</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transplant</w:t>
                              </w:r>
                              <w:r>
                                <w:rPr>
                                  <w:rFonts w:ascii="Calibri" w:eastAsia="Calibri" w:hAnsi="Calibri" w:cs="Calibri"/>
                                  <w:color w:val="181717"/>
                                  <w:spacing w:val="6"/>
                                  <w:w w:val="111"/>
                                  <w:sz w:val="18"/>
                                </w:rPr>
                                <w:t xml:space="preserve"> </w:t>
                              </w:r>
                            </w:p>
                          </w:txbxContent>
                        </wps:txbx>
                        <wps:bodyPr horzOverflow="overflow" vert="horz" lIns="0" tIns="0" rIns="0" bIns="0" rtlCol="0">
                          <a:noAutofit/>
                        </wps:bodyPr>
                      </wps:wsp>
                      <wps:wsp>
                        <wps:cNvPr id="296" name="Rectangle 296"/>
                        <wps:cNvSpPr/>
                        <wps:spPr>
                          <a:xfrm>
                            <a:off x="952800" y="2179493"/>
                            <a:ext cx="1788352" cy="160852"/>
                          </a:xfrm>
                          <a:prstGeom prst="rect">
                            <a:avLst/>
                          </a:prstGeom>
                          <a:ln>
                            <a:noFill/>
                          </a:ln>
                        </wps:spPr>
                        <wps:txbx>
                          <w:txbxContent>
                            <w:p w14:paraId="39610CCA" w14:textId="77777777" w:rsidR="00A41391" w:rsidRDefault="00A41391" w:rsidP="009D683D">
                              <w:r>
                                <w:rPr>
                                  <w:rFonts w:ascii="Calibri" w:eastAsia="Calibri" w:hAnsi="Calibri" w:cs="Calibri"/>
                                  <w:color w:val="181717"/>
                                  <w:w w:val="111"/>
                                  <w:sz w:val="18"/>
                                </w:rPr>
                                <w:t>candidates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recipients.</w:t>
                              </w:r>
                            </w:p>
                          </w:txbxContent>
                        </wps:txbx>
                        <wps:bodyPr horzOverflow="overflow" vert="horz" lIns="0" tIns="0" rIns="0" bIns="0" rtlCol="0">
                          <a:noAutofit/>
                        </wps:bodyPr>
                      </wps:wsp>
                      <wps:wsp>
                        <wps:cNvPr id="297" name="Shape 297"/>
                        <wps:cNvSpPr/>
                        <wps:spPr>
                          <a:xfrm>
                            <a:off x="648000" y="2371724"/>
                            <a:ext cx="209550" cy="209550"/>
                          </a:xfrm>
                          <a:custGeom>
                            <a:avLst/>
                            <a:gdLst/>
                            <a:ahLst/>
                            <a:cxnLst/>
                            <a:rect l="0" t="0" r="0" b="0"/>
                            <a:pathLst>
                              <a:path w="209550" h="209550">
                                <a:moveTo>
                                  <a:pt x="104775" y="0"/>
                                </a:moveTo>
                                <a:cubicBezTo>
                                  <a:pt x="162636" y="0"/>
                                  <a:pt x="209550" y="46914"/>
                                  <a:pt x="209550" y="104775"/>
                                </a:cubicBezTo>
                                <a:cubicBezTo>
                                  <a:pt x="209550" y="162636"/>
                                  <a:pt x="162636" y="209550"/>
                                  <a:pt x="104775" y="209550"/>
                                </a:cubicBezTo>
                                <a:cubicBezTo>
                                  <a:pt x="46914" y="209550"/>
                                  <a:pt x="0" y="162636"/>
                                  <a:pt x="0" y="104775"/>
                                </a:cubicBezTo>
                                <a:cubicBezTo>
                                  <a:pt x="0" y="46914"/>
                                  <a:pt x="46914" y="0"/>
                                  <a:pt x="104775" y="0"/>
                                </a:cubicBezTo>
                                <a:close/>
                              </a:path>
                            </a:pathLst>
                          </a:custGeom>
                          <a:solidFill>
                            <a:srgbClr val="FFFEFD"/>
                          </a:solidFill>
                          <a:ln w="0" cap="flat">
                            <a:noFill/>
                            <a:miter lim="127000"/>
                          </a:ln>
                          <a:effectLst/>
                        </wps:spPr>
                        <wps:bodyPr/>
                      </wps:wsp>
                      <wps:wsp>
                        <wps:cNvPr id="298" name="Rectangle 298"/>
                        <wps:cNvSpPr/>
                        <wps:spPr>
                          <a:xfrm>
                            <a:off x="706007" y="2417634"/>
                            <a:ext cx="124402" cy="154426"/>
                          </a:xfrm>
                          <a:prstGeom prst="rect">
                            <a:avLst/>
                          </a:prstGeom>
                          <a:ln>
                            <a:noFill/>
                          </a:ln>
                        </wps:spPr>
                        <wps:txbx>
                          <w:txbxContent>
                            <w:p w14:paraId="051DA5C4" w14:textId="77777777" w:rsidR="00A41391" w:rsidRDefault="00A41391" w:rsidP="009D683D">
                              <w:r>
                                <w:rPr>
                                  <w:rFonts w:ascii="Calibri" w:eastAsia="Calibri" w:hAnsi="Calibri" w:cs="Calibri"/>
                                  <w:b/>
                                  <w:color w:val="181717"/>
                                  <w:w w:val="96"/>
                                  <w:sz w:val="15"/>
                                </w:rPr>
                                <w:t>21</w:t>
                              </w:r>
                            </w:p>
                          </w:txbxContent>
                        </wps:txbx>
                        <wps:bodyPr horzOverflow="overflow" vert="horz" lIns="0" tIns="0" rIns="0" bIns="0" rtlCol="0">
                          <a:noAutofit/>
                        </wps:bodyPr>
                      </wps:wsp>
                      <wps:wsp>
                        <wps:cNvPr id="299" name="Rectangle 299"/>
                        <wps:cNvSpPr/>
                        <wps:spPr>
                          <a:xfrm>
                            <a:off x="857550" y="2427143"/>
                            <a:ext cx="5887240" cy="160852"/>
                          </a:xfrm>
                          <a:prstGeom prst="rect">
                            <a:avLst/>
                          </a:prstGeom>
                          <a:ln>
                            <a:noFill/>
                          </a:ln>
                        </wps:spPr>
                        <wps:txbx>
                          <w:txbxContent>
                            <w:p w14:paraId="39A3425A" w14:textId="77777777" w:rsidR="00A41391" w:rsidRDefault="00A41391" w:rsidP="009D683D">
                              <w:r>
                                <w:rPr>
                                  <w:rFonts w:ascii="Calibri" w:eastAsia="Calibri" w:hAnsi="Calibri" w:cs="Calibri"/>
                                  <w:color w:val="181717"/>
                                  <w:spacing w:val="109"/>
                                  <w:w w:val="111"/>
                                  <w:sz w:val="18"/>
                                </w:rPr>
                                <w:t xml:space="preserve"> </w:t>
                              </w:r>
                              <w:r>
                                <w:rPr>
                                  <w:rFonts w:ascii="Calibri" w:eastAsia="Calibri" w:hAnsi="Calibri" w:cs="Calibri"/>
                                  <w:color w:val="181717"/>
                                  <w:w w:val="111"/>
                                  <w:sz w:val="18"/>
                                </w:rPr>
                                <w:t>Subsidise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clinical</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pharmacy</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outpatient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consults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for</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Indigenous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transplant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recipients.</w:t>
                              </w:r>
                              <w:r>
                                <w:rPr>
                                  <w:rFonts w:ascii="Calibri" w:eastAsia="Calibri" w:hAnsi="Calibri" w:cs="Calibri"/>
                                  <w:color w:val="181717"/>
                                  <w:spacing w:val="6"/>
                                  <w:w w:val="111"/>
                                  <w:sz w:val="18"/>
                                </w:rPr>
                                <w:t xml:space="preserve"> </w:t>
                              </w:r>
                            </w:p>
                          </w:txbxContent>
                        </wps:txbx>
                        <wps:bodyPr horzOverflow="overflow" vert="horz" lIns="0" tIns="0" rIns="0" bIns="0" rtlCol="0">
                          <a:noAutofit/>
                        </wps:bodyPr>
                      </wps:wsp>
                      <wps:wsp>
                        <wps:cNvPr id="300" name="Shape 300"/>
                        <wps:cNvSpPr/>
                        <wps:spPr>
                          <a:xfrm>
                            <a:off x="648000" y="2619374"/>
                            <a:ext cx="209550" cy="209550"/>
                          </a:xfrm>
                          <a:custGeom>
                            <a:avLst/>
                            <a:gdLst/>
                            <a:ahLst/>
                            <a:cxnLst/>
                            <a:rect l="0" t="0" r="0" b="0"/>
                            <a:pathLst>
                              <a:path w="209550" h="209550">
                                <a:moveTo>
                                  <a:pt x="104775" y="0"/>
                                </a:moveTo>
                                <a:cubicBezTo>
                                  <a:pt x="162636" y="0"/>
                                  <a:pt x="209550" y="46914"/>
                                  <a:pt x="209550" y="104775"/>
                                </a:cubicBezTo>
                                <a:cubicBezTo>
                                  <a:pt x="209550" y="162636"/>
                                  <a:pt x="162636" y="209550"/>
                                  <a:pt x="104775" y="209550"/>
                                </a:cubicBezTo>
                                <a:cubicBezTo>
                                  <a:pt x="46914" y="209550"/>
                                  <a:pt x="0" y="162636"/>
                                  <a:pt x="0" y="104775"/>
                                </a:cubicBezTo>
                                <a:cubicBezTo>
                                  <a:pt x="0" y="46914"/>
                                  <a:pt x="46914" y="0"/>
                                  <a:pt x="104775" y="0"/>
                                </a:cubicBezTo>
                                <a:close/>
                              </a:path>
                            </a:pathLst>
                          </a:custGeom>
                          <a:solidFill>
                            <a:srgbClr val="FFFEFD"/>
                          </a:solidFill>
                          <a:ln w="0" cap="flat">
                            <a:noFill/>
                            <a:miter lim="127000"/>
                          </a:ln>
                          <a:effectLst/>
                        </wps:spPr>
                        <wps:bodyPr/>
                      </wps:wsp>
                      <wps:wsp>
                        <wps:cNvPr id="301" name="Rectangle 301"/>
                        <wps:cNvSpPr/>
                        <wps:spPr>
                          <a:xfrm>
                            <a:off x="696577" y="2665284"/>
                            <a:ext cx="149485" cy="154426"/>
                          </a:xfrm>
                          <a:prstGeom prst="rect">
                            <a:avLst/>
                          </a:prstGeom>
                          <a:ln>
                            <a:noFill/>
                          </a:ln>
                        </wps:spPr>
                        <wps:txbx>
                          <w:txbxContent>
                            <w:p w14:paraId="5FB093DC" w14:textId="77777777" w:rsidR="00A41391" w:rsidRDefault="00A41391" w:rsidP="009D683D">
                              <w:r>
                                <w:rPr>
                                  <w:rFonts w:ascii="Calibri" w:eastAsia="Calibri" w:hAnsi="Calibri" w:cs="Calibri"/>
                                  <w:b/>
                                  <w:color w:val="181717"/>
                                  <w:w w:val="116"/>
                                  <w:sz w:val="15"/>
                                </w:rPr>
                                <w:t>22</w:t>
                              </w:r>
                            </w:p>
                          </w:txbxContent>
                        </wps:txbx>
                        <wps:bodyPr horzOverflow="overflow" vert="horz" lIns="0" tIns="0" rIns="0" bIns="0" rtlCol="0">
                          <a:noAutofit/>
                        </wps:bodyPr>
                      </wps:wsp>
                      <wps:wsp>
                        <wps:cNvPr id="302" name="Rectangle 302"/>
                        <wps:cNvSpPr/>
                        <wps:spPr>
                          <a:xfrm>
                            <a:off x="857550" y="2674793"/>
                            <a:ext cx="6762566" cy="160852"/>
                          </a:xfrm>
                          <a:prstGeom prst="rect">
                            <a:avLst/>
                          </a:prstGeom>
                          <a:ln>
                            <a:noFill/>
                          </a:ln>
                        </wps:spPr>
                        <wps:txbx>
                          <w:txbxContent>
                            <w:p w14:paraId="744713C4" w14:textId="77777777" w:rsidR="00A41391" w:rsidRDefault="00A41391" w:rsidP="009D683D">
                              <w:r>
                                <w:rPr>
                                  <w:rFonts w:ascii="Calibri" w:eastAsia="Calibri" w:hAnsi="Calibri" w:cs="Calibri"/>
                                  <w:color w:val="181717"/>
                                  <w:spacing w:val="109"/>
                                  <w:w w:val="111"/>
                                  <w:sz w:val="18"/>
                                </w:rPr>
                                <w:t xml:space="preserve"> </w:t>
                              </w:r>
                              <w:r>
                                <w:rPr>
                                  <w:rFonts w:ascii="Calibri" w:eastAsia="Calibri" w:hAnsi="Calibri" w:cs="Calibri"/>
                                  <w:color w:val="181717"/>
                                  <w:w w:val="111"/>
                                  <w:sz w:val="18"/>
                                </w:rPr>
                                <w:t>Broaden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the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list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of</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eligible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prescribers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for</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the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Closing</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the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Gap</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(CTG)</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PBS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Co-payment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Measure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to</w:t>
                              </w:r>
                              <w:r>
                                <w:rPr>
                                  <w:rFonts w:ascii="Calibri" w:eastAsia="Calibri" w:hAnsi="Calibri" w:cs="Calibri"/>
                                  <w:color w:val="181717"/>
                                  <w:spacing w:val="6"/>
                                  <w:w w:val="111"/>
                                  <w:sz w:val="18"/>
                                </w:rPr>
                                <w:t xml:space="preserve"> </w:t>
                              </w:r>
                            </w:p>
                          </w:txbxContent>
                        </wps:txbx>
                        <wps:bodyPr horzOverflow="overflow" vert="horz" lIns="0" tIns="0" rIns="0" bIns="0" rtlCol="0">
                          <a:noAutofit/>
                        </wps:bodyPr>
                      </wps:wsp>
                      <wps:wsp>
                        <wps:cNvPr id="303" name="Rectangle 303"/>
                        <wps:cNvSpPr/>
                        <wps:spPr>
                          <a:xfrm>
                            <a:off x="952800" y="2827193"/>
                            <a:ext cx="1816323" cy="160852"/>
                          </a:xfrm>
                          <a:prstGeom prst="rect">
                            <a:avLst/>
                          </a:prstGeom>
                          <a:ln>
                            <a:noFill/>
                          </a:ln>
                        </wps:spPr>
                        <wps:txbx>
                          <w:txbxContent>
                            <w:p w14:paraId="33F4669A" w14:textId="77777777" w:rsidR="00A41391" w:rsidRDefault="00A41391" w:rsidP="009D683D">
                              <w:r>
                                <w:rPr>
                                  <w:rFonts w:ascii="Calibri" w:eastAsia="Calibri" w:hAnsi="Calibri" w:cs="Calibri"/>
                                  <w:color w:val="181717"/>
                                  <w:w w:val="111"/>
                                  <w:sz w:val="18"/>
                                </w:rPr>
                                <w:t>include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transplant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centres.</w:t>
                              </w:r>
                            </w:p>
                          </w:txbxContent>
                        </wps:txbx>
                        <wps:bodyPr horzOverflow="overflow" vert="horz" lIns="0" tIns="0" rIns="0" bIns="0" rtlCol="0">
                          <a:noAutofit/>
                        </wps:bodyPr>
                      </wps:wsp>
                      <wps:wsp>
                        <wps:cNvPr id="2584" name="Rectangle 2584"/>
                        <wps:cNvSpPr/>
                        <wps:spPr>
                          <a:xfrm>
                            <a:off x="648000" y="3128466"/>
                            <a:ext cx="6677931" cy="216196"/>
                          </a:xfrm>
                          <a:prstGeom prst="rect">
                            <a:avLst/>
                          </a:prstGeom>
                          <a:ln>
                            <a:noFill/>
                          </a:ln>
                        </wps:spPr>
                        <wps:txbx>
                          <w:txbxContent>
                            <w:p w14:paraId="1CDAEAC2" w14:textId="77777777" w:rsidR="00A41391" w:rsidRDefault="00A41391" w:rsidP="009D683D">
                              <w:r>
                                <w:rPr>
                                  <w:rFonts w:ascii="Calibri" w:eastAsia="Calibri" w:hAnsi="Calibri" w:cs="Calibri"/>
                                  <w:b/>
                                  <w:color w:val="181717"/>
                                  <w:w w:val="131"/>
                                  <w:sz w:val="21"/>
                                  <w:u w:val="single" w:color="007FAC"/>
                                </w:rPr>
                                <w:t>Researching,</w:t>
                              </w:r>
                              <w:r>
                                <w:rPr>
                                  <w:rFonts w:ascii="Calibri" w:eastAsia="Calibri" w:hAnsi="Calibri" w:cs="Calibri"/>
                                  <w:b/>
                                  <w:color w:val="181717"/>
                                  <w:spacing w:val="12"/>
                                  <w:w w:val="131"/>
                                  <w:sz w:val="21"/>
                                  <w:u w:val="single" w:color="007FAC"/>
                                </w:rPr>
                                <w:t xml:space="preserve"> </w:t>
                              </w:r>
                              <w:r>
                                <w:rPr>
                                  <w:rFonts w:ascii="Calibri" w:eastAsia="Calibri" w:hAnsi="Calibri" w:cs="Calibri"/>
                                  <w:b/>
                                  <w:color w:val="181717"/>
                                  <w:w w:val="131"/>
                                  <w:sz w:val="21"/>
                                  <w:u w:val="single" w:color="007FAC"/>
                                </w:rPr>
                                <w:t>developing</w:t>
                              </w:r>
                              <w:r>
                                <w:rPr>
                                  <w:rFonts w:ascii="Calibri" w:eastAsia="Calibri" w:hAnsi="Calibri" w:cs="Calibri"/>
                                  <w:b/>
                                  <w:color w:val="181717"/>
                                  <w:spacing w:val="12"/>
                                  <w:w w:val="131"/>
                                  <w:sz w:val="21"/>
                                  <w:u w:val="single" w:color="007FAC"/>
                                </w:rPr>
                                <w:t xml:space="preserve"> </w:t>
                              </w:r>
                              <w:r>
                                <w:rPr>
                                  <w:rFonts w:ascii="Calibri" w:eastAsia="Calibri" w:hAnsi="Calibri" w:cs="Calibri"/>
                                  <w:b/>
                                  <w:color w:val="181717"/>
                                  <w:w w:val="131"/>
                                  <w:sz w:val="21"/>
                                  <w:u w:val="single" w:color="007FAC"/>
                                </w:rPr>
                                <w:t>&amp;</w:t>
                              </w:r>
                              <w:r>
                                <w:rPr>
                                  <w:rFonts w:ascii="Calibri" w:eastAsia="Calibri" w:hAnsi="Calibri" w:cs="Calibri"/>
                                  <w:b/>
                                  <w:color w:val="181717"/>
                                  <w:spacing w:val="12"/>
                                  <w:w w:val="131"/>
                                  <w:sz w:val="21"/>
                                  <w:u w:val="single" w:color="007FAC"/>
                                </w:rPr>
                                <w:t xml:space="preserve"> </w:t>
                              </w:r>
                              <w:r>
                                <w:rPr>
                                  <w:rFonts w:ascii="Calibri" w:eastAsia="Calibri" w:hAnsi="Calibri" w:cs="Calibri"/>
                                  <w:b/>
                                  <w:color w:val="181717"/>
                                  <w:w w:val="131"/>
                                  <w:sz w:val="21"/>
                                  <w:u w:val="single" w:color="007FAC"/>
                                </w:rPr>
                                <w:t>implementing</w:t>
                              </w:r>
                              <w:r>
                                <w:rPr>
                                  <w:rFonts w:ascii="Calibri" w:eastAsia="Calibri" w:hAnsi="Calibri" w:cs="Calibri"/>
                                  <w:b/>
                                  <w:color w:val="181717"/>
                                  <w:spacing w:val="12"/>
                                  <w:w w:val="131"/>
                                  <w:sz w:val="21"/>
                                  <w:u w:val="single" w:color="007FAC"/>
                                </w:rPr>
                                <w:t xml:space="preserve"> </w:t>
                              </w:r>
                              <w:r>
                                <w:rPr>
                                  <w:rFonts w:ascii="Calibri" w:eastAsia="Calibri" w:hAnsi="Calibri" w:cs="Calibri"/>
                                  <w:b/>
                                  <w:color w:val="181717"/>
                                  <w:w w:val="131"/>
                                  <w:sz w:val="21"/>
                                  <w:u w:val="single" w:color="007FAC"/>
                                </w:rPr>
                                <w:t>clinical</w:t>
                              </w:r>
                              <w:r>
                                <w:rPr>
                                  <w:rFonts w:ascii="Calibri" w:eastAsia="Calibri" w:hAnsi="Calibri" w:cs="Calibri"/>
                                  <w:b/>
                                  <w:color w:val="181717"/>
                                  <w:spacing w:val="12"/>
                                  <w:w w:val="131"/>
                                  <w:sz w:val="21"/>
                                  <w:u w:val="single" w:color="007FAC"/>
                                </w:rPr>
                                <w:t xml:space="preserve"> </w:t>
                              </w:r>
                              <w:r>
                                <w:rPr>
                                  <w:rFonts w:ascii="Calibri" w:eastAsia="Calibri" w:hAnsi="Calibri" w:cs="Calibri"/>
                                  <w:b/>
                                  <w:color w:val="181717"/>
                                  <w:w w:val="131"/>
                                  <w:sz w:val="21"/>
                                  <w:u w:val="single" w:color="007FAC"/>
                                </w:rPr>
                                <w:t>guidelines</w:t>
                              </w:r>
                              <w:r>
                                <w:rPr>
                                  <w:rFonts w:ascii="Calibri" w:eastAsia="Calibri" w:hAnsi="Calibri" w:cs="Calibri"/>
                                  <w:b/>
                                  <w:color w:val="181717"/>
                                  <w:spacing w:val="12"/>
                                  <w:w w:val="131"/>
                                  <w:sz w:val="21"/>
                                  <w:u w:val="single" w:color="007FAC"/>
                                </w:rPr>
                                <w:t xml:space="preserve"> </w:t>
                              </w:r>
                              <w:r>
                                <w:rPr>
                                  <w:rFonts w:ascii="Calibri" w:eastAsia="Calibri" w:hAnsi="Calibri" w:cs="Calibri"/>
                                  <w:b/>
                                  <w:color w:val="181717"/>
                                  <w:w w:val="131"/>
                                  <w:sz w:val="21"/>
                                  <w:u w:val="single" w:color="007FAC"/>
                                </w:rPr>
                                <w:t>&amp;</w:t>
                              </w:r>
                              <w:r>
                                <w:rPr>
                                  <w:rFonts w:ascii="Calibri" w:eastAsia="Calibri" w:hAnsi="Calibri" w:cs="Calibri"/>
                                  <w:b/>
                                  <w:color w:val="181717"/>
                                  <w:spacing w:val="12"/>
                                  <w:w w:val="131"/>
                                  <w:sz w:val="21"/>
                                  <w:u w:val="single" w:color="007FAC"/>
                                </w:rPr>
                                <w:t xml:space="preserve"> </w:t>
                              </w:r>
                              <w:r>
                                <w:rPr>
                                  <w:rFonts w:ascii="Calibri" w:eastAsia="Calibri" w:hAnsi="Calibri" w:cs="Calibri"/>
                                  <w:b/>
                                  <w:color w:val="181717"/>
                                  <w:w w:val="131"/>
                                  <w:sz w:val="21"/>
                                  <w:u w:val="single" w:color="007FAC"/>
                                </w:rPr>
                                <w:t>protocols</w:t>
                              </w:r>
                            </w:p>
                          </w:txbxContent>
                        </wps:txbx>
                        <wps:bodyPr horzOverflow="overflow" vert="horz" lIns="0" tIns="0" rIns="0" bIns="0" rtlCol="0">
                          <a:noAutofit/>
                        </wps:bodyPr>
                      </wps:wsp>
                      <wps:wsp>
                        <wps:cNvPr id="305" name="Shape 305"/>
                        <wps:cNvSpPr/>
                        <wps:spPr>
                          <a:xfrm>
                            <a:off x="648000" y="3362324"/>
                            <a:ext cx="209550" cy="209550"/>
                          </a:xfrm>
                          <a:custGeom>
                            <a:avLst/>
                            <a:gdLst/>
                            <a:ahLst/>
                            <a:cxnLst/>
                            <a:rect l="0" t="0" r="0" b="0"/>
                            <a:pathLst>
                              <a:path w="209550" h="209550">
                                <a:moveTo>
                                  <a:pt x="104775" y="0"/>
                                </a:moveTo>
                                <a:cubicBezTo>
                                  <a:pt x="162636" y="0"/>
                                  <a:pt x="209550" y="46914"/>
                                  <a:pt x="209550" y="104775"/>
                                </a:cubicBezTo>
                                <a:cubicBezTo>
                                  <a:pt x="209550" y="162636"/>
                                  <a:pt x="162636" y="209550"/>
                                  <a:pt x="104775" y="209550"/>
                                </a:cubicBezTo>
                                <a:cubicBezTo>
                                  <a:pt x="46914" y="209550"/>
                                  <a:pt x="0" y="162636"/>
                                  <a:pt x="0" y="104775"/>
                                </a:cubicBezTo>
                                <a:cubicBezTo>
                                  <a:pt x="0" y="46914"/>
                                  <a:pt x="46914" y="0"/>
                                  <a:pt x="104775" y="0"/>
                                </a:cubicBezTo>
                                <a:close/>
                              </a:path>
                            </a:pathLst>
                          </a:custGeom>
                          <a:solidFill>
                            <a:srgbClr val="FFFEFD"/>
                          </a:solidFill>
                          <a:ln w="0" cap="flat">
                            <a:noFill/>
                            <a:miter lim="127000"/>
                          </a:ln>
                          <a:effectLst/>
                        </wps:spPr>
                        <wps:bodyPr/>
                      </wps:wsp>
                      <wps:wsp>
                        <wps:cNvPr id="306" name="Rectangle 306"/>
                        <wps:cNvSpPr/>
                        <wps:spPr>
                          <a:xfrm>
                            <a:off x="696483" y="3408234"/>
                            <a:ext cx="149739" cy="154426"/>
                          </a:xfrm>
                          <a:prstGeom prst="rect">
                            <a:avLst/>
                          </a:prstGeom>
                          <a:ln>
                            <a:noFill/>
                          </a:ln>
                        </wps:spPr>
                        <wps:txbx>
                          <w:txbxContent>
                            <w:p w14:paraId="0D9DDB02" w14:textId="77777777" w:rsidR="00A41391" w:rsidRDefault="00A41391" w:rsidP="009D683D">
                              <w:r>
                                <w:rPr>
                                  <w:rFonts w:ascii="Calibri" w:eastAsia="Calibri" w:hAnsi="Calibri" w:cs="Calibri"/>
                                  <w:b/>
                                  <w:color w:val="181717"/>
                                  <w:w w:val="116"/>
                                  <w:sz w:val="15"/>
                                </w:rPr>
                                <w:t>23</w:t>
                              </w:r>
                            </w:p>
                          </w:txbxContent>
                        </wps:txbx>
                        <wps:bodyPr horzOverflow="overflow" vert="horz" lIns="0" tIns="0" rIns="0" bIns="0" rtlCol="0">
                          <a:noAutofit/>
                        </wps:bodyPr>
                      </wps:wsp>
                      <wps:wsp>
                        <wps:cNvPr id="307" name="Rectangle 307"/>
                        <wps:cNvSpPr/>
                        <wps:spPr>
                          <a:xfrm>
                            <a:off x="857550" y="3417744"/>
                            <a:ext cx="6768799" cy="160852"/>
                          </a:xfrm>
                          <a:prstGeom prst="rect">
                            <a:avLst/>
                          </a:prstGeom>
                          <a:ln>
                            <a:noFill/>
                          </a:ln>
                        </wps:spPr>
                        <wps:txbx>
                          <w:txbxContent>
                            <w:p w14:paraId="7E95A23D" w14:textId="77777777" w:rsidR="00A41391" w:rsidRDefault="00A41391" w:rsidP="009D683D">
                              <w:r>
                                <w:rPr>
                                  <w:rFonts w:ascii="Calibri" w:eastAsia="Calibri" w:hAnsi="Calibri" w:cs="Calibri"/>
                                  <w:color w:val="181717"/>
                                  <w:spacing w:val="109"/>
                                  <w:w w:val="110"/>
                                  <w:sz w:val="18"/>
                                </w:rPr>
                                <w:t xml:space="preserve"> </w:t>
                              </w:r>
                              <w:r>
                                <w:rPr>
                                  <w:rFonts w:ascii="Calibri" w:eastAsia="Calibri" w:hAnsi="Calibri" w:cs="Calibri"/>
                                  <w:color w:val="181717"/>
                                  <w:w w:val="110"/>
                                  <w:sz w:val="18"/>
                                </w:rPr>
                                <w:t>Systematically</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review</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the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evidence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on</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the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outcomes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of</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kidney</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transplantation</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with</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live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donor</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w:t>
                              </w:r>
                              <w:r>
                                <w:rPr>
                                  <w:rFonts w:ascii="Calibri" w:eastAsia="Calibri" w:hAnsi="Calibri" w:cs="Calibri"/>
                                  <w:color w:val="181717"/>
                                  <w:spacing w:val="6"/>
                                  <w:w w:val="110"/>
                                  <w:sz w:val="18"/>
                                </w:rPr>
                                <w:t xml:space="preserve"> </w:t>
                              </w:r>
                            </w:p>
                          </w:txbxContent>
                        </wps:txbx>
                        <wps:bodyPr horzOverflow="overflow" vert="horz" lIns="0" tIns="0" rIns="0" bIns="0" rtlCol="0">
                          <a:noAutofit/>
                        </wps:bodyPr>
                      </wps:wsp>
                      <wps:wsp>
                        <wps:cNvPr id="308" name="Rectangle 308"/>
                        <wps:cNvSpPr/>
                        <wps:spPr>
                          <a:xfrm>
                            <a:off x="952800" y="3570144"/>
                            <a:ext cx="4689786" cy="160852"/>
                          </a:xfrm>
                          <a:prstGeom prst="rect">
                            <a:avLst/>
                          </a:prstGeom>
                          <a:ln>
                            <a:noFill/>
                          </a:ln>
                        </wps:spPr>
                        <wps:txbx>
                          <w:txbxContent>
                            <w:p w14:paraId="7526CC72" w14:textId="77777777" w:rsidR="00A41391" w:rsidRDefault="00A41391" w:rsidP="009D683D">
                              <w:r>
                                <w:rPr>
                                  <w:rFonts w:ascii="Calibri" w:eastAsia="Calibri" w:hAnsi="Calibri" w:cs="Calibri"/>
                                  <w:color w:val="181717"/>
                                  <w:w w:val="110"/>
                                  <w:sz w:val="18"/>
                                </w:rPr>
                                <w:t>the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Indigenous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patient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population</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to</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inform</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health</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service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protocols.</w:t>
                              </w:r>
                            </w:p>
                          </w:txbxContent>
                        </wps:txbx>
                        <wps:bodyPr horzOverflow="overflow" vert="horz" lIns="0" tIns="0" rIns="0" bIns="0" rtlCol="0">
                          <a:noAutofit/>
                        </wps:bodyPr>
                      </wps:wsp>
                      <wps:wsp>
                        <wps:cNvPr id="309" name="Shape 309"/>
                        <wps:cNvSpPr/>
                        <wps:spPr>
                          <a:xfrm>
                            <a:off x="648000" y="3762374"/>
                            <a:ext cx="209550" cy="209550"/>
                          </a:xfrm>
                          <a:custGeom>
                            <a:avLst/>
                            <a:gdLst/>
                            <a:ahLst/>
                            <a:cxnLst/>
                            <a:rect l="0" t="0" r="0" b="0"/>
                            <a:pathLst>
                              <a:path w="209550" h="209550">
                                <a:moveTo>
                                  <a:pt x="104775" y="0"/>
                                </a:moveTo>
                                <a:cubicBezTo>
                                  <a:pt x="162636" y="0"/>
                                  <a:pt x="209550" y="46914"/>
                                  <a:pt x="209550" y="104775"/>
                                </a:cubicBezTo>
                                <a:cubicBezTo>
                                  <a:pt x="209550" y="162636"/>
                                  <a:pt x="162636" y="209550"/>
                                  <a:pt x="104775" y="209550"/>
                                </a:cubicBezTo>
                                <a:cubicBezTo>
                                  <a:pt x="46914" y="209550"/>
                                  <a:pt x="0" y="162636"/>
                                  <a:pt x="0" y="104775"/>
                                </a:cubicBezTo>
                                <a:cubicBezTo>
                                  <a:pt x="0" y="46914"/>
                                  <a:pt x="46914" y="0"/>
                                  <a:pt x="104775" y="0"/>
                                </a:cubicBezTo>
                                <a:close/>
                              </a:path>
                            </a:pathLst>
                          </a:custGeom>
                          <a:solidFill>
                            <a:srgbClr val="FFFEFD"/>
                          </a:solidFill>
                          <a:ln w="0" cap="flat">
                            <a:noFill/>
                            <a:miter lim="127000"/>
                          </a:ln>
                          <a:effectLst/>
                        </wps:spPr>
                        <wps:bodyPr/>
                      </wps:wsp>
                      <wps:wsp>
                        <wps:cNvPr id="310" name="Rectangle 310"/>
                        <wps:cNvSpPr/>
                        <wps:spPr>
                          <a:xfrm>
                            <a:off x="692339" y="3808284"/>
                            <a:ext cx="160760" cy="154426"/>
                          </a:xfrm>
                          <a:prstGeom prst="rect">
                            <a:avLst/>
                          </a:prstGeom>
                          <a:ln>
                            <a:noFill/>
                          </a:ln>
                        </wps:spPr>
                        <wps:txbx>
                          <w:txbxContent>
                            <w:p w14:paraId="3BF55D9A" w14:textId="77777777" w:rsidR="00A41391" w:rsidRDefault="00A41391" w:rsidP="009D683D">
                              <w:r>
                                <w:rPr>
                                  <w:rFonts w:ascii="Calibri" w:eastAsia="Calibri" w:hAnsi="Calibri" w:cs="Calibri"/>
                                  <w:b/>
                                  <w:color w:val="181717"/>
                                  <w:spacing w:val="-2"/>
                                  <w:w w:val="125"/>
                                  <w:sz w:val="15"/>
                                </w:rPr>
                                <w:t>24</w:t>
                              </w:r>
                            </w:p>
                          </w:txbxContent>
                        </wps:txbx>
                        <wps:bodyPr horzOverflow="overflow" vert="horz" lIns="0" tIns="0" rIns="0" bIns="0" rtlCol="0">
                          <a:noAutofit/>
                        </wps:bodyPr>
                      </wps:wsp>
                      <wps:wsp>
                        <wps:cNvPr id="311" name="Rectangle 311"/>
                        <wps:cNvSpPr/>
                        <wps:spPr>
                          <a:xfrm>
                            <a:off x="857550" y="3817794"/>
                            <a:ext cx="6293891" cy="160852"/>
                          </a:xfrm>
                          <a:prstGeom prst="rect">
                            <a:avLst/>
                          </a:prstGeom>
                          <a:ln>
                            <a:noFill/>
                          </a:ln>
                        </wps:spPr>
                        <wps:txbx>
                          <w:txbxContent>
                            <w:p w14:paraId="697885E5" w14:textId="77777777" w:rsidR="00A41391" w:rsidRDefault="00A41391" w:rsidP="009D683D">
                              <w:r>
                                <w:rPr>
                                  <w:rFonts w:ascii="Calibri" w:eastAsia="Calibri" w:hAnsi="Calibri" w:cs="Calibri"/>
                                  <w:color w:val="181717"/>
                                  <w:spacing w:val="109"/>
                                  <w:w w:val="109"/>
                                  <w:sz w:val="18"/>
                                </w:rPr>
                                <w:t xml:space="preserve"> </w:t>
                              </w:r>
                              <w:r>
                                <w:rPr>
                                  <w:rFonts w:ascii="Calibri" w:eastAsia="Calibri" w:hAnsi="Calibri" w:cs="Calibri"/>
                                  <w:color w:val="181717"/>
                                  <w:w w:val="109"/>
                                  <w:sz w:val="18"/>
                                </w:rPr>
                                <w:t>E</w:t>
                              </w:r>
                              <w:r>
                                <w:rPr>
                                  <w:rFonts w:ascii="Calibri" w:eastAsia="Calibri" w:hAnsi="Calibri" w:cs="Calibri"/>
                                  <w:color w:val="181717"/>
                                  <w:spacing w:val="-41"/>
                                  <w:w w:val="109"/>
                                  <w:sz w:val="18"/>
                                </w:rPr>
                                <w:t xml:space="preserve"> </w:t>
                              </w:r>
                              <w:r>
                                <w:rPr>
                                  <w:rFonts w:ascii="Calibri" w:eastAsia="Calibri" w:hAnsi="Calibri" w:cs="Calibri"/>
                                  <w:color w:val="181717"/>
                                  <w:w w:val="109"/>
                                  <w:sz w:val="18"/>
                                </w:rPr>
                                <w:t>valuate</w:t>
                              </w:r>
                              <w:r>
                                <w:rPr>
                                  <w:rFonts w:ascii="Calibri" w:eastAsia="Calibri" w:hAnsi="Calibri" w:cs="Calibri"/>
                                  <w:color w:val="181717"/>
                                  <w:spacing w:val="6"/>
                                  <w:w w:val="109"/>
                                  <w:sz w:val="18"/>
                                </w:rPr>
                                <w:t xml:space="preserve"> </w:t>
                              </w:r>
                              <w:r>
                                <w:rPr>
                                  <w:rFonts w:ascii="Calibri" w:eastAsia="Calibri" w:hAnsi="Calibri" w:cs="Calibri"/>
                                  <w:color w:val="181717"/>
                                  <w:w w:val="109"/>
                                  <w:sz w:val="18"/>
                                </w:rPr>
                                <w:t>the</w:t>
                              </w:r>
                              <w:r>
                                <w:rPr>
                                  <w:rFonts w:ascii="Calibri" w:eastAsia="Calibri" w:hAnsi="Calibri" w:cs="Calibri"/>
                                  <w:color w:val="181717"/>
                                  <w:spacing w:val="6"/>
                                  <w:w w:val="109"/>
                                  <w:sz w:val="18"/>
                                </w:rPr>
                                <w:t xml:space="preserve"> </w:t>
                              </w:r>
                              <w:r>
                                <w:rPr>
                                  <w:rFonts w:ascii="Calibri" w:eastAsia="Calibri" w:hAnsi="Calibri" w:cs="Calibri"/>
                                  <w:color w:val="181717"/>
                                  <w:w w:val="109"/>
                                  <w:sz w:val="18"/>
                                </w:rPr>
                                <w:t>impact</w:t>
                              </w:r>
                              <w:r>
                                <w:rPr>
                                  <w:rFonts w:ascii="Calibri" w:eastAsia="Calibri" w:hAnsi="Calibri" w:cs="Calibri"/>
                                  <w:color w:val="181717"/>
                                  <w:spacing w:val="6"/>
                                  <w:w w:val="109"/>
                                  <w:sz w:val="18"/>
                                </w:rPr>
                                <w:t xml:space="preserve"> </w:t>
                              </w:r>
                              <w:r>
                                <w:rPr>
                                  <w:rFonts w:ascii="Calibri" w:eastAsia="Calibri" w:hAnsi="Calibri" w:cs="Calibri"/>
                                  <w:color w:val="181717"/>
                                  <w:w w:val="109"/>
                                  <w:sz w:val="18"/>
                                </w:rPr>
                                <w:t>of</w:t>
                              </w:r>
                              <w:r>
                                <w:rPr>
                                  <w:rFonts w:ascii="Calibri" w:eastAsia="Calibri" w:hAnsi="Calibri" w:cs="Calibri"/>
                                  <w:color w:val="181717"/>
                                  <w:spacing w:val="6"/>
                                  <w:w w:val="109"/>
                                  <w:sz w:val="18"/>
                                </w:rPr>
                                <w:t xml:space="preserve"> </w:t>
                              </w:r>
                              <w:r>
                                <w:rPr>
                                  <w:rFonts w:ascii="Calibri" w:eastAsia="Calibri" w:hAnsi="Calibri" w:cs="Calibri"/>
                                  <w:color w:val="181717"/>
                                  <w:w w:val="109"/>
                                  <w:sz w:val="18"/>
                                </w:rPr>
                                <w:t>immunological</w:t>
                              </w:r>
                              <w:r>
                                <w:rPr>
                                  <w:rFonts w:ascii="Calibri" w:eastAsia="Calibri" w:hAnsi="Calibri" w:cs="Calibri"/>
                                  <w:color w:val="181717"/>
                                  <w:spacing w:val="6"/>
                                  <w:w w:val="109"/>
                                  <w:sz w:val="18"/>
                                </w:rPr>
                                <w:t xml:space="preserve"> </w:t>
                              </w:r>
                              <w:r>
                                <w:rPr>
                                  <w:rFonts w:ascii="Calibri" w:eastAsia="Calibri" w:hAnsi="Calibri" w:cs="Calibri"/>
                                  <w:color w:val="181717"/>
                                  <w:w w:val="109"/>
                                  <w:sz w:val="18"/>
                                </w:rPr>
                                <w:t>matching</w:t>
                              </w:r>
                              <w:r>
                                <w:rPr>
                                  <w:rFonts w:ascii="Calibri" w:eastAsia="Calibri" w:hAnsi="Calibri" w:cs="Calibri"/>
                                  <w:color w:val="181717"/>
                                  <w:spacing w:val="6"/>
                                  <w:w w:val="109"/>
                                  <w:sz w:val="18"/>
                                </w:rPr>
                                <w:t xml:space="preserve"> </w:t>
                              </w:r>
                              <w:r>
                                <w:rPr>
                                  <w:rFonts w:ascii="Calibri" w:eastAsia="Calibri" w:hAnsi="Calibri" w:cs="Calibri"/>
                                  <w:color w:val="181717"/>
                                  <w:w w:val="109"/>
                                  <w:sz w:val="18"/>
                                </w:rPr>
                                <w:t>at</w:t>
                              </w:r>
                              <w:r>
                                <w:rPr>
                                  <w:rFonts w:ascii="Calibri" w:eastAsia="Calibri" w:hAnsi="Calibri" w:cs="Calibri"/>
                                  <w:color w:val="181717"/>
                                  <w:spacing w:val="6"/>
                                  <w:w w:val="109"/>
                                  <w:sz w:val="18"/>
                                </w:rPr>
                                <w:t xml:space="preserve"> </w:t>
                              </w:r>
                              <w:r>
                                <w:rPr>
                                  <w:rFonts w:ascii="Calibri" w:eastAsia="Calibri" w:hAnsi="Calibri" w:cs="Calibri"/>
                                  <w:color w:val="181717"/>
                                  <w:w w:val="109"/>
                                  <w:sz w:val="18"/>
                                </w:rPr>
                                <w:t>the</w:t>
                              </w:r>
                              <w:r>
                                <w:rPr>
                                  <w:rFonts w:ascii="Calibri" w:eastAsia="Calibri" w:hAnsi="Calibri" w:cs="Calibri"/>
                                  <w:color w:val="181717"/>
                                  <w:spacing w:val="6"/>
                                  <w:w w:val="109"/>
                                  <w:sz w:val="18"/>
                                </w:rPr>
                                <w:t xml:space="preserve"> </w:t>
                              </w:r>
                              <w:r>
                                <w:rPr>
                                  <w:rFonts w:ascii="Calibri" w:eastAsia="Calibri" w:hAnsi="Calibri" w:cs="Calibri"/>
                                  <w:color w:val="181717"/>
                                  <w:w w:val="109"/>
                                  <w:sz w:val="18"/>
                                </w:rPr>
                                <w:t>epitope</w:t>
                              </w:r>
                              <w:r>
                                <w:rPr>
                                  <w:rFonts w:ascii="Calibri" w:eastAsia="Calibri" w:hAnsi="Calibri" w:cs="Calibri"/>
                                  <w:color w:val="181717"/>
                                  <w:spacing w:val="6"/>
                                  <w:w w:val="109"/>
                                  <w:sz w:val="18"/>
                                </w:rPr>
                                <w:t xml:space="preserve"> </w:t>
                              </w:r>
                              <w:r>
                                <w:rPr>
                                  <w:rFonts w:ascii="Calibri" w:eastAsia="Calibri" w:hAnsi="Calibri" w:cs="Calibri"/>
                                  <w:color w:val="181717"/>
                                  <w:w w:val="109"/>
                                  <w:sz w:val="18"/>
                                </w:rPr>
                                <w:t>(eplet)</w:t>
                              </w:r>
                              <w:r>
                                <w:rPr>
                                  <w:rFonts w:ascii="Calibri" w:eastAsia="Calibri" w:hAnsi="Calibri" w:cs="Calibri"/>
                                  <w:color w:val="181717"/>
                                  <w:spacing w:val="6"/>
                                  <w:w w:val="109"/>
                                  <w:sz w:val="18"/>
                                </w:rPr>
                                <w:t xml:space="preserve"> </w:t>
                              </w:r>
                              <w:r>
                                <w:rPr>
                                  <w:rFonts w:ascii="Calibri" w:eastAsia="Calibri" w:hAnsi="Calibri" w:cs="Calibri"/>
                                  <w:color w:val="181717"/>
                                  <w:w w:val="109"/>
                                  <w:sz w:val="18"/>
                                </w:rPr>
                                <w:t>level</w:t>
                              </w:r>
                              <w:r>
                                <w:rPr>
                                  <w:rFonts w:ascii="Calibri" w:eastAsia="Calibri" w:hAnsi="Calibri" w:cs="Calibri"/>
                                  <w:color w:val="181717"/>
                                  <w:spacing w:val="6"/>
                                  <w:w w:val="109"/>
                                  <w:sz w:val="18"/>
                                </w:rPr>
                                <w:t xml:space="preserve"> </w:t>
                              </w:r>
                              <w:r>
                                <w:rPr>
                                  <w:rFonts w:ascii="Calibri" w:eastAsia="Calibri" w:hAnsi="Calibri" w:cs="Calibri"/>
                                  <w:color w:val="181717"/>
                                  <w:w w:val="109"/>
                                  <w:sz w:val="18"/>
                                </w:rPr>
                                <w:t>for</w:t>
                              </w:r>
                              <w:r>
                                <w:rPr>
                                  <w:rFonts w:ascii="Calibri" w:eastAsia="Calibri" w:hAnsi="Calibri" w:cs="Calibri"/>
                                  <w:color w:val="181717"/>
                                  <w:spacing w:val="6"/>
                                  <w:w w:val="109"/>
                                  <w:sz w:val="18"/>
                                </w:rPr>
                                <w:t xml:space="preserve"> </w:t>
                              </w:r>
                              <w:r>
                                <w:rPr>
                                  <w:rFonts w:ascii="Calibri" w:eastAsia="Calibri" w:hAnsi="Calibri" w:cs="Calibri"/>
                                  <w:color w:val="181717"/>
                                  <w:w w:val="109"/>
                                  <w:sz w:val="18"/>
                                </w:rPr>
                                <w:t>allocation</w:t>
                              </w:r>
                              <w:r>
                                <w:rPr>
                                  <w:rFonts w:ascii="Calibri" w:eastAsia="Calibri" w:hAnsi="Calibri" w:cs="Calibri"/>
                                  <w:color w:val="181717"/>
                                  <w:spacing w:val="6"/>
                                  <w:w w:val="109"/>
                                  <w:sz w:val="18"/>
                                </w:rPr>
                                <w:t xml:space="preserve"> </w:t>
                              </w:r>
                              <w:r>
                                <w:rPr>
                                  <w:rFonts w:ascii="Calibri" w:eastAsia="Calibri" w:hAnsi="Calibri" w:cs="Calibri"/>
                                  <w:color w:val="181717"/>
                                  <w:w w:val="109"/>
                                  <w:sz w:val="18"/>
                                </w:rPr>
                                <w:t>of</w:t>
                              </w:r>
                              <w:r>
                                <w:rPr>
                                  <w:rFonts w:ascii="Calibri" w:eastAsia="Calibri" w:hAnsi="Calibri" w:cs="Calibri"/>
                                  <w:color w:val="181717"/>
                                  <w:spacing w:val="6"/>
                                  <w:w w:val="109"/>
                                  <w:sz w:val="18"/>
                                </w:rPr>
                                <w:t xml:space="preserve"> </w:t>
                              </w:r>
                            </w:p>
                          </w:txbxContent>
                        </wps:txbx>
                        <wps:bodyPr horzOverflow="overflow" vert="horz" lIns="0" tIns="0" rIns="0" bIns="0" rtlCol="0">
                          <a:noAutofit/>
                        </wps:bodyPr>
                      </wps:wsp>
                      <wps:wsp>
                        <wps:cNvPr id="312" name="Rectangle 312"/>
                        <wps:cNvSpPr/>
                        <wps:spPr>
                          <a:xfrm>
                            <a:off x="952800" y="3970194"/>
                            <a:ext cx="1699724" cy="160852"/>
                          </a:xfrm>
                          <a:prstGeom prst="rect">
                            <a:avLst/>
                          </a:prstGeom>
                          <a:ln>
                            <a:noFill/>
                          </a:ln>
                        </wps:spPr>
                        <wps:txbx>
                          <w:txbxContent>
                            <w:p w14:paraId="04522351" w14:textId="77777777" w:rsidR="00A41391" w:rsidRDefault="00A41391" w:rsidP="009D683D">
                              <w:r>
                                <w:rPr>
                                  <w:rFonts w:ascii="Calibri" w:eastAsia="Calibri" w:hAnsi="Calibri" w:cs="Calibri"/>
                                  <w:color w:val="181717"/>
                                  <w:w w:val="112"/>
                                  <w:sz w:val="18"/>
                                </w:rPr>
                                <w:t>deceased</w:t>
                              </w:r>
                              <w:r>
                                <w:rPr>
                                  <w:rFonts w:ascii="Calibri" w:eastAsia="Calibri" w:hAnsi="Calibri" w:cs="Calibri"/>
                                  <w:color w:val="181717"/>
                                  <w:spacing w:val="6"/>
                                  <w:w w:val="112"/>
                                  <w:sz w:val="18"/>
                                </w:rPr>
                                <w:t xml:space="preserve"> </w:t>
                              </w:r>
                              <w:r>
                                <w:rPr>
                                  <w:rFonts w:ascii="Calibri" w:eastAsia="Calibri" w:hAnsi="Calibri" w:cs="Calibri"/>
                                  <w:color w:val="181717"/>
                                  <w:w w:val="112"/>
                                  <w:sz w:val="18"/>
                                </w:rPr>
                                <w:t>donor</w:t>
                              </w:r>
                              <w:r>
                                <w:rPr>
                                  <w:rFonts w:ascii="Calibri" w:eastAsia="Calibri" w:hAnsi="Calibri" w:cs="Calibri"/>
                                  <w:color w:val="181717"/>
                                  <w:spacing w:val="6"/>
                                  <w:w w:val="112"/>
                                  <w:sz w:val="18"/>
                                </w:rPr>
                                <w:t xml:space="preserve"> </w:t>
                              </w:r>
                              <w:r>
                                <w:rPr>
                                  <w:rFonts w:ascii="Calibri" w:eastAsia="Calibri" w:hAnsi="Calibri" w:cs="Calibri"/>
                                  <w:color w:val="181717"/>
                                  <w:w w:val="112"/>
                                  <w:sz w:val="18"/>
                                </w:rPr>
                                <w:t>kidneys.</w:t>
                              </w:r>
                            </w:p>
                          </w:txbxContent>
                        </wps:txbx>
                        <wps:bodyPr horzOverflow="overflow" vert="horz" lIns="0" tIns="0" rIns="0" bIns="0" rtlCol="0">
                          <a:noAutofit/>
                        </wps:bodyPr>
                      </wps:wsp>
                      <wps:wsp>
                        <wps:cNvPr id="313" name="Shape 313"/>
                        <wps:cNvSpPr/>
                        <wps:spPr>
                          <a:xfrm>
                            <a:off x="648000" y="4162423"/>
                            <a:ext cx="209550" cy="209550"/>
                          </a:xfrm>
                          <a:custGeom>
                            <a:avLst/>
                            <a:gdLst/>
                            <a:ahLst/>
                            <a:cxnLst/>
                            <a:rect l="0" t="0" r="0" b="0"/>
                            <a:pathLst>
                              <a:path w="209550" h="209550">
                                <a:moveTo>
                                  <a:pt x="104775" y="0"/>
                                </a:moveTo>
                                <a:cubicBezTo>
                                  <a:pt x="162636" y="0"/>
                                  <a:pt x="209550" y="46914"/>
                                  <a:pt x="209550" y="104775"/>
                                </a:cubicBezTo>
                                <a:cubicBezTo>
                                  <a:pt x="209550" y="162636"/>
                                  <a:pt x="162636" y="209550"/>
                                  <a:pt x="104775" y="209550"/>
                                </a:cubicBezTo>
                                <a:cubicBezTo>
                                  <a:pt x="46914" y="209550"/>
                                  <a:pt x="0" y="162636"/>
                                  <a:pt x="0" y="104775"/>
                                </a:cubicBezTo>
                                <a:cubicBezTo>
                                  <a:pt x="0" y="46914"/>
                                  <a:pt x="46914" y="0"/>
                                  <a:pt x="104775" y="0"/>
                                </a:cubicBezTo>
                                <a:close/>
                              </a:path>
                            </a:pathLst>
                          </a:custGeom>
                          <a:solidFill>
                            <a:srgbClr val="FFFEFD"/>
                          </a:solidFill>
                          <a:ln w="0" cap="flat">
                            <a:noFill/>
                            <a:miter lim="127000"/>
                          </a:ln>
                          <a:effectLst/>
                        </wps:spPr>
                        <wps:bodyPr/>
                      </wps:wsp>
                      <wps:wsp>
                        <wps:cNvPr id="314" name="Rectangle 314"/>
                        <wps:cNvSpPr/>
                        <wps:spPr>
                          <a:xfrm>
                            <a:off x="696340" y="4208334"/>
                            <a:ext cx="150119" cy="154426"/>
                          </a:xfrm>
                          <a:prstGeom prst="rect">
                            <a:avLst/>
                          </a:prstGeom>
                          <a:ln>
                            <a:noFill/>
                          </a:ln>
                        </wps:spPr>
                        <wps:txbx>
                          <w:txbxContent>
                            <w:p w14:paraId="4A8C8EB9" w14:textId="77777777" w:rsidR="00A41391" w:rsidRDefault="00A41391" w:rsidP="009D683D">
                              <w:r>
                                <w:rPr>
                                  <w:rFonts w:ascii="Calibri" w:eastAsia="Calibri" w:hAnsi="Calibri" w:cs="Calibri"/>
                                  <w:b/>
                                  <w:color w:val="181717"/>
                                  <w:w w:val="116"/>
                                  <w:sz w:val="15"/>
                                </w:rPr>
                                <w:t>25</w:t>
                              </w:r>
                            </w:p>
                          </w:txbxContent>
                        </wps:txbx>
                        <wps:bodyPr horzOverflow="overflow" vert="horz" lIns="0" tIns="0" rIns="0" bIns="0" rtlCol="0">
                          <a:noAutofit/>
                        </wps:bodyPr>
                      </wps:wsp>
                      <wps:wsp>
                        <wps:cNvPr id="315" name="Rectangle 315"/>
                        <wps:cNvSpPr/>
                        <wps:spPr>
                          <a:xfrm>
                            <a:off x="857550" y="4217844"/>
                            <a:ext cx="6827326" cy="160852"/>
                          </a:xfrm>
                          <a:prstGeom prst="rect">
                            <a:avLst/>
                          </a:prstGeom>
                          <a:ln>
                            <a:noFill/>
                          </a:ln>
                        </wps:spPr>
                        <wps:txbx>
                          <w:txbxContent>
                            <w:p w14:paraId="40B521AA" w14:textId="77777777" w:rsidR="00A41391" w:rsidRDefault="00A41391" w:rsidP="009D683D">
                              <w:r>
                                <w:rPr>
                                  <w:rFonts w:ascii="Calibri" w:eastAsia="Calibri" w:hAnsi="Calibri" w:cs="Calibri"/>
                                  <w:color w:val="181717"/>
                                  <w:spacing w:val="109"/>
                                  <w:w w:val="111"/>
                                  <w:sz w:val="18"/>
                                </w:rPr>
                                <w:t xml:space="preserve"> </w:t>
                              </w:r>
                              <w:r>
                                <w:rPr>
                                  <w:rFonts w:ascii="Calibri" w:eastAsia="Calibri" w:hAnsi="Calibri" w:cs="Calibri"/>
                                  <w:color w:val="181717"/>
                                  <w:w w:val="111"/>
                                  <w:sz w:val="18"/>
                                </w:rPr>
                                <w:t>E</w:t>
                              </w:r>
                              <w:r>
                                <w:rPr>
                                  <w:rFonts w:ascii="Calibri" w:eastAsia="Calibri" w:hAnsi="Calibri" w:cs="Calibri"/>
                                  <w:color w:val="181717"/>
                                  <w:spacing w:val="-41"/>
                                  <w:w w:val="111"/>
                                  <w:sz w:val="18"/>
                                </w:rPr>
                                <w:t xml:space="preserve"> </w:t>
                              </w:r>
                              <w:r>
                                <w:rPr>
                                  <w:rFonts w:ascii="Calibri" w:eastAsia="Calibri" w:hAnsi="Calibri" w:cs="Calibri"/>
                                  <w:color w:val="181717"/>
                                  <w:w w:val="111"/>
                                  <w:sz w:val="18"/>
                                </w:rPr>
                                <w:t>stablish</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national</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dose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administration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aid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protocol</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consistent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format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for</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drug</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information.</w:t>
                              </w:r>
                            </w:p>
                          </w:txbxContent>
                        </wps:txbx>
                        <wps:bodyPr horzOverflow="overflow" vert="horz" lIns="0" tIns="0" rIns="0" bIns="0" rtlCol="0">
                          <a:noAutofit/>
                        </wps:bodyPr>
                      </wps:wsp>
                      <wps:wsp>
                        <wps:cNvPr id="316" name="Shape 316"/>
                        <wps:cNvSpPr/>
                        <wps:spPr>
                          <a:xfrm>
                            <a:off x="648000" y="4410073"/>
                            <a:ext cx="209550" cy="209550"/>
                          </a:xfrm>
                          <a:custGeom>
                            <a:avLst/>
                            <a:gdLst/>
                            <a:ahLst/>
                            <a:cxnLst/>
                            <a:rect l="0" t="0" r="0" b="0"/>
                            <a:pathLst>
                              <a:path w="209550" h="209550">
                                <a:moveTo>
                                  <a:pt x="104775" y="0"/>
                                </a:moveTo>
                                <a:cubicBezTo>
                                  <a:pt x="162636" y="0"/>
                                  <a:pt x="209550" y="46914"/>
                                  <a:pt x="209550" y="104775"/>
                                </a:cubicBezTo>
                                <a:cubicBezTo>
                                  <a:pt x="209550" y="162636"/>
                                  <a:pt x="162636" y="209550"/>
                                  <a:pt x="104775" y="209550"/>
                                </a:cubicBezTo>
                                <a:cubicBezTo>
                                  <a:pt x="46914" y="209550"/>
                                  <a:pt x="0" y="162636"/>
                                  <a:pt x="0" y="104775"/>
                                </a:cubicBezTo>
                                <a:cubicBezTo>
                                  <a:pt x="0" y="46914"/>
                                  <a:pt x="46914" y="0"/>
                                  <a:pt x="104775" y="0"/>
                                </a:cubicBezTo>
                                <a:close/>
                              </a:path>
                            </a:pathLst>
                          </a:custGeom>
                          <a:solidFill>
                            <a:srgbClr val="FFFEFD"/>
                          </a:solidFill>
                          <a:ln w="0" cap="flat">
                            <a:noFill/>
                            <a:miter lim="127000"/>
                          </a:ln>
                          <a:effectLst/>
                        </wps:spPr>
                        <wps:bodyPr/>
                      </wps:wsp>
                      <wps:wsp>
                        <wps:cNvPr id="317" name="Rectangle 317"/>
                        <wps:cNvSpPr/>
                        <wps:spPr>
                          <a:xfrm>
                            <a:off x="694435" y="4455984"/>
                            <a:ext cx="155186" cy="154426"/>
                          </a:xfrm>
                          <a:prstGeom prst="rect">
                            <a:avLst/>
                          </a:prstGeom>
                          <a:ln>
                            <a:noFill/>
                          </a:ln>
                        </wps:spPr>
                        <wps:txbx>
                          <w:txbxContent>
                            <w:p w14:paraId="50883D26" w14:textId="77777777" w:rsidR="00A41391" w:rsidRDefault="00A41391" w:rsidP="009D683D">
                              <w:r>
                                <w:rPr>
                                  <w:rFonts w:ascii="Calibri" w:eastAsia="Calibri" w:hAnsi="Calibri" w:cs="Calibri"/>
                                  <w:b/>
                                  <w:color w:val="181717"/>
                                  <w:w w:val="120"/>
                                  <w:sz w:val="15"/>
                                </w:rPr>
                                <w:t>26</w:t>
                              </w:r>
                            </w:p>
                          </w:txbxContent>
                        </wps:txbx>
                        <wps:bodyPr horzOverflow="overflow" vert="horz" lIns="0" tIns="0" rIns="0" bIns="0" rtlCol="0">
                          <a:noAutofit/>
                        </wps:bodyPr>
                      </wps:wsp>
                      <wps:wsp>
                        <wps:cNvPr id="318" name="Rectangle 318"/>
                        <wps:cNvSpPr/>
                        <wps:spPr>
                          <a:xfrm>
                            <a:off x="857550" y="4465494"/>
                            <a:ext cx="6648856" cy="160852"/>
                          </a:xfrm>
                          <a:prstGeom prst="rect">
                            <a:avLst/>
                          </a:prstGeom>
                          <a:ln>
                            <a:noFill/>
                          </a:ln>
                        </wps:spPr>
                        <wps:txbx>
                          <w:txbxContent>
                            <w:p w14:paraId="043FF2B9" w14:textId="77777777" w:rsidR="00A41391" w:rsidRDefault="00A41391" w:rsidP="009D683D">
                              <w:r>
                                <w:rPr>
                                  <w:rFonts w:ascii="Calibri" w:eastAsia="Calibri" w:hAnsi="Calibri" w:cs="Calibri"/>
                                  <w:color w:val="181717"/>
                                  <w:spacing w:val="109"/>
                                  <w:w w:val="111"/>
                                  <w:sz w:val="18"/>
                                </w:rPr>
                                <w:t xml:space="preserve"> </w:t>
                              </w:r>
                              <w:r>
                                <w:rPr>
                                  <w:rFonts w:ascii="Calibri" w:eastAsia="Calibri" w:hAnsi="Calibri" w:cs="Calibri"/>
                                  <w:color w:val="181717"/>
                                  <w:w w:val="111"/>
                                  <w:sz w:val="18"/>
                                </w:rPr>
                                <w:t>Implement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evaluate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novel,</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long</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acting</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immunosuppressive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agents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Indigenous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transplant</w:t>
                              </w:r>
                              <w:r>
                                <w:rPr>
                                  <w:rFonts w:ascii="Calibri" w:eastAsia="Calibri" w:hAnsi="Calibri" w:cs="Calibri"/>
                                  <w:color w:val="181717"/>
                                  <w:spacing w:val="6"/>
                                  <w:w w:val="111"/>
                                  <w:sz w:val="18"/>
                                </w:rPr>
                                <w:t xml:space="preserve"> </w:t>
                              </w:r>
                            </w:p>
                          </w:txbxContent>
                        </wps:txbx>
                        <wps:bodyPr horzOverflow="overflow" vert="horz" lIns="0" tIns="0" rIns="0" bIns="0" rtlCol="0">
                          <a:noAutofit/>
                        </wps:bodyPr>
                      </wps:wsp>
                      <wps:wsp>
                        <wps:cNvPr id="319" name="Rectangle 319"/>
                        <wps:cNvSpPr/>
                        <wps:spPr>
                          <a:xfrm>
                            <a:off x="952800" y="4617894"/>
                            <a:ext cx="705064" cy="160852"/>
                          </a:xfrm>
                          <a:prstGeom prst="rect">
                            <a:avLst/>
                          </a:prstGeom>
                          <a:ln>
                            <a:noFill/>
                          </a:ln>
                        </wps:spPr>
                        <wps:txbx>
                          <w:txbxContent>
                            <w:p w14:paraId="103F25F6" w14:textId="77777777" w:rsidR="00A41391" w:rsidRDefault="00A41391" w:rsidP="009D683D">
                              <w:r>
                                <w:rPr>
                                  <w:rFonts w:ascii="Calibri" w:eastAsia="Calibri" w:hAnsi="Calibri" w:cs="Calibri"/>
                                  <w:color w:val="181717"/>
                                  <w:w w:val="110"/>
                                  <w:sz w:val="18"/>
                                </w:rPr>
                                <w:t>recipients.</w:t>
                              </w:r>
                            </w:p>
                          </w:txbxContent>
                        </wps:txbx>
                        <wps:bodyPr horzOverflow="overflow" vert="horz" lIns="0" tIns="0" rIns="0" bIns="0" rtlCol="0">
                          <a:noAutofit/>
                        </wps:bodyPr>
                      </wps:wsp>
                      <wps:wsp>
                        <wps:cNvPr id="320" name="Shape 320"/>
                        <wps:cNvSpPr/>
                        <wps:spPr>
                          <a:xfrm>
                            <a:off x="648000" y="4810123"/>
                            <a:ext cx="209550" cy="209550"/>
                          </a:xfrm>
                          <a:custGeom>
                            <a:avLst/>
                            <a:gdLst/>
                            <a:ahLst/>
                            <a:cxnLst/>
                            <a:rect l="0" t="0" r="0" b="0"/>
                            <a:pathLst>
                              <a:path w="209550" h="209550">
                                <a:moveTo>
                                  <a:pt x="104775" y="0"/>
                                </a:moveTo>
                                <a:cubicBezTo>
                                  <a:pt x="162636" y="0"/>
                                  <a:pt x="209550" y="46914"/>
                                  <a:pt x="209550" y="104775"/>
                                </a:cubicBezTo>
                                <a:cubicBezTo>
                                  <a:pt x="209550" y="162636"/>
                                  <a:pt x="162636" y="209550"/>
                                  <a:pt x="104775" y="209550"/>
                                </a:cubicBezTo>
                                <a:cubicBezTo>
                                  <a:pt x="46914" y="209550"/>
                                  <a:pt x="0" y="162636"/>
                                  <a:pt x="0" y="104775"/>
                                </a:cubicBezTo>
                                <a:cubicBezTo>
                                  <a:pt x="0" y="46914"/>
                                  <a:pt x="46914" y="0"/>
                                  <a:pt x="104775" y="0"/>
                                </a:cubicBezTo>
                                <a:close/>
                              </a:path>
                            </a:pathLst>
                          </a:custGeom>
                          <a:solidFill>
                            <a:srgbClr val="FFFEFD"/>
                          </a:solidFill>
                          <a:ln w="0" cap="flat">
                            <a:noFill/>
                            <a:miter lim="127000"/>
                          </a:ln>
                          <a:effectLst/>
                        </wps:spPr>
                        <wps:bodyPr/>
                      </wps:wsp>
                      <wps:wsp>
                        <wps:cNvPr id="321" name="Rectangle 321"/>
                        <wps:cNvSpPr/>
                        <wps:spPr>
                          <a:xfrm>
                            <a:off x="695244" y="4856034"/>
                            <a:ext cx="153032" cy="154426"/>
                          </a:xfrm>
                          <a:prstGeom prst="rect">
                            <a:avLst/>
                          </a:prstGeom>
                          <a:ln>
                            <a:noFill/>
                          </a:ln>
                        </wps:spPr>
                        <wps:txbx>
                          <w:txbxContent>
                            <w:p w14:paraId="51821801" w14:textId="77777777" w:rsidR="00A41391" w:rsidRDefault="00A41391" w:rsidP="009D683D">
                              <w:r>
                                <w:rPr>
                                  <w:rFonts w:ascii="Calibri" w:eastAsia="Calibri" w:hAnsi="Calibri" w:cs="Calibri"/>
                                  <w:b/>
                                  <w:color w:val="181717"/>
                                  <w:w w:val="119"/>
                                  <w:sz w:val="15"/>
                                </w:rPr>
                                <w:t>27</w:t>
                              </w:r>
                            </w:p>
                          </w:txbxContent>
                        </wps:txbx>
                        <wps:bodyPr horzOverflow="overflow" vert="horz" lIns="0" tIns="0" rIns="0" bIns="0" rtlCol="0">
                          <a:noAutofit/>
                        </wps:bodyPr>
                      </wps:wsp>
                      <wps:wsp>
                        <wps:cNvPr id="322" name="Rectangle 322"/>
                        <wps:cNvSpPr/>
                        <wps:spPr>
                          <a:xfrm>
                            <a:off x="857550" y="4865544"/>
                            <a:ext cx="6030138" cy="160852"/>
                          </a:xfrm>
                          <a:prstGeom prst="rect">
                            <a:avLst/>
                          </a:prstGeom>
                          <a:ln>
                            <a:noFill/>
                          </a:ln>
                        </wps:spPr>
                        <wps:txbx>
                          <w:txbxContent>
                            <w:p w14:paraId="4FBBB3C9" w14:textId="77777777" w:rsidR="00A41391" w:rsidRDefault="00A41391" w:rsidP="009D683D">
                              <w:r>
                                <w:rPr>
                                  <w:rFonts w:ascii="Calibri" w:eastAsia="Calibri" w:hAnsi="Calibri" w:cs="Calibri"/>
                                  <w:color w:val="181717"/>
                                  <w:spacing w:val="109"/>
                                  <w:w w:val="111"/>
                                  <w:sz w:val="18"/>
                                </w:rPr>
                                <w:t xml:space="preserve"> </w:t>
                              </w:r>
                              <w:r>
                                <w:rPr>
                                  <w:rFonts w:ascii="Calibri" w:eastAsia="Calibri" w:hAnsi="Calibri" w:cs="Calibri"/>
                                  <w:color w:val="181717"/>
                                  <w:w w:val="111"/>
                                  <w:sz w:val="18"/>
                                </w:rPr>
                                <w:t>Adopt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prolonged-release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tacrolimus-based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regimens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immunosuppressive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protocols.</w:t>
                              </w:r>
                            </w:p>
                          </w:txbxContent>
                        </wps:txbx>
                        <wps:bodyPr horzOverflow="overflow" vert="horz" lIns="0" tIns="0" rIns="0" bIns="0" rtlCol="0">
                          <a:noAutofit/>
                        </wps:bodyPr>
                      </wps:wsp>
                      <wps:wsp>
                        <wps:cNvPr id="323" name="Shape 323"/>
                        <wps:cNvSpPr/>
                        <wps:spPr>
                          <a:xfrm>
                            <a:off x="648000" y="5057773"/>
                            <a:ext cx="209550" cy="209550"/>
                          </a:xfrm>
                          <a:custGeom>
                            <a:avLst/>
                            <a:gdLst/>
                            <a:ahLst/>
                            <a:cxnLst/>
                            <a:rect l="0" t="0" r="0" b="0"/>
                            <a:pathLst>
                              <a:path w="209550" h="209550">
                                <a:moveTo>
                                  <a:pt x="104775" y="0"/>
                                </a:moveTo>
                                <a:cubicBezTo>
                                  <a:pt x="162636" y="0"/>
                                  <a:pt x="209550" y="46914"/>
                                  <a:pt x="209550" y="104775"/>
                                </a:cubicBezTo>
                                <a:cubicBezTo>
                                  <a:pt x="209550" y="162636"/>
                                  <a:pt x="162636" y="209550"/>
                                  <a:pt x="104775" y="209550"/>
                                </a:cubicBezTo>
                                <a:cubicBezTo>
                                  <a:pt x="46914" y="209550"/>
                                  <a:pt x="0" y="162636"/>
                                  <a:pt x="0" y="104775"/>
                                </a:cubicBezTo>
                                <a:cubicBezTo>
                                  <a:pt x="0" y="46914"/>
                                  <a:pt x="46914" y="0"/>
                                  <a:pt x="104775" y="0"/>
                                </a:cubicBezTo>
                                <a:close/>
                              </a:path>
                            </a:pathLst>
                          </a:custGeom>
                          <a:solidFill>
                            <a:srgbClr val="FFFEFD"/>
                          </a:solidFill>
                          <a:ln w="0" cap="flat">
                            <a:noFill/>
                            <a:miter lim="127000"/>
                          </a:ln>
                          <a:effectLst/>
                        </wps:spPr>
                        <wps:bodyPr/>
                      </wps:wsp>
                      <wps:wsp>
                        <wps:cNvPr id="324" name="Rectangle 324"/>
                        <wps:cNvSpPr/>
                        <wps:spPr>
                          <a:xfrm>
                            <a:off x="693245" y="5103684"/>
                            <a:ext cx="158353" cy="154426"/>
                          </a:xfrm>
                          <a:prstGeom prst="rect">
                            <a:avLst/>
                          </a:prstGeom>
                          <a:ln>
                            <a:noFill/>
                          </a:ln>
                        </wps:spPr>
                        <wps:txbx>
                          <w:txbxContent>
                            <w:p w14:paraId="171A55D6" w14:textId="77777777" w:rsidR="00A41391" w:rsidRDefault="00A41391" w:rsidP="009D683D">
                              <w:r>
                                <w:rPr>
                                  <w:rFonts w:ascii="Calibri" w:eastAsia="Calibri" w:hAnsi="Calibri" w:cs="Calibri"/>
                                  <w:b/>
                                  <w:color w:val="181717"/>
                                  <w:w w:val="123"/>
                                  <w:sz w:val="15"/>
                                </w:rPr>
                                <w:t>28</w:t>
                              </w:r>
                            </w:p>
                          </w:txbxContent>
                        </wps:txbx>
                        <wps:bodyPr horzOverflow="overflow" vert="horz" lIns="0" tIns="0" rIns="0" bIns="0" rtlCol="0">
                          <a:noAutofit/>
                        </wps:bodyPr>
                      </wps:wsp>
                      <wps:wsp>
                        <wps:cNvPr id="325" name="Rectangle 325"/>
                        <wps:cNvSpPr/>
                        <wps:spPr>
                          <a:xfrm>
                            <a:off x="857550" y="5113194"/>
                            <a:ext cx="6938299" cy="160852"/>
                          </a:xfrm>
                          <a:prstGeom prst="rect">
                            <a:avLst/>
                          </a:prstGeom>
                          <a:ln>
                            <a:noFill/>
                          </a:ln>
                        </wps:spPr>
                        <wps:txbx>
                          <w:txbxContent>
                            <w:p w14:paraId="1F82FE54" w14:textId="77777777" w:rsidR="00A41391" w:rsidRDefault="00A41391" w:rsidP="009D683D">
                              <w:r>
                                <w:rPr>
                                  <w:rFonts w:ascii="Calibri" w:eastAsia="Calibri" w:hAnsi="Calibri" w:cs="Calibri"/>
                                  <w:color w:val="181717"/>
                                  <w:spacing w:val="109"/>
                                  <w:w w:val="111"/>
                                  <w:sz w:val="18"/>
                                </w:rPr>
                                <w:t xml:space="preserve"> </w:t>
                              </w:r>
                              <w:r>
                                <w:rPr>
                                  <w:rFonts w:ascii="Calibri" w:eastAsia="Calibri" w:hAnsi="Calibri" w:cs="Calibri"/>
                                  <w:color w:val="181717"/>
                                  <w:w w:val="111"/>
                                  <w:sz w:val="18"/>
                                </w:rPr>
                                <w:t>Revise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immunosuppressive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protocols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based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on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relevant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findings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from</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the pharmacokinetic study of</w:t>
                              </w:r>
                              <w:r>
                                <w:rPr>
                                  <w:rFonts w:ascii="Calibri" w:eastAsia="Calibri" w:hAnsi="Calibri" w:cs="Calibri"/>
                                  <w:color w:val="181717"/>
                                  <w:spacing w:val="6"/>
                                  <w:w w:val="111"/>
                                  <w:sz w:val="18"/>
                                </w:rPr>
                                <w:t xml:space="preserve"> </w:t>
                              </w:r>
                            </w:p>
                          </w:txbxContent>
                        </wps:txbx>
                        <wps:bodyPr horzOverflow="overflow" vert="horz" lIns="0" tIns="0" rIns="0" bIns="0" rtlCol="0">
                          <a:noAutofit/>
                        </wps:bodyPr>
                      </wps:wsp>
                      <wps:wsp>
                        <wps:cNvPr id="326" name="Rectangle 326"/>
                        <wps:cNvSpPr/>
                        <wps:spPr>
                          <a:xfrm>
                            <a:off x="952760" y="5265594"/>
                            <a:ext cx="3924040" cy="177024"/>
                          </a:xfrm>
                          <a:prstGeom prst="rect">
                            <a:avLst/>
                          </a:prstGeom>
                          <a:ln>
                            <a:noFill/>
                          </a:ln>
                        </wps:spPr>
                        <wps:txbx>
                          <w:txbxContent>
                            <w:p w14:paraId="2B19039E" w14:textId="77777777" w:rsidR="00A41391" w:rsidRDefault="00A41391" w:rsidP="009D683D">
                              <w:r>
                                <w:rPr>
                                  <w:rFonts w:ascii="Calibri" w:eastAsia="Calibri" w:hAnsi="Calibri" w:cs="Calibri"/>
                                  <w:color w:val="181717"/>
                                  <w:w w:val="110"/>
                                  <w:sz w:val="18"/>
                                </w:rPr>
                                <w:t>immunosuppressives in Indigenous transplant recipients.</w:t>
                              </w:r>
                            </w:p>
                          </w:txbxContent>
                        </wps:txbx>
                        <wps:bodyPr horzOverflow="overflow" vert="horz" lIns="0" tIns="0" rIns="0" bIns="0" rtlCol="0">
                          <a:noAutofit/>
                        </wps:bodyPr>
                      </wps:wsp>
                      <wps:wsp>
                        <wps:cNvPr id="327" name="Shape 327"/>
                        <wps:cNvSpPr/>
                        <wps:spPr>
                          <a:xfrm>
                            <a:off x="648000" y="5457823"/>
                            <a:ext cx="209550" cy="209550"/>
                          </a:xfrm>
                          <a:custGeom>
                            <a:avLst/>
                            <a:gdLst/>
                            <a:ahLst/>
                            <a:cxnLst/>
                            <a:rect l="0" t="0" r="0" b="0"/>
                            <a:pathLst>
                              <a:path w="209550" h="209550">
                                <a:moveTo>
                                  <a:pt x="104775" y="0"/>
                                </a:moveTo>
                                <a:cubicBezTo>
                                  <a:pt x="162636" y="0"/>
                                  <a:pt x="209550" y="46914"/>
                                  <a:pt x="209550" y="104775"/>
                                </a:cubicBezTo>
                                <a:cubicBezTo>
                                  <a:pt x="209550" y="162637"/>
                                  <a:pt x="162636" y="209550"/>
                                  <a:pt x="104775" y="209550"/>
                                </a:cubicBezTo>
                                <a:cubicBezTo>
                                  <a:pt x="46914" y="209550"/>
                                  <a:pt x="0" y="162637"/>
                                  <a:pt x="0" y="104775"/>
                                </a:cubicBezTo>
                                <a:cubicBezTo>
                                  <a:pt x="0" y="46914"/>
                                  <a:pt x="46914" y="0"/>
                                  <a:pt x="104775" y="0"/>
                                </a:cubicBezTo>
                                <a:close/>
                              </a:path>
                            </a:pathLst>
                          </a:custGeom>
                          <a:solidFill>
                            <a:srgbClr val="FFFEFD"/>
                          </a:solidFill>
                          <a:ln w="0" cap="flat">
                            <a:noFill/>
                            <a:miter lim="127000"/>
                          </a:ln>
                          <a:effectLst/>
                        </wps:spPr>
                        <wps:bodyPr/>
                      </wps:wsp>
                      <wps:wsp>
                        <wps:cNvPr id="328" name="Rectangle 328"/>
                        <wps:cNvSpPr/>
                        <wps:spPr>
                          <a:xfrm>
                            <a:off x="694340" y="5503734"/>
                            <a:ext cx="155439" cy="154427"/>
                          </a:xfrm>
                          <a:prstGeom prst="rect">
                            <a:avLst/>
                          </a:prstGeom>
                          <a:ln>
                            <a:noFill/>
                          </a:ln>
                        </wps:spPr>
                        <wps:txbx>
                          <w:txbxContent>
                            <w:p w14:paraId="6BE976BB" w14:textId="77777777" w:rsidR="00A41391" w:rsidRDefault="00A41391" w:rsidP="009D683D">
                              <w:r>
                                <w:rPr>
                                  <w:rFonts w:ascii="Calibri" w:eastAsia="Calibri" w:hAnsi="Calibri" w:cs="Calibri"/>
                                  <w:b/>
                                  <w:color w:val="181717"/>
                                  <w:w w:val="121"/>
                                  <w:sz w:val="15"/>
                                </w:rPr>
                                <w:t>29</w:t>
                              </w:r>
                            </w:p>
                          </w:txbxContent>
                        </wps:txbx>
                        <wps:bodyPr horzOverflow="overflow" vert="horz" lIns="0" tIns="0" rIns="0" bIns="0" rtlCol="0">
                          <a:noAutofit/>
                        </wps:bodyPr>
                      </wps:wsp>
                      <wps:wsp>
                        <wps:cNvPr id="329" name="Rectangle 329"/>
                        <wps:cNvSpPr/>
                        <wps:spPr>
                          <a:xfrm>
                            <a:off x="857550" y="5513244"/>
                            <a:ext cx="6238100" cy="160852"/>
                          </a:xfrm>
                          <a:prstGeom prst="rect">
                            <a:avLst/>
                          </a:prstGeom>
                          <a:ln>
                            <a:noFill/>
                          </a:ln>
                        </wps:spPr>
                        <wps:txbx>
                          <w:txbxContent>
                            <w:p w14:paraId="2C77906F" w14:textId="77777777" w:rsidR="00A41391" w:rsidRDefault="00A41391" w:rsidP="009D683D">
                              <w:r>
                                <w:rPr>
                                  <w:rFonts w:ascii="Calibri" w:eastAsia="Calibri" w:hAnsi="Calibri" w:cs="Calibri"/>
                                  <w:color w:val="181717"/>
                                  <w:spacing w:val="109"/>
                                  <w:w w:val="111"/>
                                  <w:sz w:val="18"/>
                                </w:rPr>
                                <w:t xml:space="preserve"> </w:t>
                              </w:r>
                              <w:r>
                                <w:rPr>
                                  <w:rFonts w:ascii="Calibri" w:eastAsia="Calibri" w:hAnsi="Calibri" w:cs="Calibri"/>
                                  <w:color w:val="181717"/>
                                  <w:w w:val="111"/>
                                  <w:sz w:val="18"/>
                                </w:rPr>
                                <w:t>Design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undertake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research</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projects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to</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identify</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the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antecedents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to</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infective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episodes.</w:t>
                              </w:r>
                              <w:r>
                                <w:rPr>
                                  <w:rFonts w:ascii="Calibri" w:eastAsia="Calibri" w:hAnsi="Calibri" w:cs="Calibri"/>
                                  <w:color w:val="181717"/>
                                  <w:spacing w:val="6"/>
                                  <w:w w:val="111"/>
                                  <w:sz w:val="18"/>
                                </w:rPr>
                                <w:t xml:space="preserve"> </w:t>
                              </w:r>
                            </w:p>
                          </w:txbxContent>
                        </wps:txbx>
                        <wps:bodyPr horzOverflow="overflow" vert="horz" lIns="0" tIns="0" rIns="0" bIns="0" rtlCol="0">
                          <a:noAutofit/>
                        </wps:bodyPr>
                      </wps:wsp>
                      <wps:wsp>
                        <wps:cNvPr id="330" name="Shape 330"/>
                        <wps:cNvSpPr/>
                        <wps:spPr>
                          <a:xfrm>
                            <a:off x="648000" y="5705473"/>
                            <a:ext cx="209550" cy="209550"/>
                          </a:xfrm>
                          <a:custGeom>
                            <a:avLst/>
                            <a:gdLst/>
                            <a:ahLst/>
                            <a:cxnLst/>
                            <a:rect l="0" t="0" r="0" b="0"/>
                            <a:pathLst>
                              <a:path w="209550" h="209550">
                                <a:moveTo>
                                  <a:pt x="104775" y="0"/>
                                </a:moveTo>
                                <a:cubicBezTo>
                                  <a:pt x="162636" y="0"/>
                                  <a:pt x="209550" y="46914"/>
                                  <a:pt x="209550" y="104775"/>
                                </a:cubicBezTo>
                                <a:cubicBezTo>
                                  <a:pt x="209550" y="162637"/>
                                  <a:pt x="162636" y="209550"/>
                                  <a:pt x="104775" y="209550"/>
                                </a:cubicBezTo>
                                <a:cubicBezTo>
                                  <a:pt x="46914" y="209550"/>
                                  <a:pt x="0" y="162637"/>
                                  <a:pt x="0" y="104775"/>
                                </a:cubicBezTo>
                                <a:cubicBezTo>
                                  <a:pt x="0" y="46914"/>
                                  <a:pt x="46914" y="0"/>
                                  <a:pt x="104775" y="0"/>
                                </a:cubicBezTo>
                                <a:close/>
                              </a:path>
                            </a:pathLst>
                          </a:custGeom>
                          <a:solidFill>
                            <a:srgbClr val="FFFEFD"/>
                          </a:solidFill>
                          <a:ln w="0" cap="flat">
                            <a:noFill/>
                            <a:miter lim="127000"/>
                          </a:ln>
                          <a:effectLst/>
                        </wps:spPr>
                        <wps:bodyPr/>
                      </wps:wsp>
                      <wps:wsp>
                        <wps:cNvPr id="331" name="Rectangle 331"/>
                        <wps:cNvSpPr/>
                        <wps:spPr>
                          <a:xfrm>
                            <a:off x="692244" y="5751384"/>
                            <a:ext cx="161013" cy="154427"/>
                          </a:xfrm>
                          <a:prstGeom prst="rect">
                            <a:avLst/>
                          </a:prstGeom>
                          <a:ln>
                            <a:noFill/>
                          </a:ln>
                        </wps:spPr>
                        <wps:txbx>
                          <w:txbxContent>
                            <w:p w14:paraId="72A0CD1A" w14:textId="77777777" w:rsidR="00A41391" w:rsidRDefault="00A41391" w:rsidP="009D683D">
                              <w:r>
                                <w:rPr>
                                  <w:rFonts w:ascii="Calibri" w:eastAsia="Calibri" w:hAnsi="Calibri" w:cs="Calibri"/>
                                  <w:b/>
                                  <w:color w:val="181717"/>
                                  <w:w w:val="125"/>
                                  <w:sz w:val="15"/>
                                </w:rPr>
                                <w:t>30</w:t>
                              </w:r>
                            </w:p>
                          </w:txbxContent>
                        </wps:txbx>
                        <wps:bodyPr horzOverflow="overflow" vert="horz" lIns="0" tIns="0" rIns="0" bIns="0" rtlCol="0">
                          <a:noAutofit/>
                        </wps:bodyPr>
                      </wps:wsp>
                      <wps:wsp>
                        <wps:cNvPr id="332" name="Rectangle 332"/>
                        <wps:cNvSpPr/>
                        <wps:spPr>
                          <a:xfrm>
                            <a:off x="857550" y="5760894"/>
                            <a:ext cx="6640951" cy="160852"/>
                          </a:xfrm>
                          <a:prstGeom prst="rect">
                            <a:avLst/>
                          </a:prstGeom>
                          <a:ln>
                            <a:noFill/>
                          </a:ln>
                        </wps:spPr>
                        <wps:txbx>
                          <w:txbxContent>
                            <w:p w14:paraId="1B6B3FCB" w14:textId="77777777" w:rsidR="00A41391" w:rsidRDefault="00A41391" w:rsidP="009D683D">
                              <w:r>
                                <w:rPr>
                                  <w:rFonts w:ascii="Calibri" w:eastAsia="Calibri" w:hAnsi="Calibri" w:cs="Calibri"/>
                                  <w:color w:val="181717"/>
                                  <w:spacing w:val="109"/>
                                  <w:w w:val="110"/>
                                  <w:sz w:val="18"/>
                                </w:rPr>
                                <w:t xml:space="preserve"> </w:t>
                              </w:r>
                              <w:r>
                                <w:rPr>
                                  <w:rFonts w:ascii="Calibri" w:eastAsia="Calibri" w:hAnsi="Calibri" w:cs="Calibri"/>
                                  <w:color w:val="181717"/>
                                  <w:w w:val="110"/>
                                  <w:sz w:val="18"/>
                                </w:rPr>
                                <w:t>Test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evaluate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novel</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infective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prophylaxis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interventions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for</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Indigenous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transplant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recipients.</w:t>
                              </w:r>
                              <w:r>
                                <w:rPr>
                                  <w:rFonts w:ascii="Calibri" w:eastAsia="Calibri" w:hAnsi="Calibri" w:cs="Calibri"/>
                                  <w:color w:val="181717"/>
                                  <w:spacing w:val="6"/>
                                  <w:w w:val="110"/>
                                  <w:sz w:val="18"/>
                                </w:rPr>
                                <w:t xml:space="preserve"> </w:t>
                              </w:r>
                            </w:p>
                          </w:txbxContent>
                        </wps:txbx>
                        <wps:bodyPr horzOverflow="overflow" vert="horz" lIns="0" tIns="0" rIns="0" bIns="0" rtlCol="0">
                          <a:noAutofit/>
                        </wps:bodyPr>
                      </wps:wsp>
                      <wps:wsp>
                        <wps:cNvPr id="333" name="Shape 333"/>
                        <wps:cNvSpPr/>
                        <wps:spPr>
                          <a:xfrm>
                            <a:off x="648000" y="5953123"/>
                            <a:ext cx="209550" cy="209550"/>
                          </a:xfrm>
                          <a:custGeom>
                            <a:avLst/>
                            <a:gdLst/>
                            <a:ahLst/>
                            <a:cxnLst/>
                            <a:rect l="0" t="0" r="0" b="0"/>
                            <a:pathLst>
                              <a:path w="209550" h="209550">
                                <a:moveTo>
                                  <a:pt x="104775" y="0"/>
                                </a:moveTo>
                                <a:cubicBezTo>
                                  <a:pt x="162636" y="0"/>
                                  <a:pt x="209550" y="46914"/>
                                  <a:pt x="209550" y="104775"/>
                                </a:cubicBezTo>
                                <a:cubicBezTo>
                                  <a:pt x="209550" y="162637"/>
                                  <a:pt x="162636" y="209550"/>
                                  <a:pt x="104775" y="209550"/>
                                </a:cubicBezTo>
                                <a:cubicBezTo>
                                  <a:pt x="46914" y="209550"/>
                                  <a:pt x="0" y="162637"/>
                                  <a:pt x="0" y="104775"/>
                                </a:cubicBezTo>
                                <a:cubicBezTo>
                                  <a:pt x="0" y="46914"/>
                                  <a:pt x="46914" y="0"/>
                                  <a:pt x="104775" y="0"/>
                                </a:cubicBezTo>
                                <a:close/>
                              </a:path>
                            </a:pathLst>
                          </a:custGeom>
                          <a:solidFill>
                            <a:srgbClr val="FFFEFD"/>
                          </a:solidFill>
                          <a:ln w="0" cap="flat">
                            <a:noFill/>
                            <a:miter lim="127000"/>
                          </a:ln>
                          <a:effectLst/>
                        </wps:spPr>
                        <wps:bodyPr/>
                      </wps:wsp>
                      <wps:wsp>
                        <wps:cNvPr id="334" name="Rectangle 334"/>
                        <wps:cNvSpPr/>
                        <wps:spPr>
                          <a:xfrm>
                            <a:off x="705912" y="5999034"/>
                            <a:ext cx="124656" cy="154427"/>
                          </a:xfrm>
                          <a:prstGeom prst="rect">
                            <a:avLst/>
                          </a:prstGeom>
                          <a:ln>
                            <a:noFill/>
                          </a:ln>
                        </wps:spPr>
                        <wps:txbx>
                          <w:txbxContent>
                            <w:p w14:paraId="1A3006EB" w14:textId="77777777" w:rsidR="00A41391" w:rsidRDefault="00A41391" w:rsidP="009D683D">
                              <w:r>
                                <w:rPr>
                                  <w:rFonts w:ascii="Calibri" w:eastAsia="Calibri" w:hAnsi="Calibri" w:cs="Calibri"/>
                                  <w:b/>
                                  <w:color w:val="181717"/>
                                  <w:w w:val="97"/>
                                  <w:sz w:val="15"/>
                                </w:rPr>
                                <w:t>31</w:t>
                              </w:r>
                            </w:p>
                          </w:txbxContent>
                        </wps:txbx>
                        <wps:bodyPr horzOverflow="overflow" vert="horz" lIns="0" tIns="0" rIns="0" bIns="0" rtlCol="0">
                          <a:noAutofit/>
                        </wps:bodyPr>
                      </wps:wsp>
                      <wps:wsp>
                        <wps:cNvPr id="335" name="Rectangle 335"/>
                        <wps:cNvSpPr/>
                        <wps:spPr>
                          <a:xfrm>
                            <a:off x="857550" y="6008544"/>
                            <a:ext cx="6874908" cy="160852"/>
                          </a:xfrm>
                          <a:prstGeom prst="rect">
                            <a:avLst/>
                          </a:prstGeom>
                          <a:ln>
                            <a:noFill/>
                          </a:ln>
                        </wps:spPr>
                        <wps:txbx>
                          <w:txbxContent>
                            <w:p w14:paraId="19B5A901" w14:textId="77777777" w:rsidR="00A41391" w:rsidRDefault="00A41391" w:rsidP="009D683D">
                              <w:r>
                                <w:rPr>
                                  <w:rFonts w:ascii="Calibri" w:eastAsia="Calibri" w:hAnsi="Calibri" w:cs="Calibri"/>
                                  <w:color w:val="181717"/>
                                  <w:spacing w:val="109"/>
                                  <w:w w:val="110"/>
                                  <w:sz w:val="18"/>
                                </w:rPr>
                                <w:t xml:space="preserve"> </w:t>
                              </w:r>
                              <w:r>
                                <w:rPr>
                                  <w:rFonts w:ascii="Calibri" w:eastAsia="Calibri" w:hAnsi="Calibri" w:cs="Calibri"/>
                                  <w:color w:val="181717"/>
                                  <w:w w:val="110"/>
                                  <w:sz w:val="18"/>
                                </w:rPr>
                                <w:t>Adopt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coordinated,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nationally</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consistent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clinical</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data</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collection,</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analysis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reporting</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protocols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of</w:t>
                              </w:r>
                              <w:r>
                                <w:rPr>
                                  <w:rFonts w:ascii="Calibri" w:eastAsia="Calibri" w:hAnsi="Calibri" w:cs="Calibri"/>
                                  <w:color w:val="181717"/>
                                  <w:spacing w:val="6"/>
                                  <w:w w:val="110"/>
                                  <w:sz w:val="18"/>
                                </w:rPr>
                                <w:t xml:space="preserve"> </w:t>
                              </w:r>
                            </w:p>
                          </w:txbxContent>
                        </wps:txbx>
                        <wps:bodyPr horzOverflow="overflow" vert="horz" lIns="0" tIns="0" rIns="0" bIns="0" rtlCol="0">
                          <a:noAutofit/>
                        </wps:bodyPr>
                      </wps:wsp>
                      <wps:wsp>
                        <wps:cNvPr id="336" name="Rectangle 336"/>
                        <wps:cNvSpPr/>
                        <wps:spPr>
                          <a:xfrm>
                            <a:off x="952800" y="6160944"/>
                            <a:ext cx="2825882" cy="160852"/>
                          </a:xfrm>
                          <a:prstGeom prst="rect">
                            <a:avLst/>
                          </a:prstGeom>
                          <a:ln>
                            <a:noFill/>
                          </a:ln>
                        </wps:spPr>
                        <wps:txbx>
                          <w:txbxContent>
                            <w:p w14:paraId="3A831AA4" w14:textId="77777777" w:rsidR="00A41391" w:rsidRDefault="00A41391" w:rsidP="009D683D">
                              <w:r>
                                <w:rPr>
                                  <w:rFonts w:ascii="Calibri" w:eastAsia="Calibri" w:hAnsi="Calibri" w:cs="Calibri"/>
                                  <w:color w:val="181717"/>
                                  <w:w w:val="110"/>
                                  <w:sz w:val="18"/>
                                </w:rPr>
                                <w:t>infective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complications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across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renal</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units.</w:t>
                              </w:r>
                            </w:p>
                          </w:txbxContent>
                        </wps:txbx>
                        <wps:bodyPr horzOverflow="overflow" vert="horz" lIns="0" tIns="0" rIns="0" bIns="0" rtlCol="0">
                          <a:noAutofit/>
                        </wps:bodyPr>
                      </wps:wsp>
                      <wps:wsp>
                        <wps:cNvPr id="337" name="Shape 337"/>
                        <wps:cNvSpPr/>
                        <wps:spPr>
                          <a:xfrm>
                            <a:off x="648000" y="6353173"/>
                            <a:ext cx="209550" cy="209550"/>
                          </a:xfrm>
                          <a:custGeom>
                            <a:avLst/>
                            <a:gdLst/>
                            <a:ahLst/>
                            <a:cxnLst/>
                            <a:rect l="0" t="0" r="0" b="0"/>
                            <a:pathLst>
                              <a:path w="209550" h="209550">
                                <a:moveTo>
                                  <a:pt x="104775" y="0"/>
                                </a:moveTo>
                                <a:cubicBezTo>
                                  <a:pt x="162636" y="0"/>
                                  <a:pt x="209550" y="46914"/>
                                  <a:pt x="209550" y="104775"/>
                                </a:cubicBezTo>
                                <a:cubicBezTo>
                                  <a:pt x="209550" y="162637"/>
                                  <a:pt x="162636" y="209550"/>
                                  <a:pt x="104775" y="209550"/>
                                </a:cubicBezTo>
                                <a:cubicBezTo>
                                  <a:pt x="46914" y="209550"/>
                                  <a:pt x="0" y="162637"/>
                                  <a:pt x="0" y="104775"/>
                                </a:cubicBezTo>
                                <a:cubicBezTo>
                                  <a:pt x="0" y="46914"/>
                                  <a:pt x="46914" y="0"/>
                                  <a:pt x="104775" y="0"/>
                                </a:cubicBezTo>
                                <a:close/>
                              </a:path>
                            </a:pathLst>
                          </a:custGeom>
                          <a:solidFill>
                            <a:srgbClr val="FFFEFD"/>
                          </a:solidFill>
                          <a:ln w="0" cap="flat">
                            <a:noFill/>
                            <a:miter lim="127000"/>
                          </a:ln>
                          <a:effectLst/>
                        </wps:spPr>
                        <wps:bodyPr/>
                      </wps:wsp>
                      <wps:wsp>
                        <wps:cNvPr id="338" name="Rectangle 338"/>
                        <wps:cNvSpPr/>
                        <wps:spPr>
                          <a:xfrm>
                            <a:off x="696721" y="6399085"/>
                            <a:ext cx="149105" cy="154426"/>
                          </a:xfrm>
                          <a:prstGeom prst="rect">
                            <a:avLst/>
                          </a:prstGeom>
                          <a:ln>
                            <a:noFill/>
                          </a:ln>
                        </wps:spPr>
                        <wps:txbx>
                          <w:txbxContent>
                            <w:p w14:paraId="27161CC5" w14:textId="77777777" w:rsidR="00A41391" w:rsidRDefault="00A41391" w:rsidP="009D683D">
                              <w:r>
                                <w:rPr>
                                  <w:rFonts w:ascii="Calibri" w:eastAsia="Calibri" w:hAnsi="Calibri" w:cs="Calibri"/>
                                  <w:b/>
                                  <w:color w:val="181717"/>
                                  <w:spacing w:val="-1"/>
                                  <w:w w:val="116"/>
                                  <w:sz w:val="15"/>
                                </w:rPr>
                                <w:t>32</w:t>
                              </w:r>
                            </w:p>
                          </w:txbxContent>
                        </wps:txbx>
                        <wps:bodyPr horzOverflow="overflow" vert="horz" lIns="0" tIns="0" rIns="0" bIns="0" rtlCol="0">
                          <a:noAutofit/>
                        </wps:bodyPr>
                      </wps:wsp>
                      <wps:wsp>
                        <wps:cNvPr id="339" name="Rectangle 339"/>
                        <wps:cNvSpPr/>
                        <wps:spPr>
                          <a:xfrm>
                            <a:off x="857550" y="6408594"/>
                            <a:ext cx="5543525" cy="160852"/>
                          </a:xfrm>
                          <a:prstGeom prst="rect">
                            <a:avLst/>
                          </a:prstGeom>
                          <a:ln>
                            <a:noFill/>
                          </a:ln>
                        </wps:spPr>
                        <wps:txbx>
                          <w:txbxContent>
                            <w:p w14:paraId="26DD11E9" w14:textId="77777777" w:rsidR="00A41391" w:rsidRDefault="00A41391" w:rsidP="009D683D">
                              <w:r>
                                <w:rPr>
                                  <w:rFonts w:ascii="Calibri" w:eastAsia="Calibri" w:hAnsi="Calibri" w:cs="Calibri"/>
                                  <w:color w:val="181717"/>
                                  <w:spacing w:val="109"/>
                                  <w:w w:val="110"/>
                                  <w:sz w:val="18"/>
                                </w:rPr>
                                <w:t xml:space="preserve"> </w:t>
                              </w:r>
                              <w:r>
                                <w:rPr>
                                  <w:rFonts w:ascii="Calibri" w:eastAsia="Calibri" w:hAnsi="Calibri" w:cs="Calibri"/>
                                  <w:color w:val="181717"/>
                                  <w:w w:val="110"/>
                                  <w:sz w:val="18"/>
                                </w:rPr>
                                <w:t>Implement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tailored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prophylactic</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protocol</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for</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Indigenous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transplant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recipients.</w:t>
                              </w:r>
                            </w:p>
                          </w:txbxContent>
                        </wps:txbx>
                        <wps:bodyPr horzOverflow="overflow" vert="horz" lIns="0" tIns="0" rIns="0" bIns="0" rtlCol="0">
                          <a:noAutofit/>
                        </wps:bodyPr>
                      </wps:wsp>
                      <wps:wsp>
                        <wps:cNvPr id="2636" name="Rectangle 2636"/>
                        <wps:cNvSpPr/>
                        <wps:spPr>
                          <a:xfrm>
                            <a:off x="648000" y="6709867"/>
                            <a:ext cx="3236720" cy="216195"/>
                          </a:xfrm>
                          <a:prstGeom prst="rect">
                            <a:avLst/>
                          </a:prstGeom>
                          <a:ln>
                            <a:noFill/>
                          </a:ln>
                        </wps:spPr>
                        <wps:txbx>
                          <w:txbxContent>
                            <w:p w14:paraId="7569F080" w14:textId="77777777" w:rsidR="00A41391" w:rsidRDefault="00A41391" w:rsidP="009D683D">
                              <w:r>
                                <w:rPr>
                                  <w:rFonts w:ascii="Calibri" w:eastAsia="Calibri" w:hAnsi="Calibri" w:cs="Calibri"/>
                                  <w:b/>
                                  <w:color w:val="181717"/>
                                  <w:w w:val="129"/>
                                  <w:sz w:val="21"/>
                                  <w:u w:val="single" w:color="00556E"/>
                                </w:rPr>
                                <w:t>Workforce</w:t>
                              </w:r>
                              <w:r>
                                <w:rPr>
                                  <w:rFonts w:ascii="Calibri" w:eastAsia="Calibri" w:hAnsi="Calibri" w:cs="Calibri"/>
                                  <w:b/>
                                  <w:color w:val="181717"/>
                                  <w:spacing w:val="12"/>
                                  <w:w w:val="129"/>
                                  <w:sz w:val="21"/>
                                  <w:u w:val="single" w:color="00556E"/>
                                </w:rPr>
                                <w:t xml:space="preserve"> </w:t>
                              </w:r>
                              <w:r>
                                <w:rPr>
                                  <w:rFonts w:ascii="Calibri" w:eastAsia="Calibri" w:hAnsi="Calibri" w:cs="Calibri"/>
                                  <w:b/>
                                  <w:color w:val="181717"/>
                                  <w:w w:val="129"/>
                                  <w:sz w:val="21"/>
                                  <w:u w:val="single" w:color="00556E"/>
                                </w:rPr>
                                <w:t>training</w:t>
                              </w:r>
                              <w:r>
                                <w:rPr>
                                  <w:rFonts w:ascii="Calibri" w:eastAsia="Calibri" w:hAnsi="Calibri" w:cs="Calibri"/>
                                  <w:b/>
                                  <w:color w:val="181717"/>
                                  <w:spacing w:val="12"/>
                                  <w:w w:val="129"/>
                                  <w:sz w:val="21"/>
                                  <w:u w:val="single" w:color="00556E"/>
                                </w:rPr>
                                <w:t xml:space="preserve"> </w:t>
                              </w:r>
                              <w:r>
                                <w:rPr>
                                  <w:rFonts w:ascii="Calibri" w:eastAsia="Calibri" w:hAnsi="Calibri" w:cs="Calibri"/>
                                  <w:b/>
                                  <w:color w:val="181717"/>
                                  <w:w w:val="129"/>
                                  <w:sz w:val="21"/>
                                  <w:u w:val="single" w:color="00556E"/>
                                </w:rPr>
                                <w:t>&amp;</w:t>
                              </w:r>
                              <w:r>
                                <w:rPr>
                                  <w:rFonts w:ascii="Calibri" w:eastAsia="Calibri" w:hAnsi="Calibri" w:cs="Calibri"/>
                                  <w:b/>
                                  <w:color w:val="181717"/>
                                  <w:spacing w:val="12"/>
                                  <w:w w:val="129"/>
                                  <w:sz w:val="21"/>
                                  <w:u w:val="single" w:color="00556E"/>
                                </w:rPr>
                                <w:t xml:space="preserve"> </w:t>
                              </w:r>
                              <w:r>
                                <w:rPr>
                                  <w:rFonts w:ascii="Calibri" w:eastAsia="Calibri" w:hAnsi="Calibri" w:cs="Calibri"/>
                                  <w:b/>
                                  <w:color w:val="181717"/>
                                  <w:w w:val="129"/>
                                  <w:sz w:val="21"/>
                                  <w:u w:val="single" w:color="00556E"/>
                                </w:rPr>
                                <w:t>development</w:t>
                              </w:r>
                            </w:p>
                          </w:txbxContent>
                        </wps:txbx>
                        <wps:bodyPr horzOverflow="overflow" vert="horz" lIns="0" tIns="0" rIns="0" bIns="0" rtlCol="0">
                          <a:noAutofit/>
                        </wps:bodyPr>
                      </wps:wsp>
                      <wps:wsp>
                        <wps:cNvPr id="341" name="Shape 341"/>
                        <wps:cNvSpPr/>
                        <wps:spPr>
                          <a:xfrm>
                            <a:off x="648000" y="6943723"/>
                            <a:ext cx="209550" cy="209550"/>
                          </a:xfrm>
                          <a:custGeom>
                            <a:avLst/>
                            <a:gdLst/>
                            <a:ahLst/>
                            <a:cxnLst/>
                            <a:rect l="0" t="0" r="0" b="0"/>
                            <a:pathLst>
                              <a:path w="209550" h="209550">
                                <a:moveTo>
                                  <a:pt x="104775" y="0"/>
                                </a:moveTo>
                                <a:cubicBezTo>
                                  <a:pt x="162636" y="0"/>
                                  <a:pt x="209550" y="46914"/>
                                  <a:pt x="209550" y="104775"/>
                                </a:cubicBezTo>
                                <a:cubicBezTo>
                                  <a:pt x="209550" y="162637"/>
                                  <a:pt x="162636" y="209550"/>
                                  <a:pt x="104775" y="209550"/>
                                </a:cubicBezTo>
                                <a:cubicBezTo>
                                  <a:pt x="46914" y="209550"/>
                                  <a:pt x="0" y="162637"/>
                                  <a:pt x="0" y="104775"/>
                                </a:cubicBezTo>
                                <a:cubicBezTo>
                                  <a:pt x="0" y="46914"/>
                                  <a:pt x="46914" y="0"/>
                                  <a:pt x="104775" y="0"/>
                                </a:cubicBezTo>
                                <a:close/>
                              </a:path>
                            </a:pathLst>
                          </a:custGeom>
                          <a:solidFill>
                            <a:srgbClr val="FFFEFD"/>
                          </a:solidFill>
                          <a:ln w="0" cap="flat">
                            <a:noFill/>
                            <a:miter lim="127000"/>
                          </a:ln>
                          <a:effectLst/>
                        </wps:spPr>
                        <wps:bodyPr/>
                      </wps:wsp>
                      <wps:wsp>
                        <wps:cNvPr id="342" name="Rectangle 342"/>
                        <wps:cNvSpPr/>
                        <wps:spPr>
                          <a:xfrm>
                            <a:off x="696626" y="6989635"/>
                            <a:ext cx="149359" cy="154426"/>
                          </a:xfrm>
                          <a:prstGeom prst="rect">
                            <a:avLst/>
                          </a:prstGeom>
                          <a:ln>
                            <a:noFill/>
                          </a:ln>
                        </wps:spPr>
                        <wps:txbx>
                          <w:txbxContent>
                            <w:p w14:paraId="300793CC" w14:textId="77777777" w:rsidR="00A41391" w:rsidRDefault="00A41391" w:rsidP="009D683D">
                              <w:r>
                                <w:rPr>
                                  <w:rFonts w:ascii="Calibri" w:eastAsia="Calibri" w:hAnsi="Calibri" w:cs="Calibri"/>
                                  <w:b/>
                                  <w:color w:val="181717"/>
                                  <w:spacing w:val="-1"/>
                                  <w:w w:val="116"/>
                                  <w:sz w:val="15"/>
                                </w:rPr>
                                <w:t>33</w:t>
                              </w:r>
                            </w:p>
                          </w:txbxContent>
                        </wps:txbx>
                        <wps:bodyPr horzOverflow="overflow" vert="horz" lIns="0" tIns="0" rIns="0" bIns="0" rtlCol="0">
                          <a:noAutofit/>
                        </wps:bodyPr>
                      </wps:wsp>
                      <wps:wsp>
                        <wps:cNvPr id="343" name="Rectangle 343"/>
                        <wps:cNvSpPr/>
                        <wps:spPr>
                          <a:xfrm>
                            <a:off x="857550" y="6999144"/>
                            <a:ext cx="5533188" cy="160852"/>
                          </a:xfrm>
                          <a:prstGeom prst="rect">
                            <a:avLst/>
                          </a:prstGeom>
                          <a:ln>
                            <a:noFill/>
                          </a:ln>
                        </wps:spPr>
                        <wps:txbx>
                          <w:txbxContent>
                            <w:p w14:paraId="66190889" w14:textId="77777777" w:rsidR="00A41391" w:rsidRDefault="00A41391" w:rsidP="009D683D">
                              <w:r>
                                <w:rPr>
                                  <w:rFonts w:ascii="Calibri" w:eastAsia="Calibri" w:hAnsi="Calibri" w:cs="Calibri"/>
                                  <w:color w:val="181717"/>
                                  <w:spacing w:val="109"/>
                                  <w:w w:val="110"/>
                                  <w:sz w:val="18"/>
                                </w:rPr>
                                <w:t xml:space="preserve"> </w:t>
                              </w:r>
                              <w:r>
                                <w:rPr>
                                  <w:rFonts w:ascii="Calibri" w:eastAsia="Calibri" w:hAnsi="Calibri" w:cs="Calibri"/>
                                  <w:color w:val="181717"/>
                                  <w:w w:val="110"/>
                                  <w:sz w:val="18"/>
                                </w:rPr>
                                <w:t>Deliver</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consumer</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engagement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training</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to</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renal</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unit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transplant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centre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staff.</w:t>
                              </w:r>
                            </w:p>
                          </w:txbxContent>
                        </wps:txbx>
                        <wps:bodyPr horzOverflow="overflow" vert="horz" lIns="0" tIns="0" rIns="0" bIns="0" rtlCol="0">
                          <a:noAutofit/>
                        </wps:bodyPr>
                      </wps:wsp>
                      <wps:wsp>
                        <wps:cNvPr id="344" name="Shape 344"/>
                        <wps:cNvSpPr/>
                        <wps:spPr>
                          <a:xfrm>
                            <a:off x="648000" y="7191373"/>
                            <a:ext cx="209550" cy="209550"/>
                          </a:xfrm>
                          <a:custGeom>
                            <a:avLst/>
                            <a:gdLst/>
                            <a:ahLst/>
                            <a:cxnLst/>
                            <a:rect l="0" t="0" r="0" b="0"/>
                            <a:pathLst>
                              <a:path w="209550" h="209550">
                                <a:moveTo>
                                  <a:pt x="104775" y="0"/>
                                </a:moveTo>
                                <a:cubicBezTo>
                                  <a:pt x="162636" y="0"/>
                                  <a:pt x="209550" y="46914"/>
                                  <a:pt x="209550" y="104775"/>
                                </a:cubicBezTo>
                                <a:cubicBezTo>
                                  <a:pt x="209550" y="162637"/>
                                  <a:pt x="162636" y="209550"/>
                                  <a:pt x="104775" y="209550"/>
                                </a:cubicBezTo>
                                <a:cubicBezTo>
                                  <a:pt x="46914" y="209550"/>
                                  <a:pt x="0" y="162637"/>
                                  <a:pt x="0" y="104775"/>
                                </a:cubicBezTo>
                                <a:cubicBezTo>
                                  <a:pt x="0" y="46914"/>
                                  <a:pt x="46914" y="0"/>
                                  <a:pt x="104775" y="0"/>
                                </a:cubicBezTo>
                                <a:close/>
                              </a:path>
                            </a:pathLst>
                          </a:custGeom>
                          <a:solidFill>
                            <a:srgbClr val="FFFEFD"/>
                          </a:solidFill>
                          <a:ln w="0" cap="flat">
                            <a:noFill/>
                            <a:miter lim="127000"/>
                          </a:ln>
                          <a:effectLst/>
                        </wps:spPr>
                        <wps:bodyPr/>
                      </wps:wsp>
                      <wps:wsp>
                        <wps:cNvPr id="345" name="Rectangle 345"/>
                        <wps:cNvSpPr/>
                        <wps:spPr>
                          <a:xfrm>
                            <a:off x="691768" y="7237285"/>
                            <a:ext cx="162280" cy="154426"/>
                          </a:xfrm>
                          <a:prstGeom prst="rect">
                            <a:avLst/>
                          </a:prstGeom>
                          <a:ln>
                            <a:noFill/>
                          </a:ln>
                        </wps:spPr>
                        <wps:txbx>
                          <w:txbxContent>
                            <w:p w14:paraId="0802EE4B" w14:textId="77777777" w:rsidR="00A41391" w:rsidRDefault="00A41391" w:rsidP="009D683D">
                              <w:r>
                                <w:rPr>
                                  <w:rFonts w:ascii="Calibri" w:eastAsia="Calibri" w:hAnsi="Calibri" w:cs="Calibri"/>
                                  <w:b/>
                                  <w:color w:val="181717"/>
                                  <w:w w:val="126"/>
                                  <w:sz w:val="15"/>
                                </w:rPr>
                                <w:t>34</w:t>
                              </w:r>
                            </w:p>
                          </w:txbxContent>
                        </wps:txbx>
                        <wps:bodyPr horzOverflow="overflow" vert="horz" lIns="0" tIns="0" rIns="0" bIns="0" rtlCol="0">
                          <a:noAutofit/>
                        </wps:bodyPr>
                      </wps:wsp>
                      <wps:wsp>
                        <wps:cNvPr id="346" name="Rectangle 346"/>
                        <wps:cNvSpPr/>
                        <wps:spPr>
                          <a:xfrm>
                            <a:off x="857550" y="7246794"/>
                            <a:ext cx="6895886" cy="160852"/>
                          </a:xfrm>
                          <a:prstGeom prst="rect">
                            <a:avLst/>
                          </a:prstGeom>
                          <a:ln>
                            <a:noFill/>
                          </a:ln>
                        </wps:spPr>
                        <wps:txbx>
                          <w:txbxContent>
                            <w:p w14:paraId="092F79D8" w14:textId="77777777" w:rsidR="00A41391" w:rsidRDefault="00A41391" w:rsidP="009D683D">
                              <w:r>
                                <w:rPr>
                                  <w:rFonts w:ascii="Calibri" w:eastAsia="Calibri" w:hAnsi="Calibri" w:cs="Calibri"/>
                                  <w:color w:val="181717"/>
                                  <w:spacing w:val="109"/>
                                  <w:w w:val="110"/>
                                  <w:sz w:val="18"/>
                                </w:rPr>
                                <w:t xml:space="preserve"> </w:t>
                              </w:r>
                              <w:r>
                                <w:rPr>
                                  <w:rFonts w:ascii="Calibri" w:eastAsia="Calibri" w:hAnsi="Calibri" w:cs="Calibri"/>
                                  <w:color w:val="181717"/>
                                  <w:w w:val="110"/>
                                  <w:sz w:val="18"/>
                                </w:rPr>
                                <w:t>Implement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recruitment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training</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strategies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for</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the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renal</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workforce,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particularly</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remote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areas,</w:t>
                              </w:r>
                              <w:r>
                                <w:rPr>
                                  <w:rFonts w:ascii="Calibri" w:eastAsia="Calibri" w:hAnsi="Calibri" w:cs="Calibri"/>
                                  <w:color w:val="181717"/>
                                  <w:spacing w:val="6"/>
                                  <w:w w:val="110"/>
                                  <w:sz w:val="18"/>
                                </w:rPr>
                                <w:t xml:space="preserve"> </w:t>
                              </w:r>
                            </w:p>
                          </w:txbxContent>
                        </wps:txbx>
                        <wps:bodyPr horzOverflow="overflow" vert="horz" lIns="0" tIns="0" rIns="0" bIns="0" rtlCol="0">
                          <a:noAutofit/>
                        </wps:bodyPr>
                      </wps:wsp>
                      <wps:wsp>
                        <wps:cNvPr id="347" name="Rectangle 347"/>
                        <wps:cNvSpPr/>
                        <wps:spPr>
                          <a:xfrm>
                            <a:off x="952800" y="7399194"/>
                            <a:ext cx="4634603" cy="160852"/>
                          </a:xfrm>
                          <a:prstGeom prst="rect">
                            <a:avLst/>
                          </a:prstGeom>
                          <a:ln>
                            <a:noFill/>
                          </a:ln>
                        </wps:spPr>
                        <wps:txbx>
                          <w:txbxContent>
                            <w:p w14:paraId="35E7B59F" w14:textId="77777777" w:rsidR="00A41391" w:rsidRDefault="00A41391" w:rsidP="009D683D">
                              <w:r>
                                <w:rPr>
                                  <w:rFonts w:ascii="Calibri" w:eastAsia="Calibri" w:hAnsi="Calibri" w:cs="Calibri"/>
                                  <w:color w:val="181717"/>
                                  <w:w w:val="110"/>
                                  <w:sz w:val="18"/>
                                </w:rPr>
                                <w:t>to</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improve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the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delivery</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of</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culturally</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appropriate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pre-transplant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care.</w:t>
                              </w:r>
                            </w:p>
                          </w:txbxContent>
                        </wps:txbx>
                        <wps:bodyPr horzOverflow="overflow" vert="horz" lIns="0" tIns="0" rIns="0" bIns="0" rtlCol="0">
                          <a:noAutofit/>
                        </wps:bodyPr>
                      </wps:wsp>
                      <wps:wsp>
                        <wps:cNvPr id="348" name="Shape 348"/>
                        <wps:cNvSpPr/>
                        <wps:spPr>
                          <a:xfrm>
                            <a:off x="648000" y="7591423"/>
                            <a:ext cx="209550" cy="209550"/>
                          </a:xfrm>
                          <a:custGeom>
                            <a:avLst/>
                            <a:gdLst/>
                            <a:ahLst/>
                            <a:cxnLst/>
                            <a:rect l="0" t="0" r="0" b="0"/>
                            <a:pathLst>
                              <a:path w="209550" h="209550">
                                <a:moveTo>
                                  <a:pt x="104775" y="0"/>
                                </a:moveTo>
                                <a:cubicBezTo>
                                  <a:pt x="162636" y="0"/>
                                  <a:pt x="209550" y="46914"/>
                                  <a:pt x="209550" y="104775"/>
                                </a:cubicBezTo>
                                <a:cubicBezTo>
                                  <a:pt x="209550" y="162637"/>
                                  <a:pt x="162636" y="209550"/>
                                  <a:pt x="104775" y="209550"/>
                                </a:cubicBezTo>
                                <a:cubicBezTo>
                                  <a:pt x="46914" y="209550"/>
                                  <a:pt x="0" y="162637"/>
                                  <a:pt x="0" y="104775"/>
                                </a:cubicBezTo>
                                <a:cubicBezTo>
                                  <a:pt x="0" y="46914"/>
                                  <a:pt x="46914" y="0"/>
                                  <a:pt x="104775" y="0"/>
                                </a:cubicBezTo>
                                <a:close/>
                              </a:path>
                            </a:pathLst>
                          </a:custGeom>
                          <a:solidFill>
                            <a:srgbClr val="FFFEFD"/>
                          </a:solidFill>
                          <a:ln w="0" cap="flat">
                            <a:noFill/>
                            <a:miter lim="127000"/>
                          </a:ln>
                          <a:effectLst/>
                        </wps:spPr>
                        <wps:bodyPr/>
                      </wps:wsp>
                      <wps:wsp>
                        <wps:cNvPr id="349" name="Rectangle 349"/>
                        <wps:cNvSpPr/>
                        <wps:spPr>
                          <a:xfrm>
                            <a:off x="696721" y="7637335"/>
                            <a:ext cx="149105" cy="154426"/>
                          </a:xfrm>
                          <a:prstGeom prst="rect">
                            <a:avLst/>
                          </a:prstGeom>
                          <a:ln>
                            <a:noFill/>
                          </a:ln>
                        </wps:spPr>
                        <wps:txbx>
                          <w:txbxContent>
                            <w:p w14:paraId="543203F7" w14:textId="77777777" w:rsidR="00A41391" w:rsidRDefault="00A41391" w:rsidP="009D683D">
                              <w:r>
                                <w:rPr>
                                  <w:rFonts w:ascii="Calibri" w:eastAsia="Calibri" w:hAnsi="Calibri" w:cs="Calibri"/>
                                  <w:b/>
                                  <w:color w:val="181717"/>
                                  <w:spacing w:val="-1"/>
                                  <w:w w:val="116"/>
                                  <w:sz w:val="15"/>
                                </w:rPr>
                                <w:t>35</w:t>
                              </w:r>
                            </w:p>
                          </w:txbxContent>
                        </wps:txbx>
                        <wps:bodyPr horzOverflow="overflow" vert="horz" lIns="0" tIns="0" rIns="0" bIns="0" rtlCol="0">
                          <a:noAutofit/>
                        </wps:bodyPr>
                      </wps:wsp>
                      <wps:wsp>
                        <wps:cNvPr id="350" name="Rectangle 350"/>
                        <wps:cNvSpPr/>
                        <wps:spPr>
                          <a:xfrm>
                            <a:off x="857550" y="7646844"/>
                            <a:ext cx="6252238" cy="160852"/>
                          </a:xfrm>
                          <a:prstGeom prst="rect">
                            <a:avLst/>
                          </a:prstGeom>
                          <a:ln>
                            <a:noFill/>
                          </a:ln>
                        </wps:spPr>
                        <wps:txbx>
                          <w:txbxContent>
                            <w:p w14:paraId="2A6EF559" w14:textId="77777777" w:rsidR="00A41391" w:rsidRDefault="00A41391" w:rsidP="009D683D">
                              <w:r>
                                <w:rPr>
                                  <w:rFonts w:ascii="Calibri" w:eastAsia="Calibri" w:hAnsi="Calibri" w:cs="Calibri"/>
                                  <w:color w:val="181717"/>
                                  <w:spacing w:val="109"/>
                                  <w:w w:val="110"/>
                                  <w:sz w:val="18"/>
                                </w:rPr>
                                <w:t xml:space="preserve"> </w:t>
                              </w:r>
                              <w:r>
                                <w:rPr>
                                  <w:rFonts w:ascii="Calibri" w:eastAsia="Calibri" w:hAnsi="Calibri" w:cs="Calibri"/>
                                  <w:color w:val="181717"/>
                                  <w:w w:val="110"/>
                                  <w:sz w:val="18"/>
                                </w:rPr>
                                <w:t>Implement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transplant-specific</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‘train</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the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trainer’</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workshops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for</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Indigenous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health</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workers.</w:t>
                              </w:r>
                              <w:r>
                                <w:rPr>
                                  <w:rFonts w:ascii="Calibri" w:eastAsia="Calibri" w:hAnsi="Calibri" w:cs="Calibri"/>
                                  <w:color w:val="181717"/>
                                  <w:spacing w:val="6"/>
                                  <w:w w:val="110"/>
                                  <w:sz w:val="18"/>
                                </w:rPr>
                                <w:t xml:space="preserve"> </w:t>
                              </w:r>
                            </w:p>
                          </w:txbxContent>
                        </wps:txbx>
                        <wps:bodyPr horzOverflow="overflow" vert="horz" lIns="0" tIns="0" rIns="0" bIns="0" rtlCol="0">
                          <a:noAutofit/>
                        </wps:bodyPr>
                      </wps:wsp>
                    </wpg:wgp>
                  </a:graphicData>
                </a:graphic>
              </wp:inline>
            </w:drawing>
          </mc:Choice>
          <mc:Fallback>
            <w:pict>
              <v:group w14:anchorId="05A5C3C7" id="Group 2654" o:spid="_x0000_s1129" alt="Continuation of summary table" style="width:503.3pt;height:689.35pt;mso-position-horizontal-relative:char;mso-position-vertical-relative:line" coordsize="77958,9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">
                <v:shape id="Shape 4812" o:spid="_x0000_s1130" style="position:absolute;width:75599;height:94319;visibility:visible;mso-wrap-style:square;v-text-anchor:top" coordsize="7559993,943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" path="m,l7559993,r,9431998l,9431998,,e" fillcolor="#eae6dd" stroked="f" strokeweight="0">
                  <v:stroke miterlimit="83231f" joinstyle="miter"/>
                  <v:path arrowok="t" textboxrect="0,0,7559993,9431998"/>
                </v:shape>
                <v:shape id="Shape 276" o:spid="_x0000_s1131" style="position:absolute;left:6480;top:2190;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" path="m104775,v57861,,104775,46914,104775,104775c209550,162636,162636,209550,104775,209550,46914,209550,,162636,,104775,,46914,46914,,104775,xe" fillcolor="#fffefd" stroked="f" strokeweight="0">
                  <v:stroke miterlimit="83231f" joinstyle="miter"/>
                  <v:path arrowok="t" textboxrect="0,0,209550,209550"/>
                </v:shape>
                <v:rect id="Rectangle 277" o:spid="_x0000_s1132" style="position:absolute;left:7037;top:2649;width:1304;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50C672AD" w14:textId="77777777" w:rsidR="00A41391" w:rsidRDefault="00A41391" w:rsidP="009D683D">
                        <w:r>
                          <w:rPr>
                            <w:rFonts w:ascii="Calibri" w:eastAsia="Calibri" w:hAnsi="Calibri" w:cs="Calibri"/>
                            <w:b/>
                            <w:color w:val="181717"/>
                            <w:w w:val="101"/>
                            <w:sz w:val="15"/>
                          </w:rPr>
                          <w:t>16</w:t>
                        </w:r>
                      </w:p>
                    </w:txbxContent>
                  </v:textbox>
                </v:rect>
                <v:rect id="Rectangle 278" o:spid="_x0000_s1133" style="position:absolute;left:8575;top:2744;width:69375;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361C0741" w14:textId="77777777" w:rsidR="00A41391" w:rsidRDefault="00A41391" w:rsidP="009D683D">
                        <w:r>
                          <w:rPr>
                            <w:rFonts w:ascii="Calibri" w:eastAsia="Calibri" w:hAnsi="Calibri" w:cs="Calibri"/>
                            <w:color w:val="181717"/>
                            <w:spacing w:val="109"/>
                            <w:w w:val="111"/>
                            <w:sz w:val="18"/>
                          </w:rPr>
                          <w:t xml:space="preserve"> </w:t>
                        </w:r>
                        <w:r>
                          <w:rPr>
                            <w:rFonts w:ascii="Calibri" w:eastAsia="Calibri" w:hAnsi="Calibri" w:cs="Calibri"/>
                            <w:color w:val="181717"/>
                            <w:w w:val="111"/>
                            <w:sz w:val="18"/>
                          </w:rPr>
                          <w:t>Conduct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study</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on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transplant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models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of</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care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to</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quantify</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the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costs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for</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rural</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remote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Indigenous</w:t>
                        </w:r>
                        <w:r>
                          <w:rPr>
                            <w:rFonts w:ascii="Calibri" w:eastAsia="Calibri" w:hAnsi="Calibri" w:cs="Calibri"/>
                            <w:color w:val="181717"/>
                            <w:spacing w:val="6"/>
                            <w:w w:val="111"/>
                            <w:sz w:val="18"/>
                          </w:rPr>
                          <w:t xml:space="preserve"> </w:t>
                        </w:r>
                      </w:p>
                    </w:txbxContent>
                  </v:textbox>
                </v:rect>
                <v:rect id="Rectangle 279" o:spid="_x0000_s1134" style="position:absolute;left:9528;top:4268;width:47466;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14:paraId="3299116F" w14:textId="77777777" w:rsidR="00A41391" w:rsidRDefault="00A41391" w:rsidP="009D683D">
                        <w:r>
                          <w:rPr>
                            <w:rFonts w:ascii="Calibri" w:eastAsia="Calibri" w:hAnsi="Calibri" w:cs="Calibri"/>
                            <w:color w:val="181717"/>
                            <w:w w:val="111"/>
                            <w:sz w:val="18"/>
                          </w:rPr>
                          <w:t>patients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to</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inform</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the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development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of</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needs-based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funding</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model.</w:t>
                        </w:r>
                        <w:r>
                          <w:rPr>
                            <w:rFonts w:ascii="Calibri" w:eastAsia="Calibri" w:hAnsi="Calibri" w:cs="Calibri"/>
                            <w:color w:val="181717"/>
                            <w:spacing w:val="6"/>
                            <w:w w:val="111"/>
                            <w:sz w:val="18"/>
                          </w:rPr>
                          <w:t xml:space="preserve"> </w:t>
                        </w:r>
                      </w:p>
                    </w:txbxContent>
                  </v:textbox>
                </v:rect>
                <v:shape id="Shape 280" o:spid="_x0000_s1135" style="position:absolute;left:6480;top:6191;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" path="m104775,v57861,,104775,46914,104775,104775c209550,162636,162636,209550,104775,209550,46914,209550,,162636,,104775,,46914,46914,,104775,xe" fillcolor="#fffefd" stroked="f" strokeweight="0">
                  <v:stroke miterlimit="83231f" joinstyle="miter"/>
                  <v:path arrowok="t" textboxrect="0,0,209550,209550"/>
                </v:shape>
                <v:rect id="Rectangle 281" o:spid="_x0000_s1136" style="position:absolute;left:7045;top:6650;width:1282;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14:paraId="3FEC81EE" w14:textId="77777777" w:rsidR="00A41391" w:rsidRDefault="00A41391" w:rsidP="009D683D">
                        <w:r>
                          <w:rPr>
                            <w:rFonts w:ascii="Calibri" w:eastAsia="Calibri" w:hAnsi="Calibri" w:cs="Calibri"/>
                            <w:b/>
                            <w:color w:val="181717"/>
                            <w:w w:val="99"/>
                            <w:sz w:val="15"/>
                          </w:rPr>
                          <w:t>17</w:t>
                        </w:r>
                      </w:p>
                    </w:txbxContent>
                  </v:textbox>
                </v:rect>
                <v:rect id="Rectangle 282" o:spid="_x0000_s1137" style="position:absolute;left:8575;top:6745;width:65434;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14:paraId="3A2D596C" w14:textId="77777777" w:rsidR="00A41391" w:rsidRDefault="00A41391" w:rsidP="009D683D">
                        <w:r>
                          <w:rPr>
                            <w:rFonts w:ascii="Calibri" w:eastAsia="Calibri" w:hAnsi="Calibri" w:cs="Calibri"/>
                            <w:color w:val="181717"/>
                            <w:spacing w:val="109"/>
                            <w:w w:val="110"/>
                            <w:sz w:val="18"/>
                          </w:rPr>
                          <w:t xml:space="preserve"> </w:t>
                        </w:r>
                        <w:r>
                          <w:rPr>
                            <w:rFonts w:ascii="Calibri" w:eastAsia="Calibri" w:hAnsi="Calibri" w:cs="Calibri"/>
                            <w:color w:val="181717"/>
                            <w:w w:val="110"/>
                            <w:sz w:val="18"/>
                          </w:rPr>
                          <w:t>Undertake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systematic</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review</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of</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Australian</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POCT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models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to</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guide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the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development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of</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post-</w:t>
                        </w:r>
                      </w:p>
                    </w:txbxContent>
                  </v:textbox>
                </v:rect>
                <v:rect id="Rectangle 283" o:spid="_x0000_s1138" style="position:absolute;left:9528;top:8269;width:64415;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512568E3" w14:textId="77777777" w:rsidR="00A41391" w:rsidRDefault="00A41391" w:rsidP="009D683D">
                        <w:r>
                          <w:rPr>
                            <w:rFonts w:ascii="Calibri" w:eastAsia="Calibri" w:hAnsi="Calibri" w:cs="Calibri"/>
                            <w:color w:val="181717"/>
                            <w:w w:val="111"/>
                            <w:sz w:val="18"/>
                          </w:rPr>
                          <w:t>transplant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care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POCT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program,</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comprising</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new</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POCT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measures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that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enable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the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monitoring</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of</w:t>
                        </w:r>
                        <w:r>
                          <w:rPr>
                            <w:rFonts w:ascii="Calibri" w:eastAsia="Calibri" w:hAnsi="Calibri" w:cs="Calibri"/>
                            <w:color w:val="181717"/>
                            <w:spacing w:val="6"/>
                            <w:w w:val="111"/>
                            <w:sz w:val="18"/>
                          </w:rPr>
                          <w:t xml:space="preserve"> </w:t>
                        </w:r>
                      </w:p>
                    </w:txbxContent>
                  </v:textbox>
                </v:rect>
                <v:rect id="Rectangle 284" o:spid="_x0000_s1139" style="position:absolute;left:9528;top:9793;width:55721;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14:paraId="5D4DC397" w14:textId="77777777" w:rsidR="00A41391" w:rsidRDefault="00A41391" w:rsidP="009D683D">
                        <w:r>
                          <w:rPr>
                            <w:rFonts w:ascii="Calibri" w:eastAsia="Calibri" w:hAnsi="Calibri" w:cs="Calibri"/>
                            <w:color w:val="181717"/>
                            <w:w w:val="111"/>
                            <w:sz w:val="18"/>
                          </w:rPr>
                          <w:t>renal</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function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immunosuppressive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drug</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levels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kidney</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transplant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recipients.</w:t>
                        </w:r>
                      </w:p>
                    </w:txbxContent>
                  </v:textbox>
                </v:rect>
                <v:shape id="Shape 285" o:spid="_x0000_s1140" style="position:absolute;left:6480;top:11715;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" path="m104775,v57861,,104775,46914,104775,104775c209550,162636,162636,209550,104775,209550,46914,209550,,162636,,104775,,46914,46914,,104775,xe" fillcolor="#fffefd" stroked="f" strokeweight="0">
                  <v:stroke miterlimit="83231f" joinstyle="miter"/>
                  <v:path arrowok="t" textboxrect="0,0,209550,209550"/>
                </v:shape>
                <v:rect id="Rectangle 286" o:spid="_x0000_s1141" style="position:absolute;left:7026;top:12174;width:1333;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670E7E96" w14:textId="77777777" w:rsidR="00A41391" w:rsidRDefault="00A41391" w:rsidP="009D683D">
                        <w:r>
                          <w:rPr>
                            <w:rFonts w:ascii="Calibri" w:eastAsia="Calibri" w:hAnsi="Calibri" w:cs="Calibri"/>
                            <w:b/>
                            <w:color w:val="181717"/>
                            <w:w w:val="103"/>
                            <w:sz w:val="15"/>
                          </w:rPr>
                          <w:t>18</w:t>
                        </w:r>
                      </w:p>
                    </w:txbxContent>
                  </v:textbox>
                </v:rect>
                <v:rect id="Rectangle 287" o:spid="_x0000_s1142" style="position:absolute;left:8575;top:12269;width:48198;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14:paraId="59854A3C" w14:textId="77777777" w:rsidR="00A41391" w:rsidRDefault="00A41391" w:rsidP="009D683D">
                        <w:r>
                          <w:rPr>
                            <w:rFonts w:ascii="Calibri" w:eastAsia="Calibri" w:hAnsi="Calibri" w:cs="Calibri"/>
                            <w:color w:val="181717"/>
                            <w:spacing w:val="109"/>
                            <w:w w:val="111"/>
                            <w:sz w:val="18"/>
                          </w:rPr>
                          <w:t xml:space="preserve"> </w:t>
                        </w:r>
                        <w:r>
                          <w:rPr>
                            <w:rFonts w:ascii="Calibri" w:eastAsia="Calibri" w:hAnsi="Calibri" w:cs="Calibri"/>
                            <w:color w:val="181717"/>
                            <w:w w:val="111"/>
                            <w:sz w:val="18"/>
                          </w:rPr>
                          <w:t>Subsidise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POCT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tests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that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have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been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validated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by</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empirical</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evidence.</w:t>
                        </w:r>
                      </w:p>
                    </w:txbxContent>
                  </v:textbox>
                </v:rect>
                <v:shape id="Shape 288" o:spid="_x0000_s1143" style="position:absolute;left:6480;top:14192;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" path="m104775,v57861,,104775,46914,104775,104775c209550,162636,162636,209550,104775,209550,46914,209550,,162636,,104775,,46914,46914,,104775,xe" fillcolor="#fffefd" stroked="f" strokeweight="0">
                  <v:stroke miterlimit="83231f" joinstyle="miter"/>
                  <v:path arrowok="t" textboxrect="0,0,209550,209550"/>
                </v:shape>
                <v:rect id="Rectangle 289" o:spid="_x0000_s1144" style="position:absolute;left:7037;top:14651;width:1304;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" filled="f" stroked="f">
                  <v:textbox inset="0,0,0,0">
                    <w:txbxContent>
                      <w:p w14:paraId="1689BC6D" w14:textId="77777777" w:rsidR="00A41391" w:rsidRDefault="00A41391" w:rsidP="009D683D">
                        <w:r>
                          <w:rPr>
                            <w:rFonts w:ascii="Calibri" w:eastAsia="Calibri" w:hAnsi="Calibri" w:cs="Calibri"/>
                            <w:b/>
                            <w:color w:val="181717"/>
                            <w:w w:val="101"/>
                            <w:sz w:val="15"/>
                          </w:rPr>
                          <w:t>19</w:t>
                        </w:r>
                      </w:p>
                    </w:txbxContent>
                  </v:textbox>
                </v:rect>
                <v:rect id="Rectangle 290" o:spid="_x0000_s1145" style="position:absolute;left:8575;top:14746;width:69295;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14:paraId="6A558666" w14:textId="77777777" w:rsidR="00A41391" w:rsidRDefault="00A41391" w:rsidP="009D683D">
                        <w:r>
                          <w:rPr>
                            <w:rFonts w:ascii="Calibri" w:eastAsia="Calibri" w:hAnsi="Calibri" w:cs="Calibri"/>
                            <w:color w:val="181717"/>
                            <w:spacing w:val="109"/>
                            <w:w w:val="110"/>
                            <w:sz w:val="18"/>
                          </w:rPr>
                          <w:t xml:space="preserve"> </w:t>
                        </w:r>
                        <w:r>
                          <w:rPr>
                            <w:rFonts w:ascii="Calibri" w:eastAsia="Calibri" w:hAnsi="Calibri" w:cs="Calibri"/>
                            <w:color w:val="181717"/>
                            <w:w w:val="110"/>
                            <w:sz w:val="18"/>
                          </w:rPr>
                          <w:t>Investigate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the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value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of</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telenephrology</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telepharmacy</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programs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for</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kidney</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transplant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recipients</w:t>
                        </w:r>
                        <w:r>
                          <w:rPr>
                            <w:rFonts w:ascii="Calibri" w:eastAsia="Calibri" w:hAnsi="Calibri" w:cs="Calibri"/>
                            <w:color w:val="181717"/>
                            <w:spacing w:val="6"/>
                            <w:w w:val="110"/>
                            <w:sz w:val="18"/>
                          </w:rPr>
                          <w:t xml:space="preserve"> </w:t>
                        </w:r>
                      </w:p>
                    </w:txbxContent>
                  </v:textbox>
                </v:rect>
                <v:rect id="Rectangle 291" o:spid="_x0000_s1146" style="position:absolute;left:9528;top:16270;width:22082;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14:paraId="40814515" w14:textId="77777777" w:rsidR="00A41391" w:rsidRDefault="00A41391" w:rsidP="009D683D">
                        <w:r>
                          <w:rPr>
                            <w:rFonts w:ascii="Calibri" w:eastAsia="Calibri" w:hAnsi="Calibri" w:cs="Calibri"/>
                            <w:color w:val="181717"/>
                            <w:w w:val="111"/>
                            <w:sz w:val="18"/>
                          </w:rPr>
                          <w:t>living</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rural</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regional</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areas.</w:t>
                        </w:r>
                      </w:p>
                    </w:txbxContent>
                  </v:textbox>
                </v:rect>
                <v:shape id="Shape 292" o:spid="_x0000_s1147" style="position:absolute;left:6480;top:18192;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" path="m104775,v57861,,104775,46914,104775,104775c209550,162636,162636,209550,104775,209550,46914,209550,,162636,,104775,,46914,46914,,104775,xe" fillcolor="#fffefd" stroked="f" strokeweight="0">
                  <v:stroke miterlimit="83231f" joinstyle="miter"/>
                  <v:path arrowok="t" textboxrect="0,0,209550,209550"/>
                </v:shape>
                <v:rect id="Rectangle 293" o:spid="_x0000_s1148" style="position:absolute;left:6924;top:18651;width:1605;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14:paraId="5FFF1FDA" w14:textId="77777777" w:rsidR="00A41391" w:rsidRDefault="00A41391" w:rsidP="009D683D">
                        <w:r>
                          <w:rPr>
                            <w:rFonts w:ascii="Calibri" w:eastAsia="Calibri" w:hAnsi="Calibri" w:cs="Calibri"/>
                            <w:b/>
                            <w:color w:val="181717"/>
                            <w:w w:val="124"/>
                            <w:sz w:val="15"/>
                          </w:rPr>
                          <w:t>20</w:t>
                        </w:r>
                      </w:p>
                    </w:txbxContent>
                  </v:textbox>
                </v:rect>
                <v:rect id="Rectangle 294" o:spid="_x0000_s1149" style="position:absolute;left:8575;top:18746;width:68164;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14:paraId="175109E4" w14:textId="77777777" w:rsidR="00A41391" w:rsidRDefault="00A41391" w:rsidP="009D683D">
                        <w:r>
                          <w:rPr>
                            <w:rFonts w:ascii="Calibri" w:eastAsia="Calibri" w:hAnsi="Calibri" w:cs="Calibri"/>
                            <w:color w:val="181717"/>
                            <w:spacing w:val="109"/>
                            <w:w w:val="110"/>
                            <w:sz w:val="18"/>
                          </w:rPr>
                          <w:t xml:space="preserve"> </w:t>
                        </w:r>
                        <w:r>
                          <w:rPr>
                            <w:rFonts w:ascii="Calibri" w:eastAsia="Calibri" w:hAnsi="Calibri" w:cs="Calibri"/>
                            <w:color w:val="181717"/>
                            <w:w w:val="110"/>
                            <w:sz w:val="18"/>
                          </w:rPr>
                          <w:t>Design</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implement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remote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community</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pharmacist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trial</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to</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facilitate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improved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awareness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p>
                    </w:txbxContent>
                  </v:textbox>
                </v:rect>
                <v:rect id="Rectangle 295" o:spid="_x0000_s1150" style="position:absolute;left:9528;top:20270;width:6627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14:paraId="4C0A19F8" w14:textId="77777777" w:rsidR="00A41391" w:rsidRDefault="00A41391" w:rsidP="009D683D">
                        <w:r>
                          <w:rPr>
                            <w:rFonts w:ascii="Calibri" w:eastAsia="Calibri" w:hAnsi="Calibri" w:cs="Calibri"/>
                            <w:color w:val="181717"/>
                            <w:w w:val="111"/>
                            <w:sz w:val="18"/>
                          </w:rPr>
                          <w:t>knowledge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of</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transplant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related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maintenance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requirements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among</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Indigenous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kidney</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transplant</w:t>
                        </w:r>
                        <w:r>
                          <w:rPr>
                            <w:rFonts w:ascii="Calibri" w:eastAsia="Calibri" w:hAnsi="Calibri" w:cs="Calibri"/>
                            <w:color w:val="181717"/>
                            <w:spacing w:val="6"/>
                            <w:w w:val="111"/>
                            <w:sz w:val="18"/>
                          </w:rPr>
                          <w:t xml:space="preserve"> </w:t>
                        </w:r>
                      </w:p>
                    </w:txbxContent>
                  </v:textbox>
                </v:rect>
                <v:rect id="Rectangle 296" o:spid="_x0000_s1151" style="position:absolute;left:9528;top:21794;width:17883;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14:paraId="39610CCA" w14:textId="77777777" w:rsidR="00A41391" w:rsidRDefault="00A41391" w:rsidP="009D683D">
                        <w:r>
                          <w:rPr>
                            <w:rFonts w:ascii="Calibri" w:eastAsia="Calibri" w:hAnsi="Calibri" w:cs="Calibri"/>
                            <w:color w:val="181717"/>
                            <w:w w:val="111"/>
                            <w:sz w:val="18"/>
                          </w:rPr>
                          <w:t>candidates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recipients.</w:t>
                        </w:r>
                      </w:p>
                    </w:txbxContent>
                  </v:textbox>
                </v:rect>
                <v:shape id="Shape 297" o:spid="_x0000_s1152" style="position:absolute;left:6480;top:23717;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" path="m104775,v57861,,104775,46914,104775,104775c209550,162636,162636,209550,104775,209550,46914,209550,,162636,,104775,,46914,46914,,104775,xe" fillcolor="#fffefd" stroked="f" strokeweight="0">
                  <v:stroke miterlimit="83231f" joinstyle="miter"/>
                  <v:path arrowok="t" textboxrect="0,0,209550,209550"/>
                </v:shape>
                <v:rect id="Rectangle 298" o:spid="_x0000_s1153" style="position:absolute;left:7060;top:24176;width:1244;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14:paraId="051DA5C4" w14:textId="77777777" w:rsidR="00A41391" w:rsidRDefault="00A41391" w:rsidP="009D683D">
                        <w:r>
                          <w:rPr>
                            <w:rFonts w:ascii="Calibri" w:eastAsia="Calibri" w:hAnsi="Calibri" w:cs="Calibri"/>
                            <w:b/>
                            <w:color w:val="181717"/>
                            <w:w w:val="96"/>
                            <w:sz w:val="15"/>
                          </w:rPr>
                          <w:t>21</w:t>
                        </w:r>
                      </w:p>
                    </w:txbxContent>
                  </v:textbox>
                </v:rect>
                <v:rect id="Rectangle 299" o:spid="_x0000_s1154" style="position:absolute;left:8575;top:24271;width:58872;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14:paraId="39A3425A" w14:textId="77777777" w:rsidR="00A41391" w:rsidRDefault="00A41391" w:rsidP="009D683D">
                        <w:r>
                          <w:rPr>
                            <w:rFonts w:ascii="Calibri" w:eastAsia="Calibri" w:hAnsi="Calibri" w:cs="Calibri"/>
                            <w:color w:val="181717"/>
                            <w:spacing w:val="109"/>
                            <w:w w:val="111"/>
                            <w:sz w:val="18"/>
                          </w:rPr>
                          <w:t xml:space="preserve"> </w:t>
                        </w:r>
                        <w:r>
                          <w:rPr>
                            <w:rFonts w:ascii="Calibri" w:eastAsia="Calibri" w:hAnsi="Calibri" w:cs="Calibri"/>
                            <w:color w:val="181717"/>
                            <w:w w:val="111"/>
                            <w:sz w:val="18"/>
                          </w:rPr>
                          <w:t>Subsidise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clinical</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pharmacy</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outpatient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consults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for</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Indigenous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transplant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recipients.</w:t>
                        </w:r>
                        <w:r>
                          <w:rPr>
                            <w:rFonts w:ascii="Calibri" w:eastAsia="Calibri" w:hAnsi="Calibri" w:cs="Calibri"/>
                            <w:color w:val="181717"/>
                            <w:spacing w:val="6"/>
                            <w:w w:val="111"/>
                            <w:sz w:val="18"/>
                          </w:rPr>
                          <w:t xml:space="preserve"> </w:t>
                        </w:r>
                      </w:p>
                    </w:txbxContent>
                  </v:textbox>
                </v:rect>
                <v:shape id="Shape 300" o:spid="_x0000_s1155" style="position:absolute;left:6480;top:26193;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" path="m104775,v57861,,104775,46914,104775,104775c209550,162636,162636,209550,104775,209550,46914,209550,,162636,,104775,,46914,46914,,104775,xe" fillcolor="#fffefd" stroked="f" strokeweight="0">
                  <v:stroke miterlimit="83231f" joinstyle="miter"/>
                  <v:path arrowok="t" textboxrect="0,0,209550,209550"/>
                </v:shape>
                <v:rect id="Rectangle 301" o:spid="_x0000_s1156" style="position:absolute;left:6965;top:26652;width:1495;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14:paraId="5FB093DC" w14:textId="77777777" w:rsidR="00A41391" w:rsidRDefault="00A41391" w:rsidP="009D683D">
                        <w:r>
                          <w:rPr>
                            <w:rFonts w:ascii="Calibri" w:eastAsia="Calibri" w:hAnsi="Calibri" w:cs="Calibri"/>
                            <w:b/>
                            <w:color w:val="181717"/>
                            <w:w w:val="116"/>
                            <w:sz w:val="15"/>
                          </w:rPr>
                          <w:t>22</w:t>
                        </w:r>
                      </w:p>
                    </w:txbxContent>
                  </v:textbox>
                </v:rect>
                <v:rect id="Rectangle 302" o:spid="_x0000_s1157" style="position:absolute;left:8575;top:26747;width:67626;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14:paraId="744713C4" w14:textId="77777777" w:rsidR="00A41391" w:rsidRDefault="00A41391" w:rsidP="009D683D">
                        <w:r>
                          <w:rPr>
                            <w:rFonts w:ascii="Calibri" w:eastAsia="Calibri" w:hAnsi="Calibri" w:cs="Calibri"/>
                            <w:color w:val="181717"/>
                            <w:spacing w:val="109"/>
                            <w:w w:val="111"/>
                            <w:sz w:val="18"/>
                          </w:rPr>
                          <w:t xml:space="preserve"> </w:t>
                        </w:r>
                        <w:r>
                          <w:rPr>
                            <w:rFonts w:ascii="Calibri" w:eastAsia="Calibri" w:hAnsi="Calibri" w:cs="Calibri"/>
                            <w:color w:val="181717"/>
                            <w:w w:val="111"/>
                            <w:sz w:val="18"/>
                          </w:rPr>
                          <w:t>Broaden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the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list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of</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eligible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prescribers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for</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the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Closing</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the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Gap</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(CTG)</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PBS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Co-payment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Measure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to</w:t>
                        </w:r>
                        <w:r>
                          <w:rPr>
                            <w:rFonts w:ascii="Calibri" w:eastAsia="Calibri" w:hAnsi="Calibri" w:cs="Calibri"/>
                            <w:color w:val="181717"/>
                            <w:spacing w:val="6"/>
                            <w:w w:val="111"/>
                            <w:sz w:val="18"/>
                          </w:rPr>
                          <w:t xml:space="preserve"> </w:t>
                        </w:r>
                      </w:p>
                    </w:txbxContent>
                  </v:textbox>
                </v:rect>
                <v:rect id="Rectangle 303" o:spid="_x0000_s1158" style="position:absolute;left:9528;top:28271;width:18163;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14:paraId="33F4669A" w14:textId="77777777" w:rsidR="00A41391" w:rsidRDefault="00A41391" w:rsidP="009D683D">
                        <w:r>
                          <w:rPr>
                            <w:rFonts w:ascii="Calibri" w:eastAsia="Calibri" w:hAnsi="Calibri" w:cs="Calibri"/>
                            <w:color w:val="181717"/>
                            <w:w w:val="111"/>
                            <w:sz w:val="18"/>
                          </w:rPr>
                          <w:t>include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transplant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centres.</w:t>
                        </w:r>
                      </w:p>
                    </w:txbxContent>
                  </v:textbox>
                </v:rect>
                <v:rect id="Rectangle 2584" o:spid="_x0000_s1159" style="position:absolute;left:6480;top:31284;width:66779;height:2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3FF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L/jL3i8CU9ATu4AAAD//wMAUEsBAi0AFAAGAAgAAAAhANvh9svuAAAAhQEAABMAAAAAAAAA&#10;AAAAAAAAAAAAAFtDb250ZW50X1R5cGVzXS54bWxQSwECLQAUAAYACAAAACEAWvQsW78AAAAVAQAA&#10;CwAAAAAAAAAAAAAAAAAfAQAAX3JlbHMvLnJlbHNQSwECLQAUAAYACAAAACEAr0dxRcYAAADdAAAA&#10;DwAAAAAAAAAAAAAAAAAHAgAAZHJzL2Rvd25yZXYueG1sUEsFBgAAAAADAAMAtwAAAPoCAAAAAA==&#10;" filled="f" stroked="f">
                  <v:textbox inset="0,0,0,0">
                    <w:txbxContent>
                      <w:p w14:paraId="1CDAEAC2" w14:textId="77777777" w:rsidR="00A41391" w:rsidRDefault="00A41391" w:rsidP="009D683D">
                        <w:r>
                          <w:rPr>
                            <w:rFonts w:ascii="Calibri" w:eastAsia="Calibri" w:hAnsi="Calibri" w:cs="Calibri"/>
                            <w:b/>
                            <w:color w:val="181717"/>
                            <w:w w:val="131"/>
                            <w:sz w:val="21"/>
                            <w:u w:val="single" w:color="007FAC"/>
                          </w:rPr>
                          <w:t>Researching,</w:t>
                        </w:r>
                        <w:r>
                          <w:rPr>
                            <w:rFonts w:ascii="Calibri" w:eastAsia="Calibri" w:hAnsi="Calibri" w:cs="Calibri"/>
                            <w:b/>
                            <w:color w:val="181717"/>
                            <w:spacing w:val="12"/>
                            <w:w w:val="131"/>
                            <w:sz w:val="21"/>
                            <w:u w:val="single" w:color="007FAC"/>
                          </w:rPr>
                          <w:t xml:space="preserve"> </w:t>
                        </w:r>
                        <w:r>
                          <w:rPr>
                            <w:rFonts w:ascii="Calibri" w:eastAsia="Calibri" w:hAnsi="Calibri" w:cs="Calibri"/>
                            <w:b/>
                            <w:color w:val="181717"/>
                            <w:w w:val="131"/>
                            <w:sz w:val="21"/>
                            <w:u w:val="single" w:color="007FAC"/>
                          </w:rPr>
                          <w:t>developing</w:t>
                        </w:r>
                        <w:r>
                          <w:rPr>
                            <w:rFonts w:ascii="Calibri" w:eastAsia="Calibri" w:hAnsi="Calibri" w:cs="Calibri"/>
                            <w:b/>
                            <w:color w:val="181717"/>
                            <w:spacing w:val="12"/>
                            <w:w w:val="131"/>
                            <w:sz w:val="21"/>
                            <w:u w:val="single" w:color="007FAC"/>
                          </w:rPr>
                          <w:t xml:space="preserve"> </w:t>
                        </w:r>
                        <w:r>
                          <w:rPr>
                            <w:rFonts w:ascii="Calibri" w:eastAsia="Calibri" w:hAnsi="Calibri" w:cs="Calibri"/>
                            <w:b/>
                            <w:color w:val="181717"/>
                            <w:w w:val="131"/>
                            <w:sz w:val="21"/>
                            <w:u w:val="single" w:color="007FAC"/>
                          </w:rPr>
                          <w:t>&amp;</w:t>
                        </w:r>
                        <w:r>
                          <w:rPr>
                            <w:rFonts w:ascii="Calibri" w:eastAsia="Calibri" w:hAnsi="Calibri" w:cs="Calibri"/>
                            <w:b/>
                            <w:color w:val="181717"/>
                            <w:spacing w:val="12"/>
                            <w:w w:val="131"/>
                            <w:sz w:val="21"/>
                            <w:u w:val="single" w:color="007FAC"/>
                          </w:rPr>
                          <w:t xml:space="preserve"> </w:t>
                        </w:r>
                        <w:r>
                          <w:rPr>
                            <w:rFonts w:ascii="Calibri" w:eastAsia="Calibri" w:hAnsi="Calibri" w:cs="Calibri"/>
                            <w:b/>
                            <w:color w:val="181717"/>
                            <w:w w:val="131"/>
                            <w:sz w:val="21"/>
                            <w:u w:val="single" w:color="007FAC"/>
                          </w:rPr>
                          <w:t>implementing</w:t>
                        </w:r>
                        <w:r>
                          <w:rPr>
                            <w:rFonts w:ascii="Calibri" w:eastAsia="Calibri" w:hAnsi="Calibri" w:cs="Calibri"/>
                            <w:b/>
                            <w:color w:val="181717"/>
                            <w:spacing w:val="12"/>
                            <w:w w:val="131"/>
                            <w:sz w:val="21"/>
                            <w:u w:val="single" w:color="007FAC"/>
                          </w:rPr>
                          <w:t xml:space="preserve"> </w:t>
                        </w:r>
                        <w:r>
                          <w:rPr>
                            <w:rFonts w:ascii="Calibri" w:eastAsia="Calibri" w:hAnsi="Calibri" w:cs="Calibri"/>
                            <w:b/>
                            <w:color w:val="181717"/>
                            <w:w w:val="131"/>
                            <w:sz w:val="21"/>
                            <w:u w:val="single" w:color="007FAC"/>
                          </w:rPr>
                          <w:t>clinical</w:t>
                        </w:r>
                        <w:r>
                          <w:rPr>
                            <w:rFonts w:ascii="Calibri" w:eastAsia="Calibri" w:hAnsi="Calibri" w:cs="Calibri"/>
                            <w:b/>
                            <w:color w:val="181717"/>
                            <w:spacing w:val="12"/>
                            <w:w w:val="131"/>
                            <w:sz w:val="21"/>
                            <w:u w:val="single" w:color="007FAC"/>
                          </w:rPr>
                          <w:t xml:space="preserve"> </w:t>
                        </w:r>
                        <w:r>
                          <w:rPr>
                            <w:rFonts w:ascii="Calibri" w:eastAsia="Calibri" w:hAnsi="Calibri" w:cs="Calibri"/>
                            <w:b/>
                            <w:color w:val="181717"/>
                            <w:w w:val="131"/>
                            <w:sz w:val="21"/>
                            <w:u w:val="single" w:color="007FAC"/>
                          </w:rPr>
                          <w:t>guidelines</w:t>
                        </w:r>
                        <w:r>
                          <w:rPr>
                            <w:rFonts w:ascii="Calibri" w:eastAsia="Calibri" w:hAnsi="Calibri" w:cs="Calibri"/>
                            <w:b/>
                            <w:color w:val="181717"/>
                            <w:spacing w:val="12"/>
                            <w:w w:val="131"/>
                            <w:sz w:val="21"/>
                            <w:u w:val="single" w:color="007FAC"/>
                          </w:rPr>
                          <w:t xml:space="preserve"> </w:t>
                        </w:r>
                        <w:r>
                          <w:rPr>
                            <w:rFonts w:ascii="Calibri" w:eastAsia="Calibri" w:hAnsi="Calibri" w:cs="Calibri"/>
                            <w:b/>
                            <w:color w:val="181717"/>
                            <w:w w:val="131"/>
                            <w:sz w:val="21"/>
                            <w:u w:val="single" w:color="007FAC"/>
                          </w:rPr>
                          <w:t>&amp;</w:t>
                        </w:r>
                        <w:r>
                          <w:rPr>
                            <w:rFonts w:ascii="Calibri" w:eastAsia="Calibri" w:hAnsi="Calibri" w:cs="Calibri"/>
                            <w:b/>
                            <w:color w:val="181717"/>
                            <w:spacing w:val="12"/>
                            <w:w w:val="131"/>
                            <w:sz w:val="21"/>
                            <w:u w:val="single" w:color="007FAC"/>
                          </w:rPr>
                          <w:t xml:space="preserve"> </w:t>
                        </w:r>
                        <w:r>
                          <w:rPr>
                            <w:rFonts w:ascii="Calibri" w:eastAsia="Calibri" w:hAnsi="Calibri" w:cs="Calibri"/>
                            <w:b/>
                            <w:color w:val="181717"/>
                            <w:w w:val="131"/>
                            <w:sz w:val="21"/>
                            <w:u w:val="single" w:color="007FAC"/>
                          </w:rPr>
                          <w:t>protocols</w:t>
                        </w:r>
                      </w:p>
                    </w:txbxContent>
                  </v:textbox>
                </v:rect>
                <v:shape id="Shape 305" o:spid="_x0000_s1160" style="position:absolute;left:6480;top:33623;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" path="m104775,v57861,,104775,46914,104775,104775c209550,162636,162636,209550,104775,209550,46914,209550,,162636,,104775,,46914,46914,,104775,xe" fillcolor="#fffefd" stroked="f" strokeweight="0">
                  <v:stroke miterlimit="83231f" joinstyle="miter"/>
                  <v:path arrowok="t" textboxrect="0,0,209550,209550"/>
                </v:shape>
                <v:rect id="Rectangle 306" o:spid="_x0000_s1161" style="position:absolute;left:6964;top:34082;width:1498;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14:paraId="0D9DDB02" w14:textId="77777777" w:rsidR="00A41391" w:rsidRDefault="00A41391" w:rsidP="009D683D">
                        <w:r>
                          <w:rPr>
                            <w:rFonts w:ascii="Calibri" w:eastAsia="Calibri" w:hAnsi="Calibri" w:cs="Calibri"/>
                            <w:b/>
                            <w:color w:val="181717"/>
                            <w:w w:val="116"/>
                            <w:sz w:val="15"/>
                          </w:rPr>
                          <w:t>23</w:t>
                        </w:r>
                      </w:p>
                    </w:txbxContent>
                  </v:textbox>
                </v:rect>
                <v:rect id="Rectangle 307" o:spid="_x0000_s1162" style="position:absolute;left:8575;top:34177;width:67688;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7E95A23D" w14:textId="77777777" w:rsidR="00A41391" w:rsidRDefault="00A41391" w:rsidP="009D683D">
                        <w:r>
                          <w:rPr>
                            <w:rFonts w:ascii="Calibri" w:eastAsia="Calibri" w:hAnsi="Calibri" w:cs="Calibri"/>
                            <w:color w:val="181717"/>
                            <w:spacing w:val="109"/>
                            <w:w w:val="110"/>
                            <w:sz w:val="18"/>
                          </w:rPr>
                          <w:t xml:space="preserve"> </w:t>
                        </w:r>
                        <w:r>
                          <w:rPr>
                            <w:rFonts w:ascii="Calibri" w:eastAsia="Calibri" w:hAnsi="Calibri" w:cs="Calibri"/>
                            <w:color w:val="181717"/>
                            <w:w w:val="110"/>
                            <w:sz w:val="18"/>
                          </w:rPr>
                          <w:t>Systematically</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review</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the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evidence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on</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the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outcomes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of</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kidney</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transplantation</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with</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live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donor</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w:t>
                        </w:r>
                        <w:r>
                          <w:rPr>
                            <w:rFonts w:ascii="Calibri" w:eastAsia="Calibri" w:hAnsi="Calibri" w:cs="Calibri"/>
                            <w:color w:val="181717"/>
                            <w:spacing w:val="6"/>
                            <w:w w:val="110"/>
                            <w:sz w:val="18"/>
                          </w:rPr>
                          <w:t xml:space="preserve"> </w:t>
                        </w:r>
                      </w:p>
                    </w:txbxContent>
                  </v:textbox>
                </v:rect>
                <v:rect id="Rectangle 308" o:spid="_x0000_s1163" style="position:absolute;left:9528;top:35701;width:46897;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7526CC72" w14:textId="77777777" w:rsidR="00A41391" w:rsidRDefault="00A41391" w:rsidP="009D683D">
                        <w:r>
                          <w:rPr>
                            <w:rFonts w:ascii="Calibri" w:eastAsia="Calibri" w:hAnsi="Calibri" w:cs="Calibri"/>
                            <w:color w:val="181717"/>
                            <w:w w:val="110"/>
                            <w:sz w:val="18"/>
                          </w:rPr>
                          <w:t>the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Indigenous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patient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population</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to</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inform</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health</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service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protocols.</w:t>
                        </w:r>
                      </w:p>
                    </w:txbxContent>
                  </v:textbox>
                </v:rect>
                <v:shape id="Shape 309" o:spid="_x0000_s1164" style="position:absolute;left:6480;top:37623;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" path="m104775,v57861,,104775,46914,104775,104775c209550,162636,162636,209550,104775,209550,46914,209550,,162636,,104775,,46914,46914,,104775,xe" fillcolor="#fffefd" stroked="f" strokeweight="0">
                  <v:stroke miterlimit="83231f" joinstyle="miter"/>
                  <v:path arrowok="t" textboxrect="0,0,209550,209550"/>
                </v:shape>
                <v:rect id="Rectangle 310" o:spid="_x0000_s1165" style="position:absolute;left:6923;top:38082;width:1607;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14:paraId="3BF55D9A" w14:textId="77777777" w:rsidR="00A41391" w:rsidRDefault="00A41391" w:rsidP="009D683D">
                        <w:r>
                          <w:rPr>
                            <w:rFonts w:ascii="Calibri" w:eastAsia="Calibri" w:hAnsi="Calibri" w:cs="Calibri"/>
                            <w:b/>
                            <w:color w:val="181717"/>
                            <w:spacing w:val="-2"/>
                            <w:w w:val="125"/>
                            <w:sz w:val="15"/>
                          </w:rPr>
                          <w:t>24</w:t>
                        </w:r>
                      </w:p>
                    </w:txbxContent>
                  </v:textbox>
                </v:rect>
                <v:rect id="Rectangle 311" o:spid="_x0000_s1166" style="position:absolute;left:8575;top:38177;width:62939;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14:paraId="697885E5" w14:textId="77777777" w:rsidR="00A41391" w:rsidRDefault="00A41391" w:rsidP="009D683D">
                        <w:r>
                          <w:rPr>
                            <w:rFonts w:ascii="Calibri" w:eastAsia="Calibri" w:hAnsi="Calibri" w:cs="Calibri"/>
                            <w:color w:val="181717"/>
                            <w:spacing w:val="109"/>
                            <w:w w:val="109"/>
                            <w:sz w:val="18"/>
                          </w:rPr>
                          <w:t xml:space="preserve"> </w:t>
                        </w:r>
                        <w:r>
                          <w:rPr>
                            <w:rFonts w:ascii="Calibri" w:eastAsia="Calibri" w:hAnsi="Calibri" w:cs="Calibri"/>
                            <w:color w:val="181717"/>
                            <w:w w:val="109"/>
                            <w:sz w:val="18"/>
                          </w:rPr>
                          <w:t>E</w:t>
                        </w:r>
                        <w:r>
                          <w:rPr>
                            <w:rFonts w:ascii="Calibri" w:eastAsia="Calibri" w:hAnsi="Calibri" w:cs="Calibri"/>
                            <w:color w:val="181717"/>
                            <w:spacing w:val="-41"/>
                            <w:w w:val="109"/>
                            <w:sz w:val="18"/>
                          </w:rPr>
                          <w:t xml:space="preserve"> </w:t>
                        </w:r>
                        <w:r>
                          <w:rPr>
                            <w:rFonts w:ascii="Calibri" w:eastAsia="Calibri" w:hAnsi="Calibri" w:cs="Calibri"/>
                            <w:color w:val="181717"/>
                            <w:w w:val="109"/>
                            <w:sz w:val="18"/>
                          </w:rPr>
                          <w:t>valuate</w:t>
                        </w:r>
                        <w:r>
                          <w:rPr>
                            <w:rFonts w:ascii="Calibri" w:eastAsia="Calibri" w:hAnsi="Calibri" w:cs="Calibri"/>
                            <w:color w:val="181717"/>
                            <w:spacing w:val="6"/>
                            <w:w w:val="109"/>
                            <w:sz w:val="18"/>
                          </w:rPr>
                          <w:t xml:space="preserve"> </w:t>
                        </w:r>
                        <w:r>
                          <w:rPr>
                            <w:rFonts w:ascii="Calibri" w:eastAsia="Calibri" w:hAnsi="Calibri" w:cs="Calibri"/>
                            <w:color w:val="181717"/>
                            <w:w w:val="109"/>
                            <w:sz w:val="18"/>
                          </w:rPr>
                          <w:t>the</w:t>
                        </w:r>
                        <w:r>
                          <w:rPr>
                            <w:rFonts w:ascii="Calibri" w:eastAsia="Calibri" w:hAnsi="Calibri" w:cs="Calibri"/>
                            <w:color w:val="181717"/>
                            <w:spacing w:val="6"/>
                            <w:w w:val="109"/>
                            <w:sz w:val="18"/>
                          </w:rPr>
                          <w:t xml:space="preserve"> </w:t>
                        </w:r>
                        <w:r>
                          <w:rPr>
                            <w:rFonts w:ascii="Calibri" w:eastAsia="Calibri" w:hAnsi="Calibri" w:cs="Calibri"/>
                            <w:color w:val="181717"/>
                            <w:w w:val="109"/>
                            <w:sz w:val="18"/>
                          </w:rPr>
                          <w:t>impact</w:t>
                        </w:r>
                        <w:r>
                          <w:rPr>
                            <w:rFonts w:ascii="Calibri" w:eastAsia="Calibri" w:hAnsi="Calibri" w:cs="Calibri"/>
                            <w:color w:val="181717"/>
                            <w:spacing w:val="6"/>
                            <w:w w:val="109"/>
                            <w:sz w:val="18"/>
                          </w:rPr>
                          <w:t xml:space="preserve"> </w:t>
                        </w:r>
                        <w:r>
                          <w:rPr>
                            <w:rFonts w:ascii="Calibri" w:eastAsia="Calibri" w:hAnsi="Calibri" w:cs="Calibri"/>
                            <w:color w:val="181717"/>
                            <w:w w:val="109"/>
                            <w:sz w:val="18"/>
                          </w:rPr>
                          <w:t>of</w:t>
                        </w:r>
                        <w:r>
                          <w:rPr>
                            <w:rFonts w:ascii="Calibri" w:eastAsia="Calibri" w:hAnsi="Calibri" w:cs="Calibri"/>
                            <w:color w:val="181717"/>
                            <w:spacing w:val="6"/>
                            <w:w w:val="109"/>
                            <w:sz w:val="18"/>
                          </w:rPr>
                          <w:t xml:space="preserve"> </w:t>
                        </w:r>
                        <w:r>
                          <w:rPr>
                            <w:rFonts w:ascii="Calibri" w:eastAsia="Calibri" w:hAnsi="Calibri" w:cs="Calibri"/>
                            <w:color w:val="181717"/>
                            <w:w w:val="109"/>
                            <w:sz w:val="18"/>
                          </w:rPr>
                          <w:t>immunological</w:t>
                        </w:r>
                        <w:r>
                          <w:rPr>
                            <w:rFonts w:ascii="Calibri" w:eastAsia="Calibri" w:hAnsi="Calibri" w:cs="Calibri"/>
                            <w:color w:val="181717"/>
                            <w:spacing w:val="6"/>
                            <w:w w:val="109"/>
                            <w:sz w:val="18"/>
                          </w:rPr>
                          <w:t xml:space="preserve"> </w:t>
                        </w:r>
                        <w:r>
                          <w:rPr>
                            <w:rFonts w:ascii="Calibri" w:eastAsia="Calibri" w:hAnsi="Calibri" w:cs="Calibri"/>
                            <w:color w:val="181717"/>
                            <w:w w:val="109"/>
                            <w:sz w:val="18"/>
                          </w:rPr>
                          <w:t>matching</w:t>
                        </w:r>
                        <w:r>
                          <w:rPr>
                            <w:rFonts w:ascii="Calibri" w:eastAsia="Calibri" w:hAnsi="Calibri" w:cs="Calibri"/>
                            <w:color w:val="181717"/>
                            <w:spacing w:val="6"/>
                            <w:w w:val="109"/>
                            <w:sz w:val="18"/>
                          </w:rPr>
                          <w:t xml:space="preserve"> </w:t>
                        </w:r>
                        <w:r>
                          <w:rPr>
                            <w:rFonts w:ascii="Calibri" w:eastAsia="Calibri" w:hAnsi="Calibri" w:cs="Calibri"/>
                            <w:color w:val="181717"/>
                            <w:w w:val="109"/>
                            <w:sz w:val="18"/>
                          </w:rPr>
                          <w:t>at</w:t>
                        </w:r>
                        <w:r>
                          <w:rPr>
                            <w:rFonts w:ascii="Calibri" w:eastAsia="Calibri" w:hAnsi="Calibri" w:cs="Calibri"/>
                            <w:color w:val="181717"/>
                            <w:spacing w:val="6"/>
                            <w:w w:val="109"/>
                            <w:sz w:val="18"/>
                          </w:rPr>
                          <w:t xml:space="preserve"> </w:t>
                        </w:r>
                        <w:r>
                          <w:rPr>
                            <w:rFonts w:ascii="Calibri" w:eastAsia="Calibri" w:hAnsi="Calibri" w:cs="Calibri"/>
                            <w:color w:val="181717"/>
                            <w:w w:val="109"/>
                            <w:sz w:val="18"/>
                          </w:rPr>
                          <w:t>the</w:t>
                        </w:r>
                        <w:r>
                          <w:rPr>
                            <w:rFonts w:ascii="Calibri" w:eastAsia="Calibri" w:hAnsi="Calibri" w:cs="Calibri"/>
                            <w:color w:val="181717"/>
                            <w:spacing w:val="6"/>
                            <w:w w:val="109"/>
                            <w:sz w:val="18"/>
                          </w:rPr>
                          <w:t xml:space="preserve"> </w:t>
                        </w:r>
                        <w:r>
                          <w:rPr>
                            <w:rFonts w:ascii="Calibri" w:eastAsia="Calibri" w:hAnsi="Calibri" w:cs="Calibri"/>
                            <w:color w:val="181717"/>
                            <w:w w:val="109"/>
                            <w:sz w:val="18"/>
                          </w:rPr>
                          <w:t>epitope</w:t>
                        </w:r>
                        <w:r>
                          <w:rPr>
                            <w:rFonts w:ascii="Calibri" w:eastAsia="Calibri" w:hAnsi="Calibri" w:cs="Calibri"/>
                            <w:color w:val="181717"/>
                            <w:spacing w:val="6"/>
                            <w:w w:val="109"/>
                            <w:sz w:val="18"/>
                          </w:rPr>
                          <w:t xml:space="preserve"> </w:t>
                        </w:r>
                        <w:r>
                          <w:rPr>
                            <w:rFonts w:ascii="Calibri" w:eastAsia="Calibri" w:hAnsi="Calibri" w:cs="Calibri"/>
                            <w:color w:val="181717"/>
                            <w:w w:val="109"/>
                            <w:sz w:val="18"/>
                          </w:rPr>
                          <w:t>(</w:t>
                        </w:r>
                        <w:r>
                          <w:rPr>
                            <w:rFonts w:ascii="Calibri" w:eastAsia="Calibri" w:hAnsi="Calibri" w:cs="Calibri"/>
                            <w:color w:val="181717"/>
                            <w:w w:val="109"/>
                            <w:sz w:val="18"/>
                          </w:rPr>
                          <w:t>eplet)</w:t>
                        </w:r>
                        <w:r>
                          <w:rPr>
                            <w:rFonts w:ascii="Calibri" w:eastAsia="Calibri" w:hAnsi="Calibri" w:cs="Calibri"/>
                            <w:color w:val="181717"/>
                            <w:spacing w:val="6"/>
                            <w:w w:val="109"/>
                            <w:sz w:val="18"/>
                          </w:rPr>
                          <w:t xml:space="preserve"> </w:t>
                        </w:r>
                        <w:r>
                          <w:rPr>
                            <w:rFonts w:ascii="Calibri" w:eastAsia="Calibri" w:hAnsi="Calibri" w:cs="Calibri"/>
                            <w:color w:val="181717"/>
                            <w:w w:val="109"/>
                            <w:sz w:val="18"/>
                          </w:rPr>
                          <w:t>level</w:t>
                        </w:r>
                        <w:r>
                          <w:rPr>
                            <w:rFonts w:ascii="Calibri" w:eastAsia="Calibri" w:hAnsi="Calibri" w:cs="Calibri"/>
                            <w:color w:val="181717"/>
                            <w:spacing w:val="6"/>
                            <w:w w:val="109"/>
                            <w:sz w:val="18"/>
                          </w:rPr>
                          <w:t xml:space="preserve"> </w:t>
                        </w:r>
                        <w:r>
                          <w:rPr>
                            <w:rFonts w:ascii="Calibri" w:eastAsia="Calibri" w:hAnsi="Calibri" w:cs="Calibri"/>
                            <w:color w:val="181717"/>
                            <w:w w:val="109"/>
                            <w:sz w:val="18"/>
                          </w:rPr>
                          <w:t>for</w:t>
                        </w:r>
                        <w:r>
                          <w:rPr>
                            <w:rFonts w:ascii="Calibri" w:eastAsia="Calibri" w:hAnsi="Calibri" w:cs="Calibri"/>
                            <w:color w:val="181717"/>
                            <w:spacing w:val="6"/>
                            <w:w w:val="109"/>
                            <w:sz w:val="18"/>
                          </w:rPr>
                          <w:t xml:space="preserve"> </w:t>
                        </w:r>
                        <w:r>
                          <w:rPr>
                            <w:rFonts w:ascii="Calibri" w:eastAsia="Calibri" w:hAnsi="Calibri" w:cs="Calibri"/>
                            <w:color w:val="181717"/>
                            <w:w w:val="109"/>
                            <w:sz w:val="18"/>
                          </w:rPr>
                          <w:t>allocation</w:t>
                        </w:r>
                        <w:r>
                          <w:rPr>
                            <w:rFonts w:ascii="Calibri" w:eastAsia="Calibri" w:hAnsi="Calibri" w:cs="Calibri"/>
                            <w:color w:val="181717"/>
                            <w:spacing w:val="6"/>
                            <w:w w:val="109"/>
                            <w:sz w:val="18"/>
                          </w:rPr>
                          <w:t xml:space="preserve"> </w:t>
                        </w:r>
                        <w:r>
                          <w:rPr>
                            <w:rFonts w:ascii="Calibri" w:eastAsia="Calibri" w:hAnsi="Calibri" w:cs="Calibri"/>
                            <w:color w:val="181717"/>
                            <w:w w:val="109"/>
                            <w:sz w:val="18"/>
                          </w:rPr>
                          <w:t>of</w:t>
                        </w:r>
                        <w:r>
                          <w:rPr>
                            <w:rFonts w:ascii="Calibri" w:eastAsia="Calibri" w:hAnsi="Calibri" w:cs="Calibri"/>
                            <w:color w:val="181717"/>
                            <w:spacing w:val="6"/>
                            <w:w w:val="109"/>
                            <w:sz w:val="18"/>
                          </w:rPr>
                          <w:t xml:space="preserve"> </w:t>
                        </w:r>
                      </w:p>
                    </w:txbxContent>
                  </v:textbox>
                </v:rect>
                <v:rect id="Rectangle 312" o:spid="_x0000_s1167" style="position:absolute;left:9528;top:39701;width:16997;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14:paraId="04522351" w14:textId="77777777" w:rsidR="00A41391" w:rsidRDefault="00A41391" w:rsidP="009D683D">
                        <w:r>
                          <w:rPr>
                            <w:rFonts w:ascii="Calibri" w:eastAsia="Calibri" w:hAnsi="Calibri" w:cs="Calibri"/>
                            <w:color w:val="181717"/>
                            <w:w w:val="112"/>
                            <w:sz w:val="18"/>
                          </w:rPr>
                          <w:t>deceased</w:t>
                        </w:r>
                        <w:r>
                          <w:rPr>
                            <w:rFonts w:ascii="Calibri" w:eastAsia="Calibri" w:hAnsi="Calibri" w:cs="Calibri"/>
                            <w:color w:val="181717"/>
                            <w:spacing w:val="6"/>
                            <w:w w:val="112"/>
                            <w:sz w:val="18"/>
                          </w:rPr>
                          <w:t xml:space="preserve"> </w:t>
                        </w:r>
                        <w:r>
                          <w:rPr>
                            <w:rFonts w:ascii="Calibri" w:eastAsia="Calibri" w:hAnsi="Calibri" w:cs="Calibri"/>
                            <w:color w:val="181717"/>
                            <w:w w:val="112"/>
                            <w:sz w:val="18"/>
                          </w:rPr>
                          <w:t>donor</w:t>
                        </w:r>
                        <w:r>
                          <w:rPr>
                            <w:rFonts w:ascii="Calibri" w:eastAsia="Calibri" w:hAnsi="Calibri" w:cs="Calibri"/>
                            <w:color w:val="181717"/>
                            <w:spacing w:val="6"/>
                            <w:w w:val="112"/>
                            <w:sz w:val="18"/>
                          </w:rPr>
                          <w:t xml:space="preserve"> </w:t>
                        </w:r>
                        <w:r>
                          <w:rPr>
                            <w:rFonts w:ascii="Calibri" w:eastAsia="Calibri" w:hAnsi="Calibri" w:cs="Calibri"/>
                            <w:color w:val="181717"/>
                            <w:w w:val="112"/>
                            <w:sz w:val="18"/>
                          </w:rPr>
                          <w:t>kidneys.</w:t>
                        </w:r>
                      </w:p>
                    </w:txbxContent>
                  </v:textbox>
                </v:rect>
                <v:shape id="Shape 313" o:spid="_x0000_s1168" style="position:absolute;left:6480;top:41624;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" path="m104775,v57861,,104775,46914,104775,104775c209550,162636,162636,209550,104775,209550,46914,209550,,162636,,104775,,46914,46914,,104775,xe" fillcolor="#fffefd" stroked="f" strokeweight="0">
                  <v:stroke miterlimit="83231f" joinstyle="miter"/>
                  <v:path arrowok="t" textboxrect="0,0,209550,209550"/>
                </v:shape>
                <v:rect id="Rectangle 314" o:spid="_x0000_s1169" style="position:absolute;left:6963;top:42083;width:1501;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inset="0,0,0,0">
                    <w:txbxContent>
                      <w:p w14:paraId="4A8C8EB9" w14:textId="77777777" w:rsidR="00A41391" w:rsidRDefault="00A41391" w:rsidP="009D683D">
                        <w:r>
                          <w:rPr>
                            <w:rFonts w:ascii="Calibri" w:eastAsia="Calibri" w:hAnsi="Calibri" w:cs="Calibri"/>
                            <w:b/>
                            <w:color w:val="181717"/>
                            <w:w w:val="116"/>
                            <w:sz w:val="15"/>
                          </w:rPr>
                          <w:t>25</w:t>
                        </w:r>
                      </w:p>
                    </w:txbxContent>
                  </v:textbox>
                </v:rect>
                <v:rect id="Rectangle 315" o:spid="_x0000_s1170" style="position:absolute;left:8575;top:42178;width:68273;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14:paraId="40B521AA" w14:textId="77777777" w:rsidR="00A41391" w:rsidRDefault="00A41391" w:rsidP="009D683D">
                        <w:r>
                          <w:rPr>
                            <w:rFonts w:ascii="Calibri" w:eastAsia="Calibri" w:hAnsi="Calibri" w:cs="Calibri"/>
                            <w:color w:val="181717"/>
                            <w:spacing w:val="109"/>
                            <w:w w:val="111"/>
                            <w:sz w:val="18"/>
                          </w:rPr>
                          <w:t xml:space="preserve"> </w:t>
                        </w:r>
                        <w:r>
                          <w:rPr>
                            <w:rFonts w:ascii="Calibri" w:eastAsia="Calibri" w:hAnsi="Calibri" w:cs="Calibri"/>
                            <w:color w:val="181717"/>
                            <w:w w:val="111"/>
                            <w:sz w:val="18"/>
                          </w:rPr>
                          <w:t>E</w:t>
                        </w:r>
                        <w:r>
                          <w:rPr>
                            <w:rFonts w:ascii="Calibri" w:eastAsia="Calibri" w:hAnsi="Calibri" w:cs="Calibri"/>
                            <w:color w:val="181717"/>
                            <w:spacing w:val="-41"/>
                            <w:w w:val="111"/>
                            <w:sz w:val="18"/>
                          </w:rPr>
                          <w:t xml:space="preserve"> </w:t>
                        </w:r>
                        <w:r>
                          <w:rPr>
                            <w:rFonts w:ascii="Calibri" w:eastAsia="Calibri" w:hAnsi="Calibri" w:cs="Calibri"/>
                            <w:color w:val="181717"/>
                            <w:w w:val="111"/>
                            <w:sz w:val="18"/>
                          </w:rPr>
                          <w:t>stablish</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national</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dose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administration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aid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protocol</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consistent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format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for</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drug</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information.</w:t>
                        </w:r>
                      </w:p>
                    </w:txbxContent>
                  </v:textbox>
                </v:rect>
                <v:shape id="Shape 316" o:spid="_x0000_s1171" style="position:absolute;left:6480;top:44100;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" path="m104775,v57861,,104775,46914,104775,104775c209550,162636,162636,209550,104775,209550,46914,209550,,162636,,104775,,46914,46914,,104775,xe" fillcolor="#fffefd" stroked="f" strokeweight="0">
                  <v:stroke miterlimit="83231f" joinstyle="miter"/>
                  <v:path arrowok="t" textboxrect="0,0,209550,209550"/>
                </v:shape>
                <v:rect id="Rectangle 317" o:spid="_x0000_s1172" style="position:absolute;left:6944;top:44559;width:1552;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v:textbox inset="0,0,0,0">
                    <w:txbxContent>
                      <w:p w14:paraId="50883D26" w14:textId="77777777" w:rsidR="00A41391" w:rsidRDefault="00A41391" w:rsidP="009D683D">
                        <w:r>
                          <w:rPr>
                            <w:rFonts w:ascii="Calibri" w:eastAsia="Calibri" w:hAnsi="Calibri" w:cs="Calibri"/>
                            <w:b/>
                            <w:color w:val="181717"/>
                            <w:w w:val="120"/>
                            <w:sz w:val="15"/>
                          </w:rPr>
                          <w:t>26</w:t>
                        </w:r>
                      </w:p>
                    </w:txbxContent>
                  </v:textbox>
                </v:rect>
                <v:rect id="Rectangle 318" o:spid="_x0000_s1173" style="position:absolute;left:8575;top:44654;width:66489;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hwwgAAANwAAAAPAAAAZHJzL2Rvd25yZXYueG1sRE9Na8JA&#10;EL0L/odlCt50Y4W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AZUBhwwgAAANwAAAAPAAAA&#10;AAAAAAAAAAAAAAcCAABkcnMvZG93bnJldi54bWxQSwUGAAAAAAMAAwC3AAAA9gIAAAAA&#10;" filled="f" stroked="f">
                  <v:textbox inset="0,0,0,0">
                    <w:txbxContent>
                      <w:p w14:paraId="043FF2B9" w14:textId="77777777" w:rsidR="00A41391" w:rsidRDefault="00A41391" w:rsidP="009D683D">
                        <w:r>
                          <w:rPr>
                            <w:rFonts w:ascii="Calibri" w:eastAsia="Calibri" w:hAnsi="Calibri" w:cs="Calibri"/>
                            <w:color w:val="181717"/>
                            <w:spacing w:val="109"/>
                            <w:w w:val="111"/>
                            <w:sz w:val="18"/>
                          </w:rPr>
                          <w:t xml:space="preserve"> </w:t>
                        </w:r>
                        <w:r>
                          <w:rPr>
                            <w:rFonts w:ascii="Calibri" w:eastAsia="Calibri" w:hAnsi="Calibri" w:cs="Calibri"/>
                            <w:color w:val="181717"/>
                            <w:w w:val="111"/>
                            <w:sz w:val="18"/>
                          </w:rPr>
                          <w:t>Implement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evaluate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novel,</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long</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acting</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immunosuppressive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agents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Indigenous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transplant</w:t>
                        </w:r>
                        <w:r>
                          <w:rPr>
                            <w:rFonts w:ascii="Calibri" w:eastAsia="Calibri" w:hAnsi="Calibri" w:cs="Calibri"/>
                            <w:color w:val="181717"/>
                            <w:spacing w:val="6"/>
                            <w:w w:val="111"/>
                            <w:sz w:val="18"/>
                          </w:rPr>
                          <w:t xml:space="preserve"> </w:t>
                        </w:r>
                      </w:p>
                    </w:txbxContent>
                  </v:textbox>
                </v:rect>
                <v:rect id="Rectangle 319" o:spid="_x0000_s1174" style="position:absolute;left:9528;top:46178;width:7050;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3rxAAAANwAAAAPAAAAZHJzL2Rvd25yZXYueG1sRI9Bi8Iw&#10;FITvgv8hPGFvmrrC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HYcvevEAAAA3AAAAA8A&#10;AAAAAAAAAAAAAAAABwIAAGRycy9kb3ducmV2LnhtbFBLBQYAAAAAAwADALcAAAD4AgAAAAA=&#10;" filled="f" stroked="f">
                  <v:textbox inset="0,0,0,0">
                    <w:txbxContent>
                      <w:p w14:paraId="103F25F6" w14:textId="77777777" w:rsidR="00A41391" w:rsidRDefault="00A41391" w:rsidP="009D683D">
                        <w:r>
                          <w:rPr>
                            <w:rFonts w:ascii="Calibri" w:eastAsia="Calibri" w:hAnsi="Calibri" w:cs="Calibri"/>
                            <w:color w:val="181717"/>
                            <w:w w:val="110"/>
                            <w:sz w:val="18"/>
                          </w:rPr>
                          <w:t>recipients.</w:t>
                        </w:r>
                      </w:p>
                    </w:txbxContent>
                  </v:textbox>
                </v:rect>
                <v:shape id="Shape 320" o:spid="_x0000_s1175" style="position:absolute;left:6480;top:48101;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" path="m104775,v57861,,104775,46914,104775,104775c209550,162636,162636,209550,104775,209550,46914,209550,,162636,,104775,,46914,46914,,104775,xe" fillcolor="#fffefd" stroked="f" strokeweight="0">
                  <v:stroke miterlimit="83231f" joinstyle="miter"/>
                  <v:path arrowok="t" textboxrect="0,0,209550,209550"/>
                </v:shape>
                <v:rect id="Rectangle 321" o:spid="_x0000_s1176" style="position:absolute;left:6952;top:48560;width:15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xAAAANwAAAAPAAAAZHJzL2Rvd25yZXYueG1sRI9Bi8Iw&#10;FITvgv8hPGFvmqog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EYGe1DEAAAA3AAAAA8A&#10;AAAAAAAAAAAAAAAABwIAAGRycy9kb3ducmV2LnhtbFBLBQYAAAAAAwADALcAAAD4AgAAAAA=&#10;" filled="f" stroked="f">
                  <v:textbox inset="0,0,0,0">
                    <w:txbxContent>
                      <w:p w14:paraId="51821801" w14:textId="77777777" w:rsidR="00A41391" w:rsidRDefault="00A41391" w:rsidP="009D683D">
                        <w:r>
                          <w:rPr>
                            <w:rFonts w:ascii="Calibri" w:eastAsia="Calibri" w:hAnsi="Calibri" w:cs="Calibri"/>
                            <w:b/>
                            <w:color w:val="181717"/>
                            <w:w w:val="119"/>
                            <w:sz w:val="15"/>
                          </w:rPr>
                          <w:t>27</w:t>
                        </w:r>
                      </w:p>
                    </w:txbxContent>
                  </v:textbox>
                </v:rect>
                <v:rect id="Rectangle 322" o:spid="_x0000_s1177" style="position:absolute;left:8575;top:48655;width:60301;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14:paraId="4FBBB3C9" w14:textId="77777777" w:rsidR="00A41391" w:rsidRDefault="00A41391" w:rsidP="009D683D">
                        <w:r>
                          <w:rPr>
                            <w:rFonts w:ascii="Calibri" w:eastAsia="Calibri" w:hAnsi="Calibri" w:cs="Calibri"/>
                            <w:color w:val="181717"/>
                            <w:spacing w:val="109"/>
                            <w:w w:val="111"/>
                            <w:sz w:val="18"/>
                          </w:rPr>
                          <w:t xml:space="preserve"> </w:t>
                        </w:r>
                        <w:r>
                          <w:rPr>
                            <w:rFonts w:ascii="Calibri" w:eastAsia="Calibri" w:hAnsi="Calibri" w:cs="Calibri"/>
                            <w:color w:val="181717"/>
                            <w:w w:val="111"/>
                            <w:sz w:val="18"/>
                          </w:rPr>
                          <w:t>Adopt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prolonged-release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tacrolimus-based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regimens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immunosuppressive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protocols.</w:t>
                        </w:r>
                      </w:p>
                    </w:txbxContent>
                  </v:textbox>
                </v:rect>
                <v:shape id="Shape 323" o:spid="_x0000_s1178" style="position:absolute;left:6480;top:50577;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" path="m104775,v57861,,104775,46914,104775,104775c209550,162636,162636,209550,104775,209550,46914,209550,,162636,,104775,,46914,46914,,104775,xe" fillcolor="#fffefd" stroked="f" strokeweight="0">
                  <v:stroke miterlimit="83231f" joinstyle="miter"/>
                  <v:path arrowok="t" textboxrect="0,0,209550,209550"/>
                </v:shape>
                <v:rect id="Rectangle 324" o:spid="_x0000_s1179" style="position:absolute;left:6932;top:51036;width:1583;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14:paraId="171A55D6" w14:textId="77777777" w:rsidR="00A41391" w:rsidRDefault="00A41391" w:rsidP="009D683D">
                        <w:r>
                          <w:rPr>
                            <w:rFonts w:ascii="Calibri" w:eastAsia="Calibri" w:hAnsi="Calibri" w:cs="Calibri"/>
                            <w:b/>
                            <w:color w:val="181717"/>
                            <w:w w:val="123"/>
                            <w:sz w:val="15"/>
                          </w:rPr>
                          <w:t>28</w:t>
                        </w:r>
                      </w:p>
                    </w:txbxContent>
                  </v:textbox>
                </v:rect>
                <v:rect id="Rectangle 325" o:spid="_x0000_s1180" style="position:absolute;left:8575;top:51131;width:69383;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14:paraId="1F82FE54" w14:textId="77777777" w:rsidR="00A41391" w:rsidRDefault="00A41391" w:rsidP="009D683D">
                        <w:r>
                          <w:rPr>
                            <w:rFonts w:ascii="Calibri" w:eastAsia="Calibri" w:hAnsi="Calibri" w:cs="Calibri"/>
                            <w:color w:val="181717"/>
                            <w:spacing w:val="109"/>
                            <w:w w:val="111"/>
                            <w:sz w:val="18"/>
                          </w:rPr>
                          <w:t xml:space="preserve"> </w:t>
                        </w:r>
                        <w:r>
                          <w:rPr>
                            <w:rFonts w:ascii="Calibri" w:eastAsia="Calibri" w:hAnsi="Calibri" w:cs="Calibri"/>
                            <w:color w:val="181717"/>
                            <w:w w:val="111"/>
                            <w:sz w:val="18"/>
                          </w:rPr>
                          <w:t>Revise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immunosuppressive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protocols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based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on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relevant</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findings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from</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the pharmacokinetic study of</w:t>
                        </w:r>
                        <w:r>
                          <w:rPr>
                            <w:rFonts w:ascii="Calibri" w:eastAsia="Calibri" w:hAnsi="Calibri" w:cs="Calibri"/>
                            <w:color w:val="181717"/>
                            <w:spacing w:val="6"/>
                            <w:w w:val="111"/>
                            <w:sz w:val="18"/>
                          </w:rPr>
                          <w:t xml:space="preserve"> </w:t>
                        </w:r>
                      </w:p>
                    </w:txbxContent>
                  </v:textbox>
                </v:rect>
                <v:rect id="Rectangle 326" o:spid="_x0000_s1181" style="position:absolute;left:9527;top:52655;width:39241;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Mnv4yTEAAAA3AAAAA8A&#10;AAAAAAAAAAAAAAAABwIAAGRycy9kb3ducmV2LnhtbFBLBQYAAAAAAwADALcAAAD4AgAAAAA=&#10;" filled="f" stroked="f">
                  <v:textbox inset="0,0,0,0">
                    <w:txbxContent>
                      <w:p w14:paraId="2B19039E" w14:textId="77777777" w:rsidR="00A41391" w:rsidRDefault="00A41391" w:rsidP="009D683D">
                        <w:r>
                          <w:rPr>
                            <w:rFonts w:ascii="Calibri" w:eastAsia="Calibri" w:hAnsi="Calibri" w:cs="Calibri"/>
                            <w:color w:val="181717"/>
                            <w:w w:val="110"/>
                            <w:sz w:val="18"/>
                          </w:rPr>
                          <w:t>immunosuppressives in Indigenous transplant recipients.</w:t>
                        </w:r>
                      </w:p>
                    </w:txbxContent>
                  </v:textbox>
                </v:rect>
                <v:shape id="Shape 327" o:spid="_x0000_s1182" style="position:absolute;left:6480;top:54578;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" path="m104775,v57861,,104775,46914,104775,104775c209550,162637,162636,209550,104775,209550,46914,209550,,162637,,104775,,46914,46914,,104775,xe" fillcolor="#fffefd" stroked="f" strokeweight="0">
                  <v:stroke miterlimit="83231f" joinstyle="miter"/>
                  <v:path arrowok="t" textboxrect="0,0,209550,209550"/>
                </v:shape>
                <v:rect id="Rectangle 328" o:spid="_x0000_s1183" style="position:absolute;left:6943;top:55037;width:1554;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14:paraId="6BE976BB" w14:textId="77777777" w:rsidR="00A41391" w:rsidRDefault="00A41391" w:rsidP="009D683D">
                        <w:r>
                          <w:rPr>
                            <w:rFonts w:ascii="Calibri" w:eastAsia="Calibri" w:hAnsi="Calibri" w:cs="Calibri"/>
                            <w:b/>
                            <w:color w:val="181717"/>
                            <w:w w:val="121"/>
                            <w:sz w:val="15"/>
                          </w:rPr>
                          <w:t>29</w:t>
                        </w:r>
                      </w:p>
                    </w:txbxContent>
                  </v:textbox>
                </v:rect>
                <v:rect id="Rectangle 329" o:spid="_x0000_s1184" style="position:absolute;left:8575;top:55132;width:62381;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14:paraId="2C77906F" w14:textId="77777777" w:rsidR="00A41391" w:rsidRDefault="00A41391" w:rsidP="009D683D">
                        <w:r>
                          <w:rPr>
                            <w:rFonts w:ascii="Calibri" w:eastAsia="Calibri" w:hAnsi="Calibri" w:cs="Calibri"/>
                            <w:color w:val="181717"/>
                            <w:spacing w:val="109"/>
                            <w:w w:val="111"/>
                            <w:sz w:val="18"/>
                          </w:rPr>
                          <w:t xml:space="preserve"> </w:t>
                        </w:r>
                        <w:r>
                          <w:rPr>
                            <w:rFonts w:ascii="Calibri" w:eastAsia="Calibri" w:hAnsi="Calibri" w:cs="Calibri"/>
                            <w:color w:val="181717"/>
                            <w:w w:val="111"/>
                            <w:sz w:val="18"/>
                          </w:rPr>
                          <w:t>Design</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and</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undertake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research</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projects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to</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identify</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the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antecedents</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to</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infective</w:t>
                        </w:r>
                        <w:r>
                          <w:rPr>
                            <w:rFonts w:ascii="Calibri" w:eastAsia="Calibri" w:hAnsi="Calibri" w:cs="Calibri"/>
                            <w:color w:val="181717"/>
                            <w:spacing w:val="6"/>
                            <w:w w:val="111"/>
                            <w:sz w:val="18"/>
                          </w:rPr>
                          <w:t xml:space="preserve"> </w:t>
                        </w:r>
                        <w:r>
                          <w:rPr>
                            <w:rFonts w:ascii="Calibri" w:eastAsia="Calibri" w:hAnsi="Calibri" w:cs="Calibri"/>
                            <w:color w:val="181717"/>
                            <w:w w:val="111"/>
                            <w:sz w:val="18"/>
                          </w:rPr>
                          <w:t>episodes.</w:t>
                        </w:r>
                        <w:r>
                          <w:rPr>
                            <w:rFonts w:ascii="Calibri" w:eastAsia="Calibri" w:hAnsi="Calibri" w:cs="Calibri"/>
                            <w:color w:val="181717"/>
                            <w:spacing w:val="6"/>
                            <w:w w:val="111"/>
                            <w:sz w:val="18"/>
                          </w:rPr>
                          <w:t xml:space="preserve"> </w:t>
                        </w:r>
                      </w:p>
                    </w:txbxContent>
                  </v:textbox>
                </v:rect>
                <v:shape id="Shape 330" o:spid="_x0000_s1185" style="position:absolute;left:6480;top:57054;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" path="m104775,v57861,,104775,46914,104775,104775c209550,162637,162636,209550,104775,209550,46914,209550,,162637,,104775,,46914,46914,,104775,xe" fillcolor="#fffefd" stroked="f" strokeweight="0">
                  <v:stroke miterlimit="83231f" joinstyle="miter"/>
                  <v:path arrowok="t" textboxrect="0,0,209550,209550"/>
                </v:shape>
                <v:rect id="Rectangle 331" o:spid="_x0000_s1186" style="position:absolute;left:6922;top:57513;width:161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14:paraId="72A0CD1A" w14:textId="77777777" w:rsidR="00A41391" w:rsidRDefault="00A41391" w:rsidP="009D683D">
                        <w:r>
                          <w:rPr>
                            <w:rFonts w:ascii="Calibri" w:eastAsia="Calibri" w:hAnsi="Calibri" w:cs="Calibri"/>
                            <w:b/>
                            <w:color w:val="181717"/>
                            <w:w w:val="125"/>
                            <w:sz w:val="15"/>
                          </w:rPr>
                          <w:t>30</w:t>
                        </w:r>
                      </w:p>
                    </w:txbxContent>
                  </v:textbox>
                </v:rect>
                <v:rect id="Rectangle 332" o:spid="_x0000_s1187" style="position:absolute;left:8575;top:57608;width:66410;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14:paraId="1B6B3FCB" w14:textId="77777777" w:rsidR="00A41391" w:rsidRDefault="00A41391" w:rsidP="009D683D">
                        <w:r>
                          <w:rPr>
                            <w:rFonts w:ascii="Calibri" w:eastAsia="Calibri" w:hAnsi="Calibri" w:cs="Calibri"/>
                            <w:color w:val="181717"/>
                            <w:spacing w:val="109"/>
                            <w:w w:val="110"/>
                            <w:sz w:val="18"/>
                          </w:rPr>
                          <w:t xml:space="preserve"> </w:t>
                        </w:r>
                        <w:r>
                          <w:rPr>
                            <w:rFonts w:ascii="Calibri" w:eastAsia="Calibri" w:hAnsi="Calibri" w:cs="Calibri"/>
                            <w:color w:val="181717"/>
                            <w:w w:val="110"/>
                            <w:sz w:val="18"/>
                          </w:rPr>
                          <w:t>Test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evaluate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novel</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infective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prophylaxis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interventions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for</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Indigenous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transplant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recipients.</w:t>
                        </w:r>
                        <w:r>
                          <w:rPr>
                            <w:rFonts w:ascii="Calibri" w:eastAsia="Calibri" w:hAnsi="Calibri" w:cs="Calibri"/>
                            <w:color w:val="181717"/>
                            <w:spacing w:val="6"/>
                            <w:w w:val="110"/>
                            <w:sz w:val="18"/>
                          </w:rPr>
                          <w:t xml:space="preserve"> </w:t>
                        </w:r>
                      </w:p>
                    </w:txbxContent>
                  </v:textbox>
                </v:rect>
                <v:shape id="Shape 333" o:spid="_x0000_s1188" style="position:absolute;left:6480;top:59531;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" path="m104775,v57861,,104775,46914,104775,104775c209550,162637,162636,209550,104775,209550,46914,209550,,162637,,104775,,46914,46914,,104775,xe" fillcolor="#fffefd" stroked="f" strokeweight="0">
                  <v:stroke miterlimit="83231f" joinstyle="miter"/>
                  <v:path arrowok="t" textboxrect="0,0,209550,209550"/>
                </v:shape>
                <v:rect id="Rectangle 334" o:spid="_x0000_s1189" style="position:absolute;left:7059;top:59990;width:1246;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14:paraId="1A3006EB" w14:textId="77777777" w:rsidR="00A41391" w:rsidRDefault="00A41391" w:rsidP="009D683D">
                        <w:r>
                          <w:rPr>
                            <w:rFonts w:ascii="Calibri" w:eastAsia="Calibri" w:hAnsi="Calibri" w:cs="Calibri"/>
                            <w:b/>
                            <w:color w:val="181717"/>
                            <w:w w:val="97"/>
                            <w:sz w:val="15"/>
                          </w:rPr>
                          <w:t>31</w:t>
                        </w:r>
                      </w:p>
                    </w:txbxContent>
                  </v:textbox>
                </v:rect>
                <v:rect id="Rectangle 335" o:spid="_x0000_s1190" style="position:absolute;left:8575;top:60085;width:68749;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14:paraId="19B5A901" w14:textId="77777777" w:rsidR="00A41391" w:rsidRDefault="00A41391" w:rsidP="009D683D">
                        <w:r>
                          <w:rPr>
                            <w:rFonts w:ascii="Calibri" w:eastAsia="Calibri" w:hAnsi="Calibri" w:cs="Calibri"/>
                            <w:color w:val="181717"/>
                            <w:spacing w:val="109"/>
                            <w:w w:val="110"/>
                            <w:sz w:val="18"/>
                          </w:rPr>
                          <w:t xml:space="preserve"> </w:t>
                        </w:r>
                        <w:r>
                          <w:rPr>
                            <w:rFonts w:ascii="Calibri" w:eastAsia="Calibri" w:hAnsi="Calibri" w:cs="Calibri"/>
                            <w:color w:val="181717"/>
                            <w:w w:val="110"/>
                            <w:sz w:val="18"/>
                          </w:rPr>
                          <w:t>Adopt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coordinated,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nationally</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consistent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clinical</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data</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collection,</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analysis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reporting</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protocols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of</w:t>
                        </w:r>
                        <w:r>
                          <w:rPr>
                            <w:rFonts w:ascii="Calibri" w:eastAsia="Calibri" w:hAnsi="Calibri" w:cs="Calibri"/>
                            <w:color w:val="181717"/>
                            <w:spacing w:val="6"/>
                            <w:w w:val="110"/>
                            <w:sz w:val="18"/>
                          </w:rPr>
                          <w:t xml:space="preserve"> </w:t>
                        </w:r>
                      </w:p>
                    </w:txbxContent>
                  </v:textbox>
                </v:rect>
                <v:rect id="Rectangle 336" o:spid="_x0000_s1191" style="position:absolute;left:9528;top:61609;width:28258;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14:paraId="3A831AA4" w14:textId="77777777" w:rsidR="00A41391" w:rsidRDefault="00A41391" w:rsidP="009D683D">
                        <w:r>
                          <w:rPr>
                            <w:rFonts w:ascii="Calibri" w:eastAsia="Calibri" w:hAnsi="Calibri" w:cs="Calibri"/>
                            <w:color w:val="181717"/>
                            <w:w w:val="110"/>
                            <w:sz w:val="18"/>
                          </w:rPr>
                          <w:t>infective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complications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across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renal</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units.</w:t>
                        </w:r>
                      </w:p>
                    </w:txbxContent>
                  </v:textbox>
                </v:rect>
                <v:shape id="Shape 337" o:spid="_x0000_s1192" style="position:absolute;left:6480;top:63531;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" path="m104775,v57861,,104775,46914,104775,104775c209550,162637,162636,209550,104775,209550,46914,209550,,162637,,104775,,46914,46914,,104775,xe" fillcolor="#fffefd" stroked="f" strokeweight="0">
                  <v:stroke miterlimit="83231f" joinstyle="miter"/>
                  <v:path arrowok="t" textboxrect="0,0,209550,209550"/>
                </v:shape>
                <v:rect id="Rectangle 338" o:spid="_x0000_s1193" style="position:absolute;left:6967;top:63990;width:1491;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14:paraId="27161CC5" w14:textId="77777777" w:rsidR="00A41391" w:rsidRDefault="00A41391" w:rsidP="009D683D">
                        <w:r>
                          <w:rPr>
                            <w:rFonts w:ascii="Calibri" w:eastAsia="Calibri" w:hAnsi="Calibri" w:cs="Calibri"/>
                            <w:b/>
                            <w:color w:val="181717"/>
                            <w:spacing w:val="-1"/>
                            <w:w w:val="116"/>
                            <w:sz w:val="15"/>
                          </w:rPr>
                          <w:t>32</w:t>
                        </w:r>
                      </w:p>
                    </w:txbxContent>
                  </v:textbox>
                </v:rect>
                <v:rect id="Rectangle 339" o:spid="_x0000_s1194" style="position:absolute;left:8575;top:64085;width:55435;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14:paraId="26DD11E9" w14:textId="77777777" w:rsidR="00A41391" w:rsidRDefault="00A41391" w:rsidP="009D683D">
                        <w:r>
                          <w:rPr>
                            <w:rFonts w:ascii="Calibri" w:eastAsia="Calibri" w:hAnsi="Calibri" w:cs="Calibri"/>
                            <w:color w:val="181717"/>
                            <w:spacing w:val="109"/>
                            <w:w w:val="110"/>
                            <w:sz w:val="18"/>
                          </w:rPr>
                          <w:t xml:space="preserve"> </w:t>
                        </w:r>
                        <w:r>
                          <w:rPr>
                            <w:rFonts w:ascii="Calibri" w:eastAsia="Calibri" w:hAnsi="Calibri" w:cs="Calibri"/>
                            <w:color w:val="181717"/>
                            <w:w w:val="110"/>
                            <w:sz w:val="18"/>
                          </w:rPr>
                          <w:t>Implement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tailored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prophylactic</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protocol</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for</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Indigenous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transplant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recipients.</w:t>
                        </w:r>
                      </w:p>
                    </w:txbxContent>
                  </v:textbox>
                </v:rect>
                <v:rect id="Rectangle 2636" o:spid="_x0000_s1195" style="position:absolute;left:6480;top:67098;width:32367;height:2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" filled="f" stroked="f">
                  <v:textbox inset="0,0,0,0">
                    <w:txbxContent>
                      <w:p w14:paraId="7569F080" w14:textId="77777777" w:rsidR="00A41391" w:rsidRDefault="00A41391" w:rsidP="009D683D">
                        <w:r>
                          <w:rPr>
                            <w:rFonts w:ascii="Calibri" w:eastAsia="Calibri" w:hAnsi="Calibri" w:cs="Calibri"/>
                            <w:b/>
                            <w:color w:val="181717"/>
                            <w:w w:val="129"/>
                            <w:sz w:val="21"/>
                            <w:u w:val="single" w:color="00556E"/>
                          </w:rPr>
                          <w:t>Workforce</w:t>
                        </w:r>
                        <w:r>
                          <w:rPr>
                            <w:rFonts w:ascii="Calibri" w:eastAsia="Calibri" w:hAnsi="Calibri" w:cs="Calibri"/>
                            <w:b/>
                            <w:color w:val="181717"/>
                            <w:spacing w:val="12"/>
                            <w:w w:val="129"/>
                            <w:sz w:val="21"/>
                            <w:u w:val="single" w:color="00556E"/>
                          </w:rPr>
                          <w:t xml:space="preserve"> </w:t>
                        </w:r>
                        <w:r>
                          <w:rPr>
                            <w:rFonts w:ascii="Calibri" w:eastAsia="Calibri" w:hAnsi="Calibri" w:cs="Calibri"/>
                            <w:b/>
                            <w:color w:val="181717"/>
                            <w:w w:val="129"/>
                            <w:sz w:val="21"/>
                            <w:u w:val="single" w:color="00556E"/>
                          </w:rPr>
                          <w:t>training</w:t>
                        </w:r>
                        <w:r>
                          <w:rPr>
                            <w:rFonts w:ascii="Calibri" w:eastAsia="Calibri" w:hAnsi="Calibri" w:cs="Calibri"/>
                            <w:b/>
                            <w:color w:val="181717"/>
                            <w:spacing w:val="12"/>
                            <w:w w:val="129"/>
                            <w:sz w:val="21"/>
                            <w:u w:val="single" w:color="00556E"/>
                          </w:rPr>
                          <w:t xml:space="preserve"> </w:t>
                        </w:r>
                        <w:r>
                          <w:rPr>
                            <w:rFonts w:ascii="Calibri" w:eastAsia="Calibri" w:hAnsi="Calibri" w:cs="Calibri"/>
                            <w:b/>
                            <w:color w:val="181717"/>
                            <w:w w:val="129"/>
                            <w:sz w:val="21"/>
                            <w:u w:val="single" w:color="00556E"/>
                          </w:rPr>
                          <w:t>&amp;</w:t>
                        </w:r>
                        <w:r>
                          <w:rPr>
                            <w:rFonts w:ascii="Calibri" w:eastAsia="Calibri" w:hAnsi="Calibri" w:cs="Calibri"/>
                            <w:b/>
                            <w:color w:val="181717"/>
                            <w:spacing w:val="12"/>
                            <w:w w:val="129"/>
                            <w:sz w:val="21"/>
                            <w:u w:val="single" w:color="00556E"/>
                          </w:rPr>
                          <w:t xml:space="preserve"> </w:t>
                        </w:r>
                        <w:r>
                          <w:rPr>
                            <w:rFonts w:ascii="Calibri" w:eastAsia="Calibri" w:hAnsi="Calibri" w:cs="Calibri"/>
                            <w:b/>
                            <w:color w:val="181717"/>
                            <w:w w:val="129"/>
                            <w:sz w:val="21"/>
                            <w:u w:val="single" w:color="00556E"/>
                          </w:rPr>
                          <w:t>development</w:t>
                        </w:r>
                      </w:p>
                    </w:txbxContent>
                  </v:textbox>
                </v:rect>
                <v:shape id="Shape 341" o:spid="_x0000_s1196" style="position:absolute;left:6480;top:69437;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" path="m104775,v57861,,104775,46914,104775,104775c209550,162637,162636,209550,104775,209550,46914,209550,,162637,,104775,,46914,46914,,104775,xe" fillcolor="#fffefd" stroked="f" strokeweight="0">
                  <v:stroke miterlimit="83231f" joinstyle="miter"/>
                  <v:path arrowok="t" textboxrect="0,0,209550,209550"/>
                </v:shape>
                <v:rect id="Rectangle 342" o:spid="_x0000_s1197" style="position:absolute;left:6966;top:69896;width:1493;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14:paraId="300793CC" w14:textId="77777777" w:rsidR="00A41391" w:rsidRDefault="00A41391" w:rsidP="009D683D">
                        <w:r>
                          <w:rPr>
                            <w:rFonts w:ascii="Calibri" w:eastAsia="Calibri" w:hAnsi="Calibri" w:cs="Calibri"/>
                            <w:b/>
                            <w:color w:val="181717"/>
                            <w:spacing w:val="-1"/>
                            <w:w w:val="116"/>
                            <w:sz w:val="15"/>
                          </w:rPr>
                          <w:t>33</w:t>
                        </w:r>
                      </w:p>
                    </w:txbxContent>
                  </v:textbox>
                </v:rect>
                <v:rect id="Rectangle 343" o:spid="_x0000_s1198" style="position:absolute;left:8575;top:69991;width:55332;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14:paraId="66190889" w14:textId="77777777" w:rsidR="00A41391" w:rsidRDefault="00A41391" w:rsidP="009D683D">
                        <w:r>
                          <w:rPr>
                            <w:rFonts w:ascii="Calibri" w:eastAsia="Calibri" w:hAnsi="Calibri" w:cs="Calibri"/>
                            <w:color w:val="181717"/>
                            <w:spacing w:val="109"/>
                            <w:w w:val="110"/>
                            <w:sz w:val="18"/>
                          </w:rPr>
                          <w:t xml:space="preserve"> </w:t>
                        </w:r>
                        <w:r>
                          <w:rPr>
                            <w:rFonts w:ascii="Calibri" w:eastAsia="Calibri" w:hAnsi="Calibri" w:cs="Calibri"/>
                            <w:color w:val="181717"/>
                            <w:w w:val="110"/>
                            <w:sz w:val="18"/>
                          </w:rPr>
                          <w:t>Deliver</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consumer</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engagement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training</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to</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renal</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unit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transplant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centre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staff.</w:t>
                        </w:r>
                      </w:p>
                    </w:txbxContent>
                  </v:textbox>
                </v:rect>
                <v:shape id="Shape 344" o:spid="_x0000_s1199" style="position:absolute;left:6480;top:71913;width:2095;height:2096;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" path="m104775,v57861,,104775,46914,104775,104775c209550,162637,162636,209550,104775,209550,46914,209550,,162637,,104775,,46914,46914,,104775,xe" fillcolor="#fffefd" stroked="f" strokeweight="0">
                  <v:stroke miterlimit="83231f" joinstyle="miter"/>
                  <v:path arrowok="t" textboxrect="0,0,209550,209550"/>
                </v:shape>
                <v:rect id="Rectangle 345" o:spid="_x0000_s1200" style="position:absolute;left:6917;top:72372;width:1623;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14:paraId="0802EE4B" w14:textId="77777777" w:rsidR="00A41391" w:rsidRDefault="00A41391" w:rsidP="009D683D">
                        <w:r>
                          <w:rPr>
                            <w:rFonts w:ascii="Calibri" w:eastAsia="Calibri" w:hAnsi="Calibri" w:cs="Calibri"/>
                            <w:b/>
                            <w:color w:val="181717"/>
                            <w:w w:val="126"/>
                            <w:sz w:val="15"/>
                          </w:rPr>
                          <w:t>34</w:t>
                        </w:r>
                      </w:p>
                    </w:txbxContent>
                  </v:textbox>
                </v:rect>
                <v:rect id="Rectangle 346" o:spid="_x0000_s1201" style="position:absolute;left:8575;top:72467;width:68959;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14:paraId="092F79D8" w14:textId="77777777" w:rsidR="00A41391" w:rsidRDefault="00A41391" w:rsidP="009D683D">
                        <w:r>
                          <w:rPr>
                            <w:rFonts w:ascii="Calibri" w:eastAsia="Calibri" w:hAnsi="Calibri" w:cs="Calibri"/>
                            <w:color w:val="181717"/>
                            <w:spacing w:val="109"/>
                            <w:w w:val="110"/>
                            <w:sz w:val="18"/>
                          </w:rPr>
                          <w:t xml:space="preserve"> </w:t>
                        </w:r>
                        <w:r>
                          <w:rPr>
                            <w:rFonts w:ascii="Calibri" w:eastAsia="Calibri" w:hAnsi="Calibri" w:cs="Calibri"/>
                            <w:color w:val="181717"/>
                            <w:w w:val="110"/>
                            <w:sz w:val="18"/>
                          </w:rPr>
                          <w:t>Implement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recruitment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and</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training</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strategies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for</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the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renal</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workforce,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particularly</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remote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areas,</w:t>
                        </w:r>
                        <w:r>
                          <w:rPr>
                            <w:rFonts w:ascii="Calibri" w:eastAsia="Calibri" w:hAnsi="Calibri" w:cs="Calibri"/>
                            <w:color w:val="181717"/>
                            <w:spacing w:val="6"/>
                            <w:w w:val="110"/>
                            <w:sz w:val="18"/>
                          </w:rPr>
                          <w:t xml:space="preserve"> </w:t>
                        </w:r>
                      </w:p>
                    </w:txbxContent>
                  </v:textbox>
                </v:rect>
                <v:rect id="Rectangle 347" o:spid="_x0000_s1202" style="position:absolute;left:9528;top:73991;width:46346;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14:paraId="35E7B59F" w14:textId="77777777" w:rsidR="00A41391" w:rsidRDefault="00A41391" w:rsidP="009D683D">
                        <w:r>
                          <w:rPr>
                            <w:rFonts w:ascii="Calibri" w:eastAsia="Calibri" w:hAnsi="Calibri" w:cs="Calibri"/>
                            <w:color w:val="181717"/>
                            <w:w w:val="110"/>
                            <w:sz w:val="18"/>
                          </w:rPr>
                          <w:t>to</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improve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the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delivery</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of</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culturally</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appropriate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pre-transplant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care.</w:t>
                        </w:r>
                      </w:p>
                    </w:txbxContent>
                  </v:textbox>
                </v:rect>
                <v:shape id="Shape 348" o:spid="_x0000_s1203" style="position:absolute;left:6480;top:75914;width:2095;height:2095;visibility:visible;mso-wrap-style:square;v-text-anchor:top"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" path="m104775,v57861,,104775,46914,104775,104775c209550,162637,162636,209550,104775,209550,46914,209550,,162637,,104775,,46914,46914,,104775,xe" fillcolor="#fffefd" stroked="f" strokeweight="0">
                  <v:stroke miterlimit="83231f" joinstyle="miter"/>
                  <v:path arrowok="t" textboxrect="0,0,209550,209550"/>
                </v:shape>
                <v:rect id="Rectangle 349" o:spid="_x0000_s1204" style="position:absolute;left:6967;top:76373;width:1491;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L2xQAAANwAAAAPAAAAZHJzL2Rvd25yZXYueG1sRI9Pa8JA&#10;FMTvhX6H5RW81Y21iI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Blr5L2xQAAANwAAAAP&#10;AAAAAAAAAAAAAAAAAAcCAABkcnMvZG93bnJldi54bWxQSwUGAAAAAAMAAwC3AAAA+QIAAAAA&#10;" filled="f" stroked="f">
                  <v:textbox inset="0,0,0,0">
                    <w:txbxContent>
                      <w:p w14:paraId="543203F7" w14:textId="77777777" w:rsidR="00A41391" w:rsidRDefault="00A41391" w:rsidP="009D683D">
                        <w:r>
                          <w:rPr>
                            <w:rFonts w:ascii="Calibri" w:eastAsia="Calibri" w:hAnsi="Calibri" w:cs="Calibri"/>
                            <w:b/>
                            <w:color w:val="181717"/>
                            <w:spacing w:val="-1"/>
                            <w:w w:val="116"/>
                            <w:sz w:val="15"/>
                          </w:rPr>
                          <w:t>35</w:t>
                        </w:r>
                      </w:p>
                    </w:txbxContent>
                  </v:textbox>
                </v:rect>
                <v:rect id="Rectangle 350" o:spid="_x0000_s1205" style="position:absolute;left:8575;top:76468;width:62522;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22wQAAANwAAAAPAAAAZHJzL2Rvd25yZXYueG1sRE/LisIw&#10;FN0L/kO4gjtNHXH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HFMrbbBAAAA3AAAAA8AAAAA&#10;AAAAAAAAAAAABwIAAGRycy9kb3ducmV2LnhtbFBLBQYAAAAAAwADALcAAAD1AgAAAAA=&#10;" filled="f" stroked="f">
                  <v:textbox inset="0,0,0,0">
                    <w:txbxContent>
                      <w:p w14:paraId="2A6EF559" w14:textId="77777777" w:rsidR="00A41391" w:rsidRDefault="00A41391" w:rsidP="009D683D">
                        <w:r>
                          <w:rPr>
                            <w:rFonts w:ascii="Calibri" w:eastAsia="Calibri" w:hAnsi="Calibri" w:cs="Calibri"/>
                            <w:color w:val="181717"/>
                            <w:spacing w:val="109"/>
                            <w:w w:val="110"/>
                            <w:sz w:val="18"/>
                          </w:rPr>
                          <w:t xml:space="preserve"> </w:t>
                        </w:r>
                        <w:r>
                          <w:rPr>
                            <w:rFonts w:ascii="Calibri" w:eastAsia="Calibri" w:hAnsi="Calibri" w:cs="Calibri"/>
                            <w:color w:val="181717"/>
                            <w:w w:val="110"/>
                            <w:sz w:val="18"/>
                          </w:rPr>
                          <w:t>Implement</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transplant-specific</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‘train</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the</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trainer’</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workshops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for</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Indigenous</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health</w:t>
                        </w:r>
                        <w:r>
                          <w:rPr>
                            <w:rFonts w:ascii="Calibri" w:eastAsia="Calibri" w:hAnsi="Calibri" w:cs="Calibri"/>
                            <w:color w:val="181717"/>
                            <w:spacing w:val="6"/>
                            <w:w w:val="110"/>
                            <w:sz w:val="18"/>
                          </w:rPr>
                          <w:t xml:space="preserve"> </w:t>
                        </w:r>
                        <w:r>
                          <w:rPr>
                            <w:rFonts w:ascii="Calibri" w:eastAsia="Calibri" w:hAnsi="Calibri" w:cs="Calibri"/>
                            <w:color w:val="181717"/>
                            <w:w w:val="110"/>
                            <w:sz w:val="18"/>
                          </w:rPr>
                          <w:t>workers.</w:t>
                        </w:r>
                        <w:r>
                          <w:rPr>
                            <w:rFonts w:ascii="Calibri" w:eastAsia="Calibri" w:hAnsi="Calibri" w:cs="Calibri"/>
                            <w:color w:val="181717"/>
                            <w:spacing w:val="6"/>
                            <w:w w:val="110"/>
                            <w:sz w:val="18"/>
                          </w:rPr>
                          <w:t xml:space="preserve"> </w:t>
                        </w:r>
                      </w:p>
                    </w:txbxContent>
                  </v:textbox>
                </v:rect>
                <w10:anchorlock/>
              </v:group>
            </w:pict>
          </mc:Fallback>
        </mc:AlternateContent>
      </w:r>
    </w:p>
    <w:p w14:paraId="5226C691" w14:textId="77777777" w:rsidR="009D683D" w:rsidRPr="009D683D" w:rsidRDefault="009D683D" w:rsidP="009D683D">
      <w:pPr>
        <w:keepNext/>
        <w:keepLines/>
        <w:spacing w:before="240"/>
        <w:ind w:left="357" w:hanging="357"/>
        <w:outlineLvl w:val="0"/>
        <w:rPr>
          <w:rFonts w:ascii="Calibri Light" w:eastAsia="Times New Roman" w:hAnsi="Calibri Light" w:cs="Times New Roman"/>
          <w:b/>
          <w:sz w:val="32"/>
          <w:szCs w:val="32"/>
        </w:rPr>
      </w:pPr>
      <w:bookmarkStart w:id="96" w:name="_Toc2585845"/>
      <w:r w:rsidRPr="009D683D">
        <w:rPr>
          <w:rFonts w:ascii="Calibri Light" w:eastAsia="Times New Roman" w:hAnsi="Calibri Light" w:cs="Times New Roman"/>
          <w:b/>
          <w:sz w:val="32"/>
          <w:szCs w:val="32"/>
        </w:rPr>
        <w:lastRenderedPageBreak/>
        <w:t>Appendix A     Table of Systemic Biases</w:t>
      </w:r>
      <w:bookmarkEnd w:id="96"/>
    </w:p>
    <w:tbl>
      <w:tblPr>
        <w:tblStyle w:val="ListTable311"/>
        <w:tblW w:w="0" w:type="auto"/>
        <w:tblLook w:val="04A0" w:firstRow="1" w:lastRow="0" w:firstColumn="1" w:lastColumn="0" w:noHBand="0" w:noVBand="1"/>
      </w:tblPr>
      <w:tblGrid>
        <w:gridCol w:w="4531"/>
        <w:gridCol w:w="4485"/>
      </w:tblGrid>
      <w:tr w:rsidR="009D683D" w:rsidRPr="009D683D" w14:paraId="232B2206" w14:textId="77777777" w:rsidTr="009D68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1" w:type="dxa"/>
          </w:tcPr>
          <w:p w14:paraId="349C934D" w14:textId="77777777" w:rsidR="009D683D" w:rsidRPr="009D683D" w:rsidRDefault="009D683D" w:rsidP="009D683D">
            <w:pPr>
              <w:jc w:val="center"/>
              <w:rPr>
                <w:rFonts w:ascii="Calibri" w:eastAsia="Calibri" w:hAnsi="Calibri" w:cs="Times New Roman"/>
                <w:sz w:val="22"/>
              </w:rPr>
            </w:pPr>
            <w:r w:rsidRPr="009D683D">
              <w:rPr>
                <w:rFonts w:ascii="Calibri" w:eastAsia="Calibri" w:hAnsi="Calibri" w:cs="Times New Roman"/>
                <w:sz w:val="22"/>
              </w:rPr>
              <w:t>Systemic Biases and Effect</w:t>
            </w:r>
          </w:p>
        </w:tc>
        <w:tc>
          <w:tcPr>
            <w:tcW w:w="4485" w:type="dxa"/>
          </w:tcPr>
          <w:p w14:paraId="75CBB6A7" w14:textId="77777777" w:rsidR="009D683D" w:rsidRPr="009D683D" w:rsidRDefault="009D683D" w:rsidP="009D683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Mitigating Strategies</w:t>
            </w:r>
          </w:p>
        </w:tc>
      </w:tr>
      <w:tr w:rsidR="009D683D" w:rsidRPr="009D683D" w14:paraId="7315AD46" w14:textId="77777777" w:rsidTr="009D6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8C515AC" w14:textId="77777777" w:rsidR="009D683D" w:rsidRPr="009D683D" w:rsidRDefault="009D683D" w:rsidP="00782640">
            <w:pPr>
              <w:numPr>
                <w:ilvl w:val="0"/>
                <w:numId w:val="72"/>
              </w:numPr>
              <w:spacing w:line="276" w:lineRule="auto"/>
              <w:contextualSpacing/>
              <w:rPr>
                <w:rFonts w:ascii="Calibri" w:eastAsia="Calibri" w:hAnsi="Calibri" w:cs="Times New Roman"/>
                <w:sz w:val="22"/>
              </w:rPr>
            </w:pPr>
            <w:r w:rsidRPr="009D683D">
              <w:rPr>
                <w:rFonts w:ascii="Calibri" w:eastAsia="Calibri" w:hAnsi="Calibri" w:cs="Times New Roman"/>
                <w:sz w:val="22"/>
              </w:rPr>
              <w:t xml:space="preserve">Australia’s kidney transplant system has been designed to cater for the needs of non-Indigenous patients. </w:t>
            </w:r>
          </w:p>
          <w:p w14:paraId="4BDD4AFD" w14:textId="77777777" w:rsidR="009D683D" w:rsidRPr="009D683D" w:rsidRDefault="009D683D" w:rsidP="00782640">
            <w:pPr>
              <w:numPr>
                <w:ilvl w:val="0"/>
                <w:numId w:val="75"/>
              </w:numPr>
              <w:spacing w:line="276" w:lineRule="auto"/>
              <w:contextualSpacing/>
              <w:rPr>
                <w:rFonts w:ascii="Calibri" w:eastAsia="Calibri" w:hAnsi="Calibri" w:cs="Times New Roman"/>
                <w:sz w:val="22"/>
              </w:rPr>
            </w:pPr>
            <w:r w:rsidRPr="009D683D">
              <w:rPr>
                <w:rFonts w:ascii="Calibri" w:eastAsia="Calibri" w:hAnsi="Calibri" w:cs="Times New Roman"/>
                <w:sz w:val="22"/>
              </w:rPr>
              <w:t>This promotes inequity in pre- and post-transplant outcomes.</w:t>
            </w:r>
          </w:p>
        </w:tc>
        <w:tc>
          <w:tcPr>
            <w:tcW w:w="4485" w:type="dxa"/>
          </w:tcPr>
          <w:p w14:paraId="0392AE25" w14:textId="77777777" w:rsidR="009D683D" w:rsidRPr="009D683D" w:rsidRDefault="009D683D" w:rsidP="00782640">
            <w:pPr>
              <w:numPr>
                <w:ilvl w:val="0"/>
                <w:numId w:val="7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 xml:space="preserve">Processes and systems that support equity in transplant outcomes and organ allocation need to be identified and integrated into </w:t>
            </w:r>
            <w:proofErr w:type="spellStart"/>
            <w:r w:rsidRPr="009D683D">
              <w:rPr>
                <w:rFonts w:ascii="Calibri" w:eastAsia="Calibri" w:hAnsi="Calibri" w:cs="Times New Roman"/>
                <w:sz w:val="22"/>
              </w:rPr>
              <w:t>renal</w:t>
            </w:r>
            <w:proofErr w:type="spellEnd"/>
            <w:r w:rsidRPr="009D683D">
              <w:rPr>
                <w:rFonts w:ascii="Calibri" w:eastAsia="Calibri" w:hAnsi="Calibri" w:cs="Times New Roman"/>
                <w:sz w:val="22"/>
              </w:rPr>
              <w:t xml:space="preserve"> units and transplant centres.</w:t>
            </w:r>
          </w:p>
          <w:p w14:paraId="2D2F79F0" w14:textId="77777777" w:rsidR="009D683D" w:rsidRPr="009D683D" w:rsidRDefault="009D683D" w:rsidP="00782640">
            <w:pPr>
              <w:numPr>
                <w:ilvl w:val="0"/>
                <w:numId w:val="7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 xml:space="preserve">Possible actions that involve change at the health system, rather than personal, level include: </w:t>
            </w:r>
          </w:p>
          <w:p w14:paraId="1165C462" w14:textId="77777777" w:rsidR="009D683D" w:rsidRPr="009D683D" w:rsidRDefault="009D683D" w:rsidP="00782640">
            <w:pPr>
              <w:numPr>
                <w:ilvl w:val="0"/>
                <w:numId w:val="75"/>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committing additional funding to Indigenous specific transplant initiatives, such as delivering outreach services in remote areas,</w:t>
            </w:r>
          </w:p>
          <w:p w14:paraId="082B8F10" w14:textId="77777777" w:rsidR="009D683D" w:rsidRPr="009D683D" w:rsidRDefault="009D683D" w:rsidP="00782640">
            <w:pPr>
              <w:numPr>
                <w:ilvl w:val="0"/>
                <w:numId w:val="75"/>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incorporating Indigenous paradigms within service specifications, and</w:t>
            </w:r>
          </w:p>
          <w:p w14:paraId="0A1C19C7" w14:textId="77777777" w:rsidR="009D683D" w:rsidRPr="009D683D" w:rsidRDefault="009D683D" w:rsidP="00782640">
            <w:pPr>
              <w:numPr>
                <w:ilvl w:val="0"/>
                <w:numId w:val="75"/>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increasing Indigenous representation on advisory boards and steering groups.</w:t>
            </w:r>
          </w:p>
        </w:tc>
      </w:tr>
      <w:tr w:rsidR="009D683D" w:rsidRPr="009D683D" w14:paraId="5AE1C78D" w14:textId="77777777" w:rsidTr="009D683D">
        <w:tc>
          <w:tcPr>
            <w:cnfStyle w:val="001000000000" w:firstRow="0" w:lastRow="0" w:firstColumn="1" w:lastColumn="0" w:oddVBand="0" w:evenVBand="0" w:oddHBand="0" w:evenHBand="0" w:firstRowFirstColumn="0" w:firstRowLastColumn="0" w:lastRowFirstColumn="0" w:lastRowLastColumn="0"/>
            <w:tcW w:w="4531" w:type="dxa"/>
          </w:tcPr>
          <w:p w14:paraId="21A5494C" w14:textId="77777777" w:rsidR="009D683D" w:rsidRPr="009D683D" w:rsidRDefault="009D683D" w:rsidP="00782640">
            <w:pPr>
              <w:numPr>
                <w:ilvl w:val="0"/>
                <w:numId w:val="70"/>
              </w:numPr>
              <w:spacing w:line="276" w:lineRule="auto"/>
              <w:contextualSpacing/>
              <w:rPr>
                <w:rFonts w:ascii="Calibri" w:eastAsia="Calibri" w:hAnsi="Calibri" w:cs="Times New Roman"/>
                <w:sz w:val="22"/>
              </w:rPr>
            </w:pPr>
            <w:r w:rsidRPr="009D683D">
              <w:rPr>
                <w:rFonts w:ascii="Calibri" w:eastAsia="Calibri" w:hAnsi="Calibri" w:cs="Times New Roman"/>
                <w:sz w:val="22"/>
              </w:rPr>
              <w:t xml:space="preserve">A number of criteria used by </w:t>
            </w:r>
            <w:proofErr w:type="spellStart"/>
            <w:r w:rsidRPr="009D683D">
              <w:rPr>
                <w:rFonts w:ascii="Calibri" w:eastAsia="Calibri" w:hAnsi="Calibri" w:cs="Times New Roman"/>
                <w:sz w:val="22"/>
              </w:rPr>
              <w:t>renal</w:t>
            </w:r>
            <w:proofErr w:type="spellEnd"/>
            <w:r w:rsidRPr="009D683D">
              <w:rPr>
                <w:rFonts w:ascii="Calibri" w:eastAsia="Calibri" w:hAnsi="Calibri" w:cs="Times New Roman"/>
                <w:sz w:val="22"/>
              </w:rPr>
              <w:t xml:space="preserve"> units and transplant centres to determine patients’ suitability for kidney transplantation are standardised across Indigenous and non-Indigenous populations, despite the significant biological, cultural, genetic and social differences that exist between these patient groups.</w:t>
            </w:r>
          </w:p>
          <w:p w14:paraId="5CF9AD9E" w14:textId="77777777" w:rsidR="009D683D" w:rsidRPr="009D683D" w:rsidRDefault="009D683D" w:rsidP="00782640">
            <w:pPr>
              <w:numPr>
                <w:ilvl w:val="0"/>
                <w:numId w:val="75"/>
              </w:numPr>
              <w:spacing w:line="276" w:lineRule="auto"/>
              <w:contextualSpacing/>
              <w:rPr>
                <w:rFonts w:ascii="Calibri" w:eastAsia="Calibri" w:hAnsi="Calibri" w:cs="Times New Roman"/>
                <w:sz w:val="22"/>
              </w:rPr>
            </w:pPr>
            <w:r w:rsidRPr="009D683D">
              <w:rPr>
                <w:rFonts w:ascii="Calibri" w:eastAsia="Calibri" w:hAnsi="Calibri" w:cs="Times New Roman"/>
                <w:sz w:val="22"/>
              </w:rPr>
              <w:t>Applying standardised contraindication criteria to Indigenous patients may not be appropriate and could unjustly limit their access to the waitlist.</w:t>
            </w:r>
          </w:p>
        </w:tc>
        <w:tc>
          <w:tcPr>
            <w:tcW w:w="4485" w:type="dxa"/>
          </w:tcPr>
          <w:p w14:paraId="71866B66" w14:textId="77777777" w:rsidR="009D683D" w:rsidRPr="009D683D" w:rsidRDefault="009D683D" w:rsidP="00782640">
            <w:pPr>
              <w:numPr>
                <w:ilvl w:val="0"/>
                <w:numId w:val="70"/>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 xml:space="preserve">A solid evidence base around criteria to determine transplant suitability needs to be developed and made available to patients and families so that they can understand the rationale underpinning medical decision making. </w:t>
            </w:r>
          </w:p>
          <w:p w14:paraId="4CD32290" w14:textId="77777777" w:rsidR="009D683D" w:rsidRPr="009D683D" w:rsidRDefault="009D683D" w:rsidP="00782640">
            <w:pPr>
              <w:numPr>
                <w:ilvl w:val="0"/>
                <w:numId w:val="75"/>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The evidence base should then be harnessed to determine if certain criteria should include caveats in certain circumstances/individuals.</w:t>
            </w:r>
          </w:p>
        </w:tc>
      </w:tr>
      <w:tr w:rsidR="009D683D" w:rsidRPr="009D683D" w14:paraId="7DAECDDB" w14:textId="77777777" w:rsidTr="009D6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2B152E0" w14:textId="77777777" w:rsidR="009D683D" w:rsidRPr="009D683D" w:rsidRDefault="009D683D" w:rsidP="00782640">
            <w:pPr>
              <w:numPr>
                <w:ilvl w:val="0"/>
                <w:numId w:val="70"/>
              </w:numPr>
              <w:spacing w:line="276" w:lineRule="auto"/>
              <w:contextualSpacing/>
              <w:rPr>
                <w:rFonts w:ascii="Calibri" w:eastAsia="Calibri" w:hAnsi="Calibri" w:cs="Times New Roman"/>
                <w:sz w:val="22"/>
              </w:rPr>
            </w:pPr>
            <w:r w:rsidRPr="009D683D">
              <w:rPr>
                <w:rFonts w:ascii="Calibri" w:eastAsia="Calibri" w:hAnsi="Calibri" w:cs="Times New Roman"/>
                <w:sz w:val="22"/>
              </w:rPr>
              <w:t xml:space="preserve">The higher rates of diabetes and CKD in the Indigenous population may mean that nephrologists adopt a more cautious approach in allowing Indigenous people to donate a kidney to a family member. However, very little is known about how renal unit and transplant centre protocols address this issue, and what evidence has informed the development of these protocols. </w:t>
            </w:r>
          </w:p>
          <w:p w14:paraId="07C52F60" w14:textId="77777777" w:rsidR="009D683D" w:rsidRPr="009D683D" w:rsidRDefault="009D683D" w:rsidP="00782640">
            <w:pPr>
              <w:numPr>
                <w:ilvl w:val="0"/>
                <w:numId w:val="75"/>
              </w:numPr>
              <w:spacing w:line="276" w:lineRule="auto"/>
              <w:contextualSpacing/>
              <w:rPr>
                <w:rFonts w:ascii="Calibri" w:eastAsia="Calibri" w:hAnsi="Calibri" w:cs="Times New Roman"/>
                <w:sz w:val="22"/>
              </w:rPr>
            </w:pPr>
            <w:r w:rsidRPr="009D683D">
              <w:rPr>
                <w:rFonts w:ascii="Calibri" w:eastAsia="Calibri" w:hAnsi="Calibri" w:cs="Times New Roman"/>
                <w:sz w:val="22"/>
              </w:rPr>
              <w:lastRenderedPageBreak/>
              <w:t xml:space="preserve">While the intention is to ensure donors are not put at future risk for ESKD, current donation and transplant protocols may limit the accessibility of kidney transplantation for Indigenous transplant candidates. </w:t>
            </w:r>
          </w:p>
        </w:tc>
        <w:tc>
          <w:tcPr>
            <w:tcW w:w="4485" w:type="dxa"/>
          </w:tcPr>
          <w:p w14:paraId="32B71ABE" w14:textId="77777777" w:rsidR="009D683D" w:rsidRPr="009D683D" w:rsidRDefault="009D683D" w:rsidP="00782640">
            <w:pPr>
              <w:numPr>
                <w:ilvl w:val="0"/>
                <w:numId w:val="7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lastRenderedPageBreak/>
              <w:t>Evidence on the outcomes of kidney transplantation using a live Indigenous donor (for both donor and recipient) needs to be systematically reviewed to inform health service protocols.</w:t>
            </w:r>
          </w:p>
          <w:p w14:paraId="3589AC96" w14:textId="77777777" w:rsidR="009D683D" w:rsidRPr="009D683D" w:rsidRDefault="009D683D" w:rsidP="00782640">
            <w:pPr>
              <w:numPr>
                <w:ilvl w:val="0"/>
                <w:numId w:val="7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The findings of this review should be disseminated to Indigenous transplant candidates and the community more broadly to ensure transparency around decision making processes.</w:t>
            </w:r>
          </w:p>
        </w:tc>
      </w:tr>
      <w:tr w:rsidR="009D683D" w:rsidRPr="009D683D" w14:paraId="7614EFFC" w14:textId="77777777" w:rsidTr="009D683D">
        <w:tc>
          <w:tcPr>
            <w:cnfStyle w:val="001000000000" w:firstRow="0" w:lastRow="0" w:firstColumn="1" w:lastColumn="0" w:oddVBand="0" w:evenVBand="0" w:oddHBand="0" w:evenHBand="0" w:firstRowFirstColumn="0" w:firstRowLastColumn="0" w:lastRowFirstColumn="0" w:lastRowLastColumn="0"/>
            <w:tcW w:w="4531" w:type="dxa"/>
          </w:tcPr>
          <w:p w14:paraId="361C42D2" w14:textId="77777777" w:rsidR="009D683D" w:rsidRPr="009D683D" w:rsidRDefault="009D683D" w:rsidP="00782640">
            <w:pPr>
              <w:numPr>
                <w:ilvl w:val="0"/>
                <w:numId w:val="70"/>
              </w:numPr>
              <w:spacing w:line="276" w:lineRule="auto"/>
              <w:contextualSpacing/>
              <w:rPr>
                <w:rFonts w:ascii="Calibri" w:eastAsia="Calibri" w:hAnsi="Calibri" w:cs="Times New Roman"/>
                <w:sz w:val="22"/>
              </w:rPr>
            </w:pPr>
            <w:r w:rsidRPr="009D683D">
              <w:rPr>
                <w:rFonts w:ascii="Calibri" w:eastAsia="Calibri" w:hAnsi="Calibri" w:cs="Times New Roman"/>
                <w:sz w:val="22"/>
              </w:rPr>
              <w:t xml:space="preserve">Indigenous ESKD patients are more likely to be overweight or obese compared to non-Indigenous patients, but </w:t>
            </w:r>
            <w:proofErr w:type="spellStart"/>
            <w:r w:rsidRPr="009D683D">
              <w:rPr>
                <w:rFonts w:ascii="Calibri" w:eastAsia="Calibri" w:hAnsi="Calibri" w:cs="Times New Roman"/>
                <w:sz w:val="22"/>
              </w:rPr>
              <w:t>renal</w:t>
            </w:r>
            <w:proofErr w:type="spellEnd"/>
            <w:r w:rsidRPr="009D683D">
              <w:rPr>
                <w:rFonts w:ascii="Calibri" w:eastAsia="Calibri" w:hAnsi="Calibri" w:cs="Times New Roman"/>
                <w:sz w:val="22"/>
              </w:rPr>
              <w:t xml:space="preserve"> units and transplant centres currently offer very little assistance in helping Indigenous patients to lose weight in order to access a kidney transplant.</w:t>
            </w:r>
          </w:p>
          <w:p w14:paraId="753C3A4B" w14:textId="77777777" w:rsidR="009D683D" w:rsidRPr="009D683D" w:rsidRDefault="009D683D" w:rsidP="00782640">
            <w:pPr>
              <w:numPr>
                <w:ilvl w:val="0"/>
                <w:numId w:val="75"/>
              </w:numPr>
              <w:spacing w:line="276" w:lineRule="auto"/>
              <w:contextualSpacing/>
              <w:rPr>
                <w:rFonts w:ascii="Calibri" w:eastAsia="Calibri" w:hAnsi="Calibri" w:cs="Times New Roman"/>
                <w:sz w:val="22"/>
              </w:rPr>
            </w:pPr>
            <w:r w:rsidRPr="009D683D">
              <w:rPr>
                <w:rFonts w:ascii="Calibri" w:eastAsia="Calibri" w:hAnsi="Calibri" w:cs="Times New Roman"/>
                <w:sz w:val="22"/>
              </w:rPr>
              <w:t xml:space="preserve">This limits Indigenous patients’ access to the waitlist. </w:t>
            </w:r>
          </w:p>
        </w:tc>
        <w:tc>
          <w:tcPr>
            <w:tcW w:w="4485" w:type="dxa"/>
          </w:tcPr>
          <w:p w14:paraId="22953E71" w14:textId="77777777" w:rsidR="009D683D" w:rsidRPr="009D683D" w:rsidRDefault="009D683D" w:rsidP="00782640">
            <w:pPr>
              <w:numPr>
                <w:ilvl w:val="0"/>
                <w:numId w:val="70"/>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proofErr w:type="spellStart"/>
            <w:r w:rsidRPr="009D683D">
              <w:rPr>
                <w:rFonts w:ascii="Calibri" w:eastAsia="Calibri" w:hAnsi="Calibri" w:cs="Times New Roman"/>
                <w:sz w:val="22"/>
              </w:rPr>
              <w:t>Renal</w:t>
            </w:r>
            <w:proofErr w:type="spellEnd"/>
            <w:r w:rsidRPr="009D683D">
              <w:rPr>
                <w:rFonts w:ascii="Calibri" w:eastAsia="Calibri" w:hAnsi="Calibri" w:cs="Times New Roman"/>
                <w:sz w:val="22"/>
              </w:rPr>
              <w:t xml:space="preserve"> units and transplant centres must engage and work alongside Primary Health Networks to develop, implement and support effective weight loss strategies for the Indigenous kidney transplant candidate population. </w:t>
            </w:r>
          </w:p>
          <w:p w14:paraId="52893DCE" w14:textId="77777777" w:rsidR="009D683D" w:rsidRPr="009D683D" w:rsidRDefault="009D683D" w:rsidP="00782640">
            <w:pPr>
              <w:numPr>
                <w:ilvl w:val="0"/>
                <w:numId w:val="70"/>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Further evidence is also needed to determine the safest body composition for kidney transplantation, given that Indigenous patients tend to have a very different fat distribution compared to non-Indigenous patients.</w:t>
            </w:r>
          </w:p>
        </w:tc>
      </w:tr>
      <w:tr w:rsidR="009D683D" w:rsidRPr="009D683D" w14:paraId="2136D703" w14:textId="77777777" w:rsidTr="009D6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C4782D2" w14:textId="77777777" w:rsidR="009D683D" w:rsidRPr="009D683D" w:rsidRDefault="009D683D" w:rsidP="00782640">
            <w:pPr>
              <w:numPr>
                <w:ilvl w:val="0"/>
                <w:numId w:val="70"/>
              </w:numPr>
              <w:spacing w:line="276" w:lineRule="auto"/>
              <w:contextualSpacing/>
              <w:rPr>
                <w:rFonts w:ascii="Calibri" w:eastAsia="Calibri" w:hAnsi="Calibri" w:cs="Times New Roman"/>
                <w:sz w:val="22"/>
              </w:rPr>
            </w:pPr>
            <w:r w:rsidRPr="009D683D">
              <w:rPr>
                <w:rFonts w:ascii="Calibri" w:eastAsia="Calibri" w:hAnsi="Calibri" w:cs="Times New Roman"/>
                <w:sz w:val="22"/>
              </w:rPr>
              <w:t xml:space="preserve">Indigenous patients who delay assessment and workup tests due to conflicting family and cultural obligations may be perceived to be nonadherent by </w:t>
            </w:r>
            <w:proofErr w:type="spellStart"/>
            <w:r w:rsidRPr="009D683D">
              <w:rPr>
                <w:rFonts w:ascii="Calibri" w:eastAsia="Calibri" w:hAnsi="Calibri" w:cs="Times New Roman"/>
                <w:sz w:val="22"/>
              </w:rPr>
              <w:t>renal</w:t>
            </w:r>
            <w:proofErr w:type="spellEnd"/>
            <w:r w:rsidRPr="009D683D">
              <w:rPr>
                <w:rFonts w:ascii="Calibri" w:eastAsia="Calibri" w:hAnsi="Calibri" w:cs="Times New Roman"/>
                <w:sz w:val="22"/>
              </w:rPr>
              <w:t xml:space="preserve"> units and transplant centres.</w:t>
            </w:r>
          </w:p>
          <w:p w14:paraId="7E7277E5" w14:textId="77777777" w:rsidR="009D683D" w:rsidRPr="009D683D" w:rsidRDefault="009D683D" w:rsidP="00782640">
            <w:pPr>
              <w:numPr>
                <w:ilvl w:val="0"/>
                <w:numId w:val="75"/>
              </w:numPr>
              <w:spacing w:line="276" w:lineRule="auto"/>
              <w:contextualSpacing/>
              <w:rPr>
                <w:rFonts w:ascii="Calibri" w:eastAsia="Calibri" w:hAnsi="Calibri" w:cs="Times New Roman"/>
                <w:sz w:val="22"/>
              </w:rPr>
            </w:pPr>
            <w:r w:rsidRPr="009D683D">
              <w:rPr>
                <w:rFonts w:ascii="Calibri" w:eastAsia="Calibri" w:hAnsi="Calibri" w:cs="Times New Roman"/>
                <w:sz w:val="22"/>
              </w:rPr>
              <w:t>This detrimentally affects Indigenous patients’ likelihood of being waitlisted.</w:t>
            </w:r>
          </w:p>
        </w:tc>
        <w:tc>
          <w:tcPr>
            <w:tcW w:w="4485" w:type="dxa"/>
          </w:tcPr>
          <w:p w14:paraId="086E8295" w14:textId="77777777" w:rsidR="009D683D" w:rsidRPr="009D683D" w:rsidRDefault="009D683D" w:rsidP="00782640">
            <w:pPr>
              <w:numPr>
                <w:ilvl w:val="0"/>
                <w:numId w:val="7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 xml:space="preserve">The health care system needs to accommodate Indigenous patients’ family and cultural obligations by delivering care close to home wherever possible. </w:t>
            </w:r>
          </w:p>
          <w:p w14:paraId="1294414F" w14:textId="77777777" w:rsidR="009D683D" w:rsidRPr="009D683D" w:rsidRDefault="009D683D" w:rsidP="00782640">
            <w:pPr>
              <w:numPr>
                <w:ilvl w:val="0"/>
                <w:numId w:val="75"/>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This necessitates the establishment and funding of multidisciplinary pre- and post-transplant teams and outreach services in regional, rural and remote areas.</w:t>
            </w:r>
          </w:p>
          <w:p w14:paraId="5C9A297F" w14:textId="77777777" w:rsidR="009D683D" w:rsidRPr="009D683D" w:rsidRDefault="009D683D" w:rsidP="00782640">
            <w:pPr>
              <w:numPr>
                <w:ilvl w:val="0"/>
                <w:numId w:val="7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 xml:space="preserve">When travel to a </w:t>
            </w:r>
            <w:proofErr w:type="spellStart"/>
            <w:r w:rsidRPr="009D683D">
              <w:rPr>
                <w:rFonts w:ascii="Calibri" w:eastAsia="Calibri" w:hAnsi="Calibri" w:cs="Times New Roman"/>
                <w:sz w:val="22"/>
              </w:rPr>
              <w:t>renal</w:t>
            </w:r>
            <w:proofErr w:type="spellEnd"/>
            <w:r w:rsidRPr="009D683D">
              <w:rPr>
                <w:rFonts w:ascii="Calibri" w:eastAsia="Calibri" w:hAnsi="Calibri" w:cs="Times New Roman"/>
                <w:sz w:val="22"/>
              </w:rPr>
              <w:t xml:space="preserve"> unit or transplant centre in a regional or metropolitan area is unavoidable, a holistic system of support should be made available to rural and remote Indigenous patients, encompassing accommodation, transport and Indigenous interpreters and patient navigators.</w:t>
            </w:r>
          </w:p>
        </w:tc>
      </w:tr>
      <w:tr w:rsidR="009D683D" w:rsidRPr="009D683D" w14:paraId="671237B6" w14:textId="77777777" w:rsidTr="009D683D">
        <w:tc>
          <w:tcPr>
            <w:cnfStyle w:val="001000000000" w:firstRow="0" w:lastRow="0" w:firstColumn="1" w:lastColumn="0" w:oddVBand="0" w:evenVBand="0" w:oddHBand="0" w:evenHBand="0" w:firstRowFirstColumn="0" w:firstRowLastColumn="0" w:lastRowFirstColumn="0" w:lastRowLastColumn="0"/>
            <w:tcW w:w="4531" w:type="dxa"/>
          </w:tcPr>
          <w:p w14:paraId="4FE35AD1" w14:textId="77777777" w:rsidR="009D683D" w:rsidRPr="009D683D" w:rsidRDefault="009D683D" w:rsidP="00782640">
            <w:pPr>
              <w:numPr>
                <w:ilvl w:val="0"/>
                <w:numId w:val="70"/>
              </w:numPr>
              <w:spacing w:line="276" w:lineRule="auto"/>
              <w:contextualSpacing/>
              <w:rPr>
                <w:rFonts w:ascii="Calibri" w:eastAsia="Calibri" w:hAnsi="Calibri" w:cs="Times New Roman"/>
                <w:sz w:val="22"/>
              </w:rPr>
            </w:pPr>
            <w:r w:rsidRPr="009D683D">
              <w:rPr>
                <w:rFonts w:ascii="Calibri" w:eastAsia="Calibri" w:hAnsi="Calibri" w:cs="Times New Roman"/>
                <w:sz w:val="22"/>
              </w:rPr>
              <w:t>Issues associated with Indigenous kidney health continue to be insufficiently recognised and prioritised by health care services and governments.</w:t>
            </w:r>
          </w:p>
          <w:p w14:paraId="601FDDC3" w14:textId="77777777" w:rsidR="009D683D" w:rsidRPr="009D683D" w:rsidRDefault="009D683D" w:rsidP="00782640">
            <w:pPr>
              <w:numPr>
                <w:ilvl w:val="0"/>
                <w:numId w:val="75"/>
              </w:numPr>
              <w:spacing w:line="276" w:lineRule="auto"/>
              <w:contextualSpacing/>
              <w:rPr>
                <w:rFonts w:ascii="Calibri" w:eastAsia="Calibri" w:hAnsi="Calibri" w:cs="Times New Roman"/>
                <w:sz w:val="22"/>
              </w:rPr>
            </w:pPr>
            <w:r w:rsidRPr="009D683D">
              <w:rPr>
                <w:rFonts w:ascii="Calibri" w:eastAsia="Calibri" w:hAnsi="Calibri" w:cs="Times New Roman"/>
                <w:sz w:val="22"/>
              </w:rPr>
              <w:t>Until it is appropriately recognised, inequitable models of care will continue to detrimentally affect Indigenous patients’ pre- and post-transplant outcomes.</w:t>
            </w:r>
          </w:p>
        </w:tc>
        <w:tc>
          <w:tcPr>
            <w:tcW w:w="4485" w:type="dxa"/>
          </w:tcPr>
          <w:p w14:paraId="418B79E0" w14:textId="77777777" w:rsidR="009D683D" w:rsidRPr="009D683D" w:rsidRDefault="009D683D" w:rsidP="00782640">
            <w:pPr>
              <w:numPr>
                <w:ilvl w:val="0"/>
                <w:numId w:val="70"/>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A national agenda to achieve optimal and equitable kidney health for all Australians should be established and supported across all levels of the health care system and government.</w:t>
            </w:r>
          </w:p>
          <w:p w14:paraId="1ECF5FC4" w14:textId="77777777" w:rsidR="009D683D" w:rsidRPr="009D683D" w:rsidRDefault="009D683D" w:rsidP="00782640">
            <w:pPr>
              <w:numPr>
                <w:ilvl w:val="0"/>
                <w:numId w:val="70"/>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 xml:space="preserve">In particular, renal health should be prioritised as part of the Australian Government’s Closing the Gap targets, with </w:t>
            </w:r>
            <w:r w:rsidRPr="009D683D">
              <w:rPr>
                <w:rFonts w:ascii="Calibri" w:eastAsia="Calibri" w:hAnsi="Calibri" w:cs="Times New Roman"/>
                <w:sz w:val="22"/>
              </w:rPr>
              <w:lastRenderedPageBreak/>
              <w:t xml:space="preserve">progress monitored and reported on annually. </w:t>
            </w:r>
          </w:p>
          <w:p w14:paraId="1499B06E" w14:textId="77777777" w:rsidR="009D683D" w:rsidRPr="009D683D" w:rsidRDefault="009D683D" w:rsidP="00782640">
            <w:pPr>
              <w:numPr>
                <w:ilvl w:val="0"/>
                <w:numId w:val="70"/>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 xml:space="preserve">Within the nephrology community, a formal, nationally recognised advocacy group should be established to champion equitable access to transplantation and post-transplant outcomes for Indigenous patients. </w:t>
            </w:r>
          </w:p>
        </w:tc>
      </w:tr>
      <w:tr w:rsidR="009D683D" w:rsidRPr="009D683D" w14:paraId="07C5FD62" w14:textId="77777777" w:rsidTr="009D6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0F03375" w14:textId="77777777" w:rsidR="009D683D" w:rsidRPr="009D683D" w:rsidRDefault="009D683D" w:rsidP="00782640">
            <w:pPr>
              <w:numPr>
                <w:ilvl w:val="0"/>
                <w:numId w:val="70"/>
              </w:numPr>
              <w:spacing w:line="276" w:lineRule="auto"/>
              <w:contextualSpacing/>
              <w:rPr>
                <w:rFonts w:ascii="Calibri" w:eastAsia="Calibri" w:hAnsi="Calibri" w:cs="Times New Roman"/>
                <w:sz w:val="22"/>
              </w:rPr>
            </w:pPr>
            <w:r w:rsidRPr="009D683D">
              <w:rPr>
                <w:rFonts w:ascii="Calibri" w:eastAsia="Calibri" w:hAnsi="Calibri" w:cs="Times New Roman"/>
                <w:sz w:val="22"/>
              </w:rPr>
              <w:lastRenderedPageBreak/>
              <w:t>The extent of inequity in the transplant system is currently difficult to assess, due to a lack of collection and understanding of metrics that identify influencers to pre- and post-transplant outcomes for Indigenous patients.</w:t>
            </w:r>
          </w:p>
          <w:p w14:paraId="59F2F063" w14:textId="77777777" w:rsidR="009D683D" w:rsidRPr="009D683D" w:rsidRDefault="009D683D" w:rsidP="00782640">
            <w:pPr>
              <w:numPr>
                <w:ilvl w:val="0"/>
                <w:numId w:val="75"/>
              </w:numPr>
              <w:spacing w:line="276" w:lineRule="auto"/>
              <w:contextualSpacing/>
              <w:rPr>
                <w:rFonts w:ascii="Calibri" w:eastAsia="Calibri" w:hAnsi="Calibri" w:cs="Times New Roman"/>
                <w:sz w:val="22"/>
              </w:rPr>
            </w:pPr>
            <w:r w:rsidRPr="009D683D">
              <w:rPr>
                <w:rFonts w:ascii="Calibri" w:eastAsia="Calibri" w:hAnsi="Calibri" w:cs="Times New Roman"/>
                <w:sz w:val="22"/>
              </w:rPr>
              <w:t>This makes it difficult to pinpoint exactly where the system is failing Indigenous patients, and what antecedents lead to poor pre- and post-transplant outcomes.</w:t>
            </w:r>
          </w:p>
        </w:tc>
        <w:tc>
          <w:tcPr>
            <w:tcW w:w="4485" w:type="dxa"/>
          </w:tcPr>
          <w:p w14:paraId="57FCDA7C" w14:textId="77777777" w:rsidR="009D683D" w:rsidRPr="009D683D" w:rsidRDefault="009D683D" w:rsidP="00782640">
            <w:pPr>
              <w:numPr>
                <w:ilvl w:val="0"/>
                <w:numId w:val="7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 xml:space="preserve">Expand national data collection and reporting processes to enable granular and transparent reporting of key pre- and post-transplant outcomes for Indigenous people. </w:t>
            </w:r>
          </w:p>
          <w:p w14:paraId="1A569CB1" w14:textId="77777777" w:rsidR="009D683D" w:rsidRPr="009D683D" w:rsidRDefault="009D683D" w:rsidP="00782640">
            <w:pPr>
              <w:numPr>
                <w:ilvl w:val="0"/>
                <w:numId w:val="7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Expanded data collection and reporting needs to be accompanied by an Indigenous data governance framework to support the communication and use of findings within the Indigenous community.</w:t>
            </w:r>
          </w:p>
        </w:tc>
      </w:tr>
      <w:tr w:rsidR="009D683D" w:rsidRPr="009D683D" w14:paraId="2DDE3682" w14:textId="77777777" w:rsidTr="009D683D">
        <w:tc>
          <w:tcPr>
            <w:cnfStyle w:val="001000000000" w:firstRow="0" w:lastRow="0" w:firstColumn="1" w:lastColumn="0" w:oddVBand="0" w:evenVBand="0" w:oddHBand="0" w:evenHBand="0" w:firstRowFirstColumn="0" w:firstRowLastColumn="0" w:lastRowFirstColumn="0" w:lastRowLastColumn="0"/>
            <w:tcW w:w="4531" w:type="dxa"/>
          </w:tcPr>
          <w:p w14:paraId="51964C3A" w14:textId="77777777" w:rsidR="009D683D" w:rsidRPr="009D683D" w:rsidRDefault="009D683D" w:rsidP="00782640">
            <w:pPr>
              <w:numPr>
                <w:ilvl w:val="0"/>
                <w:numId w:val="70"/>
              </w:numPr>
              <w:spacing w:line="276" w:lineRule="auto"/>
              <w:contextualSpacing/>
              <w:rPr>
                <w:rFonts w:ascii="Calibri" w:eastAsia="Calibri" w:hAnsi="Calibri" w:cs="Times New Roman"/>
                <w:sz w:val="22"/>
              </w:rPr>
            </w:pPr>
            <w:r w:rsidRPr="009D683D">
              <w:rPr>
                <w:rFonts w:ascii="Calibri" w:eastAsia="Calibri" w:hAnsi="Calibri" w:cs="Times New Roman"/>
                <w:sz w:val="22"/>
              </w:rPr>
              <w:t>There are few resources available to engage interpreters and patient navigators in the health care system; in most cases, Indigenous patients who do not speak English as a first language are required to make do with ‘broken English’.</w:t>
            </w:r>
          </w:p>
          <w:p w14:paraId="0DF72CAF" w14:textId="77777777" w:rsidR="009D683D" w:rsidRPr="009D683D" w:rsidRDefault="009D683D" w:rsidP="00782640">
            <w:pPr>
              <w:numPr>
                <w:ilvl w:val="0"/>
                <w:numId w:val="75"/>
              </w:numPr>
              <w:spacing w:line="276" w:lineRule="auto"/>
              <w:contextualSpacing/>
              <w:rPr>
                <w:rFonts w:ascii="Calibri" w:eastAsia="Calibri" w:hAnsi="Calibri" w:cs="Times New Roman"/>
                <w:sz w:val="22"/>
              </w:rPr>
            </w:pPr>
            <w:r w:rsidRPr="009D683D">
              <w:rPr>
                <w:rFonts w:ascii="Calibri" w:eastAsia="Calibri" w:hAnsi="Calibri" w:cs="Times New Roman"/>
                <w:sz w:val="22"/>
              </w:rPr>
              <w:t>This results in frequent misinterpretations, confusion and frustration, ultimately leading to poorer health service engagement and treatment outcomes.</w:t>
            </w:r>
          </w:p>
          <w:p w14:paraId="5E79E05B" w14:textId="77777777" w:rsidR="009D683D" w:rsidRPr="009D683D" w:rsidRDefault="009D683D" w:rsidP="00782640">
            <w:pPr>
              <w:numPr>
                <w:ilvl w:val="0"/>
                <w:numId w:val="75"/>
              </w:numPr>
              <w:spacing w:line="276" w:lineRule="auto"/>
              <w:contextualSpacing/>
              <w:rPr>
                <w:rFonts w:ascii="Calibri" w:eastAsia="Calibri" w:hAnsi="Calibri" w:cs="Times New Roman"/>
                <w:sz w:val="22"/>
              </w:rPr>
            </w:pPr>
            <w:r w:rsidRPr="009D683D">
              <w:rPr>
                <w:rFonts w:ascii="Calibri" w:eastAsia="Calibri" w:hAnsi="Calibri" w:cs="Times New Roman"/>
                <w:sz w:val="22"/>
              </w:rPr>
              <w:t>The situation is further complicated by transplants often being performed hundreds or thousands of kilometres away from home, limiting the availability of interpreters.</w:t>
            </w:r>
          </w:p>
        </w:tc>
        <w:tc>
          <w:tcPr>
            <w:tcW w:w="4485" w:type="dxa"/>
          </w:tcPr>
          <w:p w14:paraId="04A0F866" w14:textId="77777777" w:rsidR="009D683D" w:rsidRPr="009D683D" w:rsidRDefault="009D683D" w:rsidP="00782640">
            <w:pPr>
              <w:numPr>
                <w:ilvl w:val="0"/>
                <w:numId w:val="70"/>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 xml:space="preserve">Equity cannot be achieved without establishing a language competent health workforce who can support timely and quality knowledge exchange with Indigenous patients. </w:t>
            </w:r>
          </w:p>
          <w:p w14:paraId="2E6625C4" w14:textId="77777777" w:rsidR="009D683D" w:rsidRPr="009D683D" w:rsidRDefault="009D683D" w:rsidP="00782640">
            <w:pPr>
              <w:numPr>
                <w:ilvl w:val="0"/>
                <w:numId w:val="70"/>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 xml:space="preserve">This requires increased funding for interpreter and patient navigator roles in </w:t>
            </w:r>
            <w:proofErr w:type="spellStart"/>
            <w:r w:rsidRPr="009D683D">
              <w:rPr>
                <w:rFonts w:ascii="Calibri" w:eastAsia="Calibri" w:hAnsi="Calibri" w:cs="Times New Roman"/>
                <w:sz w:val="22"/>
              </w:rPr>
              <w:t>renal</w:t>
            </w:r>
            <w:proofErr w:type="spellEnd"/>
            <w:r w:rsidRPr="009D683D">
              <w:rPr>
                <w:rFonts w:ascii="Calibri" w:eastAsia="Calibri" w:hAnsi="Calibri" w:cs="Times New Roman"/>
                <w:sz w:val="22"/>
              </w:rPr>
              <w:t xml:space="preserve"> units, transplant centres and health services more broadly. </w:t>
            </w:r>
          </w:p>
          <w:p w14:paraId="1FC39956" w14:textId="77777777" w:rsidR="009D683D" w:rsidRPr="009D683D" w:rsidRDefault="009D683D" w:rsidP="00782640">
            <w:pPr>
              <w:numPr>
                <w:ilvl w:val="0"/>
                <w:numId w:val="70"/>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9D683D">
              <w:rPr>
                <w:rFonts w:ascii="Calibri" w:eastAsia="Calibri" w:hAnsi="Calibri" w:cs="Times New Roman"/>
                <w:sz w:val="22"/>
              </w:rPr>
              <w:t>With improved communication comes improved knowledge, and health care providers must harness the knowledge provided by patients (via interpreters and patient navigators) to incorporate patient preferences into clinical decisions and health action plans.</w:t>
            </w:r>
          </w:p>
        </w:tc>
      </w:tr>
    </w:tbl>
    <w:p w14:paraId="40DDF0E5" w14:textId="77777777" w:rsidR="009D683D" w:rsidRPr="009D683D" w:rsidRDefault="009D683D" w:rsidP="009D683D">
      <w:pPr>
        <w:rPr>
          <w:rFonts w:ascii="Calibri" w:eastAsia="Calibri" w:hAnsi="Calibri" w:cs="Times New Roman"/>
          <w:sz w:val="22"/>
        </w:rPr>
      </w:pPr>
    </w:p>
    <w:p w14:paraId="1D6F489A" w14:textId="77777777" w:rsidR="009D683D" w:rsidRPr="009D683D" w:rsidRDefault="009D683D" w:rsidP="009D683D">
      <w:pPr>
        <w:rPr>
          <w:rFonts w:ascii="Calibri" w:eastAsia="Calibri" w:hAnsi="Calibri" w:cs="Times New Roman"/>
          <w:sz w:val="22"/>
        </w:rPr>
      </w:pPr>
    </w:p>
    <w:p w14:paraId="5140F364" w14:textId="77777777" w:rsidR="009D683D" w:rsidRPr="009D683D" w:rsidRDefault="009D683D" w:rsidP="009D683D">
      <w:pPr>
        <w:rPr>
          <w:rFonts w:ascii="Calibri Light" w:eastAsia="Times New Roman" w:hAnsi="Calibri Light" w:cs="Times New Roman"/>
          <w:spacing w:val="-10"/>
          <w:kern w:val="28"/>
          <w:sz w:val="56"/>
          <w:szCs w:val="56"/>
        </w:rPr>
      </w:pPr>
      <w:r w:rsidRPr="009D683D">
        <w:rPr>
          <w:rFonts w:ascii="Calibri" w:eastAsia="Calibri" w:hAnsi="Calibri" w:cs="Times New Roman"/>
          <w:sz w:val="22"/>
        </w:rPr>
        <w:br w:type="page"/>
      </w:r>
    </w:p>
    <w:p w14:paraId="43C62D0D" w14:textId="77777777" w:rsidR="009D683D" w:rsidRPr="009D683D" w:rsidRDefault="009D683D" w:rsidP="009D683D">
      <w:pPr>
        <w:keepNext/>
        <w:keepLines/>
        <w:spacing w:before="240"/>
        <w:outlineLvl w:val="0"/>
        <w:rPr>
          <w:rFonts w:ascii="Calibri Light" w:eastAsia="Times New Roman" w:hAnsi="Calibri Light" w:cs="Times New Roman"/>
          <w:b/>
          <w:sz w:val="32"/>
          <w:szCs w:val="32"/>
        </w:rPr>
      </w:pPr>
      <w:bookmarkStart w:id="97" w:name="_Toc2585846"/>
      <w:r w:rsidRPr="009D683D">
        <w:rPr>
          <w:rFonts w:ascii="Calibri Light" w:eastAsia="Times New Roman" w:hAnsi="Calibri Light" w:cs="Times New Roman"/>
          <w:b/>
          <w:sz w:val="32"/>
          <w:szCs w:val="32"/>
        </w:rPr>
        <w:lastRenderedPageBreak/>
        <w:t xml:space="preserve">Appendix B     </w:t>
      </w:r>
      <w:proofErr w:type="spellStart"/>
      <w:r w:rsidRPr="009D683D">
        <w:rPr>
          <w:rFonts w:ascii="Calibri Light" w:eastAsia="Times New Roman" w:hAnsi="Calibri Light" w:cs="Times New Roman"/>
          <w:b/>
          <w:sz w:val="32"/>
          <w:szCs w:val="32"/>
        </w:rPr>
        <w:t>Belatacept</w:t>
      </w:r>
      <w:proofErr w:type="spellEnd"/>
      <w:r w:rsidRPr="009D683D">
        <w:rPr>
          <w:rFonts w:ascii="Calibri Light" w:eastAsia="Times New Roman" w:hAnsi="Calibri Light" w:cs="Times New Roman"/>
          <w:b/>
          <w:sz w:val="32"/>
          <w:szCs w:val="32"/>
        </w:rPr>
        <w:t xml:space="preserve"> Trials</w:t>
      </w:r>
      <w:bookmarkEnd w:id="97"/>
    </w:p>
    <w:p w14:paraId="24BB30E1"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Trialling the efficacy of </w:t>
      </w:r>
      <w:proofErr w:type="spellStart"/>
      <w:r w:rsidRPr="009D683D">
        <w:rPr>
          <w:rFonts w:ascii="Calibri" w:eastAsia="Calibri" w:hAnsi="Calibri" w:cs="Times New Roman"/>
          <w:sz w:val="22"/>
        </w:rPr>
        <w:t>belatacept</w:t>
      </w:r>
      <w:proofErr w:type="spellEnd"/>
      <w:r w:rsidRPr="009D683D">
        <w:rPr>
          <w:rFonts w:ascii="Calibri" w:eastAsia="Calibri" w:hAnsi="Calibri" w:cs="Times New Roman"/>
          <w:sz w:val="22"/>
        </w:rPr>
        <w:t xml:space="preserve"> as a novel addition to Australian immunosuppression protocols is supported by the findings of two phase 3 studies: </w:t>
      </w:r>
      <w:proofErr w:type="spellStart"/>
      <w:r w:rsidRPr="009D683D">
        <w:rPr>
          <w:rFonts w:ascii="Calibri" w:eastAsia="Calibri" w:hAnsi="Calibri" w:cs="Times New Roman"/>
          <w:sz w:val="22"/>
        </w:rPr>
        <w:t>Belatacept</w:t>
      </w:r>
      <w:proofErr w:type="spellEnd"/>
      <w:r w:rsidRPr="009D683D">
        <w:rPr>
          <w:rFonts w:ascii="Calibri" w:eastAsia="Calibri" w:hAnsi="Calibri" w:cs="Times New Roman"/>
          <w:sz w:val="22"/>
        </w:rPr>
        <w:t xml:space="preserve"> Evaluation of Nephroprotection and Efficacy as First-line Immunosuppression Trial (BENEFIT) and BENEFIT-Extended Criteria Donors Trial (BENEFIT-EXT) </w:t>
      </w:r>
      <w:r w:rsidRPr="009D683D">
        <w:rPr>
          <w:rFonts w:ascii="Calibri" w:eastAsia="Calibri" w:hAnsi="Calibri" w:cs="Times New Roman"/>
          <w:sz w:val="22"/>
        </w:rPr>
        <w:fldChar w:fldCharType="begin">
          <w:fldData xml:space="preserve">PEVuZE5vdGU+PENpdGU+PEF1dGhvcj5WaW5jZW50aTwvQXV0aG9yPjxZZWFyPjIwMTY8L1llYXI+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PEVuZE5vdGU+PENpdGU+PEF1dGhvcj5WaW5jZW50aTwvQXV0aG9yPjxZZWFyPjIwMTY8L1llYXI+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(Vincenti et al., 2016)</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t>
      </w:r>
    </w:p>
    <w:p w14:paraId="3C4EE375"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sz w:val="22"/>
        </w:rPr>
        <w:t xml:space="preserve">The BENEFIT trial found </w:t>
      </w:r>
      <w:proofErr w:type="spellStart"/>
      <w:r w:rsidRPr="009D683D">
        <w:rPr>
          <w:rFonts w:ascii="Calibri" w:eastAsia="Calibri" w:hAnsi="Calibri" w:cs="Times New Roman"/>
          <w:sz w:val="22"/>
        </w:rPr>
        <w:t>belatacept</w:t>
      </w:r>
      <w:proofErr w:type="spellEnd"/>
      <w:r w:rsidRPr="009D683D">
        <w:rPr>
          <w:rFonts w:ascii="Calibri" w:eastAsia="Calibri" w:hAnsi="Calibri" w:cs="Times New Roman"/>
          <w:sz w:val="22"/>
        </w:rPr>
        <w:t xml:space="preserve"> reduced the risk of death or graft loss by 43% at 7 years post-transplant, compared with patients randomly assigned to a CNI known as cyclosporine </w:t>
      </w:r>
      <w:r w:rsidRPr="009D683D">
        <w:rPr>
          <w:rFonts w:ascii="Calibri" w:eastAsia="Calibri" w:hAnsi="Calibri" w:cs="Times New Roman"/>
          <w:sz w:val="22"/>
        </w:rPr>
        <w:fldChar w:fldCharType="begin">
          <w:fldData xml:space="preserve">PEVuZE5vdGU+PENpdGU+PEF1dGhvcj5WaW5jZW50aTwvQXV0aG9yPjxZZWFyPjIwMTY8L1llYXI+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PEVuZE5vdGU+PENpdGU+PEF1dGhvcj5WaW5jZW50aTwvQXV0aG9yPjxZZWFyPjIwMTY8L1llYXI+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(Vincenti et al., 2016)</w:t>
      </w:r>
      <w:r w:rsidRPr="009D683D">
        <w:rPr>
          <w:rFonts w:ascii="Calibri" w:eastAsia="Calibri" w:hAnsi="Calibri" w:cs="Times New Roman"/>
          <w:sz w:val="22"/>
        </w:rPr>
        <w:fldChar w:fldCharType="end"/>
      </w:r>
      <w:r w:rsidRPr="009D683D">
        <w:rPr>
          <w:rFonts w:ascii="Calibri" w:eastAsia="Calibri" w:hAnsi="Calibri" w:cs="Times New Roman"/>
          <w:sz w:val="22"/>
        </w:rPr>
        <w:t>. Similarly, a post hoc analysis of BENEFIT-EXT data showed a 41% reduction in the risk of death, graft loss or a mean eGFR that was less than 30ml per minute per 1.73m</w:t>
      </w:r>
      <w:r w:rsidRPr="009D683D">
        <w:rPr>
          <w:rFonts w:ascii="Calibri" w:eastAsia="Calibri" w:hAnsi="Calibri" w:cs="Times New Roman"/>
          <w:sz w:val="22"/>
          <w:vertAlign w:val="superscript"/>
        </w:rPr>
        <w:t>2</w:t>
      </w:r>
      <w:r w:rsidRPr="009D683D">
        <w:rPr>
          <w:rFonts w:ascii="Calibri" w:eastAsia="Calibri" w:hAnsi="Calibri" w:cs="Times New Roman"/>
          <w:sz w:val="22"/>
        </w:rPr>
        <w:t xml:space="preserve"> 7 years after transplantation among patients randomly assigned to </w:t>
      </w:r>
      <w:proofErr w:type="spellStart"/>
      <w:r w:rsidRPr="009D683D">
        <w:rPr>
          <w:rFonts w:ascii="Calibri" w:eastAsia="Calibri" w:hAnsi="Calibri" w:cs="Times New Roman"/>
          <w:sz w:val="22"/>
        </w:rPr>
        <w:t>belatacept</w:t>
      </w:r>
      <w:proofErr w:type="spellEnd"/>
      <w:r w:rsidRPr="009D683D">
        <w:rPr>
          <w:rFonts w:ascii="Calibri" w:eastAsia="Calibri" w:hAnsi="Calibri" w:cs="Times New Roman"/>
          <w:sz w:val="22"/>
        </w:rPr>
        <w:t xml:space="preserve"> compared to those assigned to cyclosporine </w:t>
      </w:r>
      <w:r w:rsidRPr="009D683D">
        <w:rPr>
          <w:rFonts w:ascii="Calibri" w:eastAsia="Calibri" w:hAnsi="Calibri" w:cs="Times New Roman"/>
          <w:sz w:val="22"/>
        </w:rPr>
        <w:fldChar w:fldCharType="begin">
          <w:fldData xml:space="preserve">PEVuZE5vdGU+PENpdGU+PEF1dGhvcj5WaW5jZW50aTwvQXV0aG9yPjxZZWFyPjIwMTY8L1llYXI+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</w:fldData>
        </w:fldChar>
      </w:r>
      <w:r w:rsidRPr="009D683D">
        <w:rPr>
          <w:rFonts w:ascii="Calibri" w:eastAsia="Calibri" w:hAnsi="Calibri" w:cs="Times New Roman"/>
          <w:sz w:val="22"/>
        </w:rPr>
        <w:instrText xml:space="preserve"> ADDIN EN.CITE </w:instrText>
      </w:r>
      <w:r w:rsidRPr="009D683D">
        <w:rPr>
          <w:rFonts w:ascii="Calibri" w:eastAsia="Calibri" w:hAnsi="Calibri" w:cs="Times New Roman"/>
          <w:sz w:val="22"/>
        </w:rPr>
        <w:fldChar w:fldCharType="begin">
          <w:fldData xml:space="preserve">PEVuZE5vdGU+PENpdGU+PEF1dGhvcj5WaW5jZW50aTwvQXV0aG9yPjxZZWFyPjIwMTY8L1llYXI+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</w:fldData>
        </w:fldChar>
      </w:r>
      <w:r w:rsidRPr="009D683D">
        <w:rPr>
          <w:rFonts w:ascii="Calibri" w:eastAsia="Calibri" w:hAnsi="Calibri" w:cs="Times New Roman"/>
          <w:sz w:val="22"/>
        </w:rPr>
        <w:instrText xml:space="preserve"> ADDIN EN.CITE.DATA </w:instrText>
      </w:r>
      <w:r w:rsidRPr="009D683D">
        <w:rPr>
          <w:rFonts w:ascii="Calibri" w:eastAsia="Calibri" w:hAnsi="Calibri" w:cs="Times New Roman"/>
          <w:sz w:val="22"/>
        </w:rPr>
      </w:r>
      <w:r w:rsidRPr="009D683D">
        <w:rPr>
          <w:rFonts w:ascii="Calibri" w:eastAsia="Calibri" w:hAnsi="Calibri" w:cs="Times New Roman"/>
          <w:sz w:val="22"/>
        </w:rPr>
        <w:fldChar w:fldCharType="end"/>
      </w:r>
      <w:r w:rsidRPr="009D683D">
        <w:rPr>
          <w:rFonts w:ascii="Calibri" w:eastAsia="Calibri" w:hAnsi="Calibri" w:cs="Times New Roman"/>
          <w:sz w:val="22"/>
        </w:rPr>
      </w:r>
      <w:r w:rsidRPr="009D683D">
        <w:rPr>
          <w:rFonts w:ascii="Calibri" w:eastAsia="Calibri" w:hAnsi="Calibri" w:cs="Times New Roman"/>
          <w:sz w:val="22"/>
        </w:rPr>
        <w:fldChar w:fldCharType="separate"/>
      </w:r>
      <w:r w:rsidRPr="009D683D">
        <w:rPr>
          <w:rFonts w:ascii="Calibri" w:eastAsia="Calibri" w:hAnsi="Calibri" w:cs="Times New Roman"/>
          <w:noProof/>
          <w:sz w:val="22"/>
        </w:rPr>
        <w:t>(Vincenti et al., 2016)</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However, the trials also revealed some cautionary signals; </w:t>
      </w:r>
      <w:proofErr w:type="spellStart"/>
      <w:r w:rsidRPr="009D683D">
        <w:rPr>
          <w:rFonts w:ascii="Calibri" w:eastAsia="Calibri" w:hAnsi="Calibri" w:cs="Times New Roman"/>
          <w:sz w:val="22"/>
        </w:rPr>
        <w:t>belatacept</w:t>
      </w:r>
      <w:proofErr w:type="spellEnd"/>
      <w:r w:rsidRPr="009D683D">
        <w:rPr>
          <w:rFonts w:ascii="Calibri" w:eastAsia="Calibri" w:hAnsi="Calibri" w:cs="Times New Roman"/>
          <w:sz w:val="22"/>
        </w:rPr>
        <w:t xml:space="preserve">-treated patients experienced higher acute rejection rates and were at greater risk of developing post-transplant lymphoproliferative disorder (PTLD)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&lt;EndNote&gt;&lt;Cite&gt;&lt;Author&gt;Siddiqui&lt;/Author&gt;&lt;Year&gt;2017&lt;/Year&gt;&lt;RecNum&gt;257&lt;/RecNum&gt;&lt;DisplayText&gt;(Siddiqui, Tedesco-Silva, &amp;amp; Riella, 2017)&lt;/DisplayText&gt;&lt;record&gt;&lt;rec-number&gt;257&lt;/rec-number&gt;&lt;foreign-keys&gt;&lt;key app="EN" db-id="ews5ve9enfwav7etdtjvztfdrftvwrf9vrsx" timestamp="1544411383"&gt;257&lt;/key&gt;&lt;/foreign-keys&gt;&lt;ref-type name="Journal Article"&gt;17&lt;/ref-type&gt;&lt;contributors&gt;&lt;authors&gt;&lt;author&gt;Siddiqui, Z.&lt;/author&gt;&lt;author&gt;Tedesco-Silva, H.&lt;/author&gt;&lt;author&gt;Riella, L. V.&lt;/author&gt;&lt;/authors&gt;&lt;/contributors&gt;&lt;auth-address&gt;Renal Division, Hospital do Rim-UNIFESP, Sao Paulo, Brazil.&amp;#xD;Schuster Transplant Research Center, Renal Division, Brigham &amp;amp; Women&amp;apos;s Hospital, Harvard Medical School, Boston, MA.&lt;/auth-address&gt;&lt;titles&gt;&lt;title&gt;Belatacept in kidney transplantation - past and future perspectives&lt;/title&gt;&lt;secondary-title&gt;J Bras Nefrol&lt;/secondary-title&gt;&lt;alt-title&gt;Jornal Brasileiro de Nefrologia&lt;/alt-title&gt;&lt;/titles&gt;&lt;periodical&gt;&lt;full-title&gt;J Bras Nefrol&lt;/full-title&gt;&lt;abbr-1&gt;Jornal Brasileiro de Nefrologia&lt;/abbr-1&gt;&lt;/periodical&gt;&lt;alt-periodical&gt;&lt;full-title&gt;J Bras Nefrol&lt;/full-title&gt;&lt;abbr-1&gt;Jornal Brasileiro de Nefrologia&lt;/abbr-1&gt;&lt;/alt-periodical&gt;&lt;pages&gt;205-212&lt;/pages&gt;&lt;volume&gt;39&lt;/volume&gt;&lt;number&gt;2&lt;/number&gt;&lt;edition&gt;2017/10/27&lt;/edition&gt;&lt;keywords&gt;&lt;keyword&gt;Abatacept/*therapeutic use&lt;/keyword&gt;&lt;keyword&gt;Forecasting&lt;/keyword&gt;&lt;keyword&gt;Humans&lt;/keyword&gt;&lt;keyword&gt;Immunosuppressive Agents/*therapeutic use&lt;/keyword&gt;&lt;keyword&gt;*Kidney Transplantation&lt;/keyword&gt;&lt;/keywords&gt;&lt;dates&gt;&lt;year&gt;2017&lt;/year&gt;&lt;pub-dates&gt;&lt;date&gt;Apr-Jun&lt;/date&gt;&lt;/pub-dates&gt;&lt;/dates&gt;&lt;isbn&gt;2175-8239 (Electronic)&amp;#xD;0101-2800 (Linking)&lt;/isbn&gt;&lt;accession-num&gt;29069245&lt;/accession-num&gt;&lt;urls&gt;&lt;related-urls&gt;&lt;url&gt;https://www.ncbi.nlm.nih.gov/pubmed/29069245&lt;/url&gt;&lt;/related-urls&gt;&lt;/urls&gt;&lt;electronic-resource-num&gt;10.5935/0101-2800.20170035&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(Siddiqui, Tedesco-Silva, &amp; Riella, 2017)</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t>
      </w:r>
    </w:p>
    <w:p w14:paraId="3978D06D" w14:textId="77777777" w:rsidR="009D683D" w:rsidRPr="009D683D" w:rsidRDefault="009D683D" w:rsidP="009D683D">
      <w:pPr>
        <w:spacing w:line="276" w:lineRule="auto"/>
        <w:jc w:val="both"/>
        <w:rPr>
          <w:rFonts w:ascii="Calibri" w:eastAsia="Calibri" w:hAnsi="Calibri" w:cs="Times New Roman"/>
          <w:sz w:val="22"/>
        </w:rPr>
      </w:pPr>
      <w:r w:rsidRPr="009D683D">
        <w:rPr>
          <w:rFonts w:ascii="Calibri" w:eastAsia="Calibri" w:hAnsi="Calibri" w:cs="Times New Roman"/>
          <w:b/>
          <w:noProof/>
          <w:sz w:val="52"/>
          <w:lang w:eastAsia="en-AU"/>
        </w:rPr>
        <mc:AlternateContent>
          <mc:Choice Requires="wps">
            <w:drawing>
              <wp:inline distT="0" distB="0" distL="0" distR="0" wp14:anchorId="174F598B" wp14:editId="027C7C6B">
                <wp:extent cx="5715000" cy="3171825"/>
                <wp:effectExtent l="0" t="0" r="19050" b="28575"/>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171825"/>
                        </a:xfrm>
                        <a:prstGeom prst="rect">
                          <a:avLst/>
                        </a:prstGeom>
                        <a:solidFill>
                          <a:srgbClr val="70AD47">
                            <a:lumMod val="20000"/>
                            <a:lumOff val="80000"/>
                          </a:srgbClr>
                        </a:solidFill>
                        <a:ln w="9525">
                          <a:solidFill>
                            <a:srgbClr val="000000"/>
                          </a:solidFill>
                          <a:miter lim="800000"/>
                          <a:headEnd/>
                          <a:tailEnd/>
                        </a:ln>
                        <a:effectLst/>
                      </wps:spPr>
                      <wps:txbx>
                        <w:txbxContent>
                          <w:p w14:paraId="5988E6C4" w14:textId="77777777" w:rsidR="00A41391" w:rsidRPr="004C426E" w:rsidRDefault="00A41391" w:rsidP="009D683D">
                            <w:pPr>
                              <w:rPr>
                                <w:b/>
                                <w:sz w:val="24"/>
                              </w:rPr>
                            </w:pPr>
                            <w:r w:rsidRPr="004C426E">
                              <w:rPr>
                                <w:b/>
                                <w:sz w:val="24"/>
                              </w:rPr>
                              <w:t>Box 1</w:t>
                            </w:r>
                            <w:r>
                              <w:rPr>
                                <w:b/>
                                <w:sz w:val="24"/>
                              </w:rPr>
                              <w:t>8</w:t>
                            </w:r>
                            <w:r w:rsidRPr="004C426E">
                              <w:rPr>
                                <w:b/>
                                <w:sz w:val="24"/>
                              </w:rPr>
                              <w:t>: Criticisms of the BENEFIT and BENEFIT-EXT Trials</w:t>
                            </w:r>
                          </w:p>
                          <w:p w14:paraId="7409C53E" w14:textId="77777777" w:rsidR="00A41391" w:rsidRDefault="00A41391" w:rsidP="00782640">
                            <w:pPr>
                              <w:pStyle w:val="ListParagraph"/>
                              <w:numPr>
                                <w:ilvl w:val="0"/>
                                <w:numId w:val="66"/>
                              </w:numPr>
                              <w:spacing w:line="276" w:lineRule="auto"/>
                              <w:jc w:val="both"/>
                            </w:pPr>
                            <w:r w:rsidRPr="00A1772B">
                              <w:t xml:space="preserve">The lack of a contemporary control group has been scrutinised, as control patients received cyclosporine, an outdated CNI, rather than tacrolimus that is typically the first choice in current practice </w:t>
                            </w:r>
                            <w:r w:rsidRPr="00A1772B">
                              <w:fldChar w:fldCharType="begin"/>
                            </w:r>
                            <w:r w:rsidRPr="00A1772B">
                              <w:instrText xml:space="preserve"> ADDIN EN.CITE &lt;EndNote&gt;&lt;Cite&gt;&lt;Author&gt;Ekberg&lt;/Author&gt;&lt;Year&gt;2007&lt;/Year&gt;&lt;RecNum&gt;262&lt;/RecNum&gt;&lt;DisplayText&gt;(Ekberg et al., 2007)&lt;/DisplayText&gt;&lt;record&gt;&lt;rec-number&gt;262&lt;/rec-number&gt;&lt;foreign-keys&gt;&lt;key app="EN" db-id="ews5ve9enfwav7etdtjvztfdrftvwrf9vrsx" timestamp="1544412431"&gt;262&lt;/key&gt;&lt;/foreign-keys&gt;&lt;ref-type name="Journal Article"&gt;17&lt;/ref-type&gt;&lt;contributors&gt;&lt;authors&gt;&lt;author&gt;Ekberg, Henrik&lt;/author&gt;&lt;author&gt;Tedesco-Silva, Helio&lt;/author&gt;&lt;author&gt;Demirbas, Alper&lt;/author&gt;&lt;author&gt;Vítko, Štefan&lt;/author&gt;&lt;author&gt;Nashan, Björn&lt;/author&gt;&lt;author&gt;Gürkan, Alp&lt;/author&gt;&lt;author&gt;Margreiter, Raimund&lt;/author&gt;&lt;author&gt;Hugo, Christian&lt;/author&gt;&lt;author&gt;Grinyó, Josep M.&lt;/author&gt;&lt;author&gt;Frei, Ulrich&lt;/author&gt;&lt;author&gt;Vanrenterghem, Yves&lt;/author&gt;&lt;author&gt;Daloze, Pierre&lt;/author&gt;&lt;author&gt;Halloran, Philip F.&lt;/author&gt;&lt;/authors&gt;&lt;/contributors&gt;&lt;titles&gt;&lt;title&gt;Reduced Exposure to Calcineurin Inhibitors in Renal Transplantation&lt;/title&gt;&lt;secondary-title&gt;New England Journal of Medicine&lt;/secondary-title&gt;&lt;/titles&gt;&lt;periodical&gt;&lt;full-title&gt;New England Journal of Medicine&lt;/full-title&gt;&lt;/periodical&gt;&lt;pages&gt;2562-2575&lt;/pages&gt;&lt;volume&gt;357&lt;/volume&gt;&lt;number&gt;25&lt;/number&gt;&lt;dates&gt;&lt;year&gt;2007&lt;/year&gt;&lt;/dates&gt;&lt;accession-num&gt;18094377&lt;/accession-num&gt;&lt;urls&gt;&lt;related-urls&gt;&lt;url&gt;https://www.nejm.org/doi/full/10.1056/NEJMoa067411&lt;/url&gt;&lt;/related-urls&gt;&lt;/urls&gt;&lt;electronic-resource-num&gt;10.1056/NEJMoa067411&lt;/electronic-resource-num&gt;&lt;/record&gt;&lt;/Cite&gt;&lt;/EndNote&gt;</w:instrText>
                            </w:r>
                            <w:r w:rsidRPr="00A1772B">
                              <w:fldChar w:fldCharType="separate"/>
                            </w:r>
                            <w:r w:rsidRPr="00A1772B">
                              <w:rPr>
                                <w:noProof/>
                              </w:rPr>
                              <w:t>(Ekberg et al., 2007)</w:t>
                            </w:r>
                            <w:r w:rsidRPr="00A1772B">
                              <w:fldChar w:fldCharType="end"/>
                            </w:r>
                            <w:r w:rsidRPr="00A1772B">
                              <w:t xml:space="preserve">. </w:t>
                            </w:r>
                          </w:p>
                          <w:p w14:paraId="35E0C5C6" w14:textId="77777777" w:rsidR="00A41391" w:rsidRDefault="00A41391" w:rsidP="00782640">
                            <w:pPr>
                              <w:pStyle w:val="ListParagraph"/>
                              <w:numPr>
                                <w:ilvl w:val="0"/>
                                <w:numId w:val="67"/>
                              </w:numPr>
                              <w:spacing w:line="276" w:lineRule="auto"/>
                              <w:jc w:val="both"/>
                            </w:pPr>
                            <w:r w:rsidRPr="00A1772B">
                              <w:t xml:space="preserve">Although the authors suggested that graft survival should not differ among CNIs </w:t>
                            </w:r>
                            <w:r w:rsidRPr="00A1772B">
                              <w:fldChar w:fldCharType="begin">
                                <w:fldData xml:space="preserve">PEVuZE5vdGU+PENpdGU+PEF1dGhvcj5WaW5jZW50aTwvQXV0aG9yPjxZZWFyPjIwMTY8L1llYXI+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</w:fldData>
                              </w:fldChar>
                            </w:r>
                            <w:r>
                              <w:instrText xml:space="preserve"> ADDIN EN.CITE </w:instrText>
                            </w:r>
                            <w:r>
                              <w:fldChar w:fldCharType="begin">
                                <w:fldData xml:space="preserve">PEVuZE5vdGU+PENpdGU+PEF1dGhvcj5WaW5jZW50aTwvQXV0aG9yPjxZZWFyPjIwMTY8L1llYXI+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</w:fldData>
                              </w:fldChar>
                            </w:r>
                            <w:r>
                              <w:instrText xml:space="preserve"> ADDIN EN.CITE.DATA </w:instrText>
                            </w:r>
                            <w:r>
                              <w:fldChar w:fldCharType="end"/>
                            </w:r>
                            <w:r w:rsidRPr="00A1772B">
                              <w:fldChar w:fldCharType="separate"/>
                            </w:r>
                            <w:r>
                              <w:rPr>
                                <w:noProof/>
                              </w:rPr>
                              <w:t>(Vincenti et al., 2016)</w:t>
                            </w:r>
                            <w:r w:rsidRPr="00A1772B">
                              <w:fldChar w:fldCharType="end"/>
                            </w:r>
                            <w:r w:rsidRPr="00A1772B">
                              <w:t xml:space="preserve">, a randomised trial comparing the standard dose of cyclosporine with low dose tacrolimus showed that graft survival in the group using tacrolimus was higher than the survival rate of the cyclosporine group (94% vs. 89%, </w:t>
                            </w:r>
                            <w:r w:rsidRPr="00E4257C">
                              <w:rPr>
                                <w:i/>
                              </w:rPr>
                              <w:t>p</w:t>
                            </w:r>
                            <w:r w:rsidRPr="00A1772B">
                              <w:t xml:space="preserve"> = 0.01) </w:t>
                            </w:r>
                            <w:r w:rsidRPr="00A1772B">
                              <w:fldChar w:fldCharType="begin"/>
                            </w:r>
                            <w:r w:rsidRPr="00A1772B">
                              <w:instrText xml:space="preserve"> ADDIN EN.CITE &lt;EndNote&gt;&lt;Cite&gt;&lt;Author&gt;Ekberg&lt;/Author&gt;&lt;Year&gt;2007&lt;/Year&gt;&lt;RecNum&gt;262&lt;/RecNum&gt;&lt;DisplayText&gt;(Ekberg et al., 2007)&lt;/DisplayText&gt;&lt;record&gt;&lt;rec-number&gt;262&lt;/rec-number&gt;&lt;foreign-keys&gt;&lt;key app="EN" db-id="ews5ve9enfwav7etdtjvztfdrftvwrf9vrsx" timestamp="1544412431"&gt;262&lt;/key&gt;&lt;/foreign-keys&gt;&lt;ref-type name="Journal Article"&gt;17&lt;/ref-type&gt;&lt;contributors&gt;&lt;authors&gt;&lt;author&gt;Ekberg, Henrik&lt;/author&gt;&lt;author&gt;Tedesco-Silva, Helio&lt;/author&gt;&lt;author&gt;Demirbas, Alper&lt;/author&gt;&lt;author&gt;Vítko, Štefan&lt;/author&gt;&lt;author&gt;Nashan, Björn&lt;/author&gt;&lt;author&gt;Gürkan, Alp&lt;/author&gt;&lt;author&gt;Margreiter, Raimund&lt;/author&gt;&lt;author&gt;Hugo, Christian&lt;/author&gt;&lt;author&gt;Grinyó, Josep M.&lt;/author&gt;&lt;author&gt;Frei, Ulrich&lt;/author&gt;&lt;author&gt;Vanrenterghem, Yves&lt;/author&gt;&lt;author&gt;Daloze, Pierre&lt;/author&gt;&lt;author&gt;Halloran, Philip F.&lt;/author&gt;&lt;/authors&gt;&lt;/contributors&gt;&lt;titles&gt;&lt;title&gt;Reduced Exposure to Calcineurin Inhibitors in Renal Transplantation&lt;/title&gt;&lt;secondary-title&gt;New England Journal of Medicine&lt;/secondary-title&gt;&lt;/titles&gt;&lt;periodical&gt;&lt;full-title&gt;New England Journal of Medicine&lt;/full-title&gt;&lt;/periodical&gt;&lt;pages&gt;2562-2575&lt;/pages&gt;&lt;volume&gt;357&lt;/volume&gt;&lt;number&gt;25&lt;/number&gt;&lt;dates&gt;&lt;year&gt;2007&lt;/year&gt;&lt;/dates&gt;&lt;accession-num&gt;18094377&lt;/accession-num&gt;&lt;urls&gt;&lt;related-urls&gt;&lt;url&gt;https://www.nejm.org/doi/full/10.1056/NEJMoa067411&lt;/url&gt;&lt;/related-urls&gt;&lt;/urls&gt;&lt;electronic-resource-num&gt;10.1056/NEJMoa067411&lt;/electronic-resource-num&gt;&lt;/record&gt;&lt;/Cite&gt;&lt;/EndNote&gt;</w:instrText>
                            </w:r>
                            <w:r w:rsidRPr="00A1772B">
                              <w:fldChar w:fldCharType="separate"/>
                            </w:r>
                            <w:r w:rsidRPr="00A1772B">
                              <w:rPr>
                                <w:noProof/>
                              </w:rPr>
                              <w:t>(Ekberg et al., 2007)</w:t>
                            </w:r>
                            <w:r w:rsidRPr="00A1772B">
                              <w:fldChar w:fldCharType="end"/>
                            </w:r>
                            <w:r w:rsidRPr="00A1772B">
                              <w:t>.</w:t>
                            </w:r>
                          </w:p>
                          <w:p w14:paraId="0B10064A" w14:textId="77777777" w:rsidR="00A41391" w:rsidRDefault="00A41391" w:rsidP="00782640">
                            <w:pPr>
                              <w:pStyle w:val="ListParagraph"/>
                              <w:numPr>
                                <w:ilvl w:val="0"/>
                                <w:numId w:val="67"/>
                              </w:numPr>
                              <w:spacing w:line="276" w:lineRule="auto"/>
                              <w:jc w:val="both"/>
                            </w:pPr>
                            <w:r w:rsidRPr="00A1772B">
                              <w:t xml:space="preserve"> Furthermore, eGFR was higher in the tacrolimus group than the cyclosporine group, indicating belatacept may not have as great of an advantage over tacrolimus</w:t>
                            </w:r>
                            <w:r>
                              <w:t>.</w:t>
                            </w:r>
                          </w:p>
                          <w:p w14:paraId="00CDF1B2" w14:textId="77777777" w:rsidR="00A41391" w:rsidRDefault="00A41391" w:rsidP="00782640">
                            <w:pPr>
                              <w:pStyle w:val="ListParagraph"/>
                              <w:numPr>
                                <w:ilvl w:val="0"/>
                                <w:numId w:val="66"/>
                              </w:numPr>
                              <w:spacing w:line="276" w:lineRule="auto"/>
                              <w:jc w:val="both"/>
                            </w:pPr>
                            <w:r w:rsidRPr="00A1772B">
                              <w:t xml:space="preserve">Measurement of long-term patient adherence posed an additional limitation, as this was not assessed beyond month 36 of the 84-month study period </w:t>
                            </w:r>
                            <w:r w:rsidRPr="00A1772B">
                              <w:fldChar w:fldCharType="begin">
                                <w:fldData xml:space="preserve">PEVuZE5vdGU+PENpdGU+PEF1dGhvcj5WaW5jZW50aTwvQXV0aG9yPjxZZWFyPjIwMTY8L1llYXI+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</w:fldData>
                              </w:fldChar>
                            </w:r>
                            <w:r>
                              <w:instrText xml:space="preserve"> ADDIN EN.CITE </w:instrText>
                            </w:r>
                            <w:r>
                              <w:fldChar w:fldCharType="begin">
                                <w:fldData xml:space="preserve">PEVuZE5vdGU+PENpdGU+PEF1dGhvcj5WaW5jZW50aTwvQXV0aG9yPjxZZWFyPjIwMTY8L1llYXI+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</w:fldData>
                              </w:fldChar>
                            </w:r>
                            <w:r>
                              <w:instrText xml:space="preserve"> ADDIN EN.CITE.DATA </w:instrText>
                            </w:r>
                            <w:r>
                              <w:fldChar w:fldCharType="end"/>
                            </w:r>
                            <w:r w:rsidRPr="00A1772B">
                              <w:fldChar w:fldCharType="separate"/>
                            </w:r>
                            <w:r>
                              <w:rPr>
                                <w:noProof/>
                              </w:rPr>
                              <w:t>(Vincenti et al., 2016)</w:t>
                            </w:r>
                            <w:r w:rsidRPr="00A1772B">
                              <w:fldChar w:fldCharType="end"/>
                            </w:r>
                            <w:r w:rsidRPr="00A1772B">
                              <w:t xml:space="preserve">. </w:t>
                            </w:r>
                          </w:p>
                          <w:p w14:paraId="77BDDE9A" w14:textId="77777777" w:rsidR="00A41391" w:rsidRPr="00A1772B" w:rsidRDefault="00A41391" w:rsidP="00782640">
                            <w:pPr>
                              <w:pStyle w:val="ListParagraph"/>
                              <w:numPr>
                                <w:ilvl w:val="0"/>
                                <w:numId w:val="67"/>
                              </w:numPr>
                              <w:spacing w:line="276" w:lineRule="auto"/>
                              <w:jc w:val="both"/>
                            </w:pPr>
                            <w:r w:rsidRPr="00A1772B">
                              <w:t>While it was theorised</w:t>
                            </w:r>
                            <w:r>
                              <w:t xml:space="preserve"> </w:t>
                            </w:r>
                            <w:r w:rsidRPr="00A1772B">
                              <w:t>that adherence would differ between the two groups, this is yet to be validated by data.</w:t>
                            </w:r>
                          </w:p>
                          <w:p w14:paraId="4A11A8D7" w14:textId="77777777" w:rsidR="00A41391" w:rsidRPr="00E4257C" w:rsidRDefault="00A41391" w:rsidP="009D683D"/>
                        </w:txbxContent>
                      </wps:txbx>
                      <wps:bodyPr rot="0" vert="horz" wrap="square" lIns="91440" tIns="45720" rIns="91440" bIns="45720" anchor="t" anchorCtr="0">
                        <a:noAutofit/>
                      </wps:bodyPr>
                    </wps:wsp>
                  </a:graphicData>
                </a:graphic>
              </wp:inline>
            </w:drawing>
          </mc:Choice>
          <mc:Fallback>
            <w:pict>
              <v:shape w14:anchorId="174F598B" id="_x0000_s1206" type="#_x0000_t202" style="width:450pt;height:2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" fillcolor="#e2f0d9">
                <v:textbox>
                  <w:txbxContent>
                    <w:p w14:paraId="5988E6C4" w14:textId="77777777" w:rsidR="00A41391" w:rsidRPr="004C426E" w:rsidRDefault="00A41391" w:rsidP="009D683D">
                      <w:pPr>
                        <w:rPr>
                          <w:b/>
                          <w:sz w:val="24"/>
                        </w:rPr>
                      </w:pPr>
                      <w:r w:rsidRPr="004C426E">
                        <w:rPr>
                          <w:b/>
                          <w:sz w:val="24"/>
                        </w:rPr>
                        <w:t>Box 1</w:t>
                      </w:r>
                      <w:r>
                        <w:rPr>
                          <w:b/>
                          <w:sz w:val="24"/>
                        </w:rPr>
                        <w:t>8</w:t>
                      </w:r>
                      <w:r w:rsidRPr="004C426E">
                        <w:rPr>
                          <w:b/>
                          <w:sz w:val="24"/>
                        </w:rPr>
                        <w:t>: Criticisms of the BENEFIT and BENEFIT-EXT Trials</w:t>
                      </w:r>
                    </w:p>
                    <w:p w14:paraId="7409C53E" w14:textId="77777777" w:rsidR="00A41391" w:rsidRDefault="00A41391" w:rsidP="00782640">
                      <w:pPr>
                        <w:pStyle w:val="ListParagraph"/>
                        <w:numPr>
                          <w:ilvl w:val="0"/>
                          <w:numId w:val="66"/>
                        </w:numPr>
                        <w:spacing w:line="276" w:lineRule="auto"/>
                        <w:jc w:val="both"/>
                      </w:pPr>
                      <w:r w:rsidRPr="00A1772B">
                        <w:t xml:space="preserve">The lack of a contemporary control group has been scrutinised, as control patients received cyclosporine, an outdated CNI, rather than tacrolimus that is typically the first choice in current practice </w:t>
                      </w:r>
                      <w:r w:rsidRPr="00A1772B">
                        <w:fldChar w:fldCharType="begin"/>
                      </w:r>
                      <w:r w:rsidRPr="00A1772B">
                        <w:instrText xml:space="preserve"> ADDIN EN.CITE &lt;EndNote&gt;&lt;Cite&gt;&lt;Author&gt;Ekberg&lt;/Author&gt;&lt;Year&gt;2007&lt;/Year&gt;&lt;RecNum&gt;262&lt;/RecNum&gt;&lt;DisplayText&gt;(Ekberg et al., 2007)&lt;/DisplayText&gt;&lt;record&gt;&lt;rec-number&gt;262&lt;/rec-number&gt;&lt;foreign-keys&gt;&lt;key app="EN" db-id="ews5ve9enfwav7etdtjvztfdrftvwrf9vrsx" timestamp="1544412431"&gt;262&lt;/key&gt;&lt;/foreign-keys&gt;&lt;ref-type name="Journal Article"&gt;17&lt;/ref-type&gt;&lt;contributors&gt;&lt;authors&gt;&lt;author&gt;Ekberg, Henrik&lt;/author&gt;&lt;author&gt;Tedesco-Silva, Helio&lt;/author&gt;&lt;author&gt;Demirbas, Alper&lt;/author&gt;&lt;author&gt;Vítko, Štefan&lt;/author&gt;&lt;author&gt;Nashan, Björn&lt;/author&gt;&lt;author&gt;Gürkan, Alp&lt;/author&gt;&lt;author&gt;Margreiter, Raimund&lt;/author&gt;&lt;author&gt;Hugo, Christian&lt;/author&gt;&lt;author&gt;Grinyó, Josep M.&lt;/author&gt;&lt;author&gt;Frei, Ulrich&lt;/author&gt;&lt;author&gt;Vanrenterghem, Yves&lt;/author&gt;&lt;author&gt;Daloze, Pierre&lt;/author&gt;&lt;author&gt;Halloran, Philip F.&lt;/author&gt;&lt;/authors&gt;&lt;/contributors&gt;&lt;titles&gt;&lt;title&gt;Reduced Exposure to Calcineurin Inhibitors in Renal Transplantation&lt;/title&gt;&lt;secondary-title&gt;New England Journal of Medicine&lt;/secondary-title&gt;&lt;/titles&gt;&lt;periodical&gt;&lt;full-title&gt;New England Journal of Medicine&lt;/full-title&gt;&lt;/periodical&gt;&lt;pages&gt;2562-2575&lt;/pages&gt;&lt;volume&gt;357&lt;/volume&gt;&lt;number&gt;25&lt;/number&gt;&lt;dates&gt;&lt;year&gt;2007&lt;/year&gt;&lt;/dates&gt;&lt;accession-num&gt;18094377&lt;/accession-num&gt;&lt;urls&gt;&lt;related-urls&gt;&lt;url&gt;https://www.nejm.org/doi/full/10.1056/NEJMoa067411&lt;/url&gt;&lt;/related-urls&gt;&lt;/urls&gt;&lt;electronic-resource-num&gt;10.1056/NEJMoa067411&lt;/electronic-resource-num&gt;&lt;/record&gt;&lt;/Cite&gt;&lt;/EndNote&gt;</w:instrText>
                      </w:r>
                      <w:r w:rsidRPr="00A1772B">
                        <w:fldChar w:fldCharType="separate"/>
                      </w:r>
                      <w:r w:rsidRPr="00A1772B">
                        <w:rPr>
                          <w:noProof/>
                        </w:rPr>
                        <w:t>(Ekberg et al., 2007)</w:t>
                      </w:r>
                      <w:r w:rsidRPr="00A1772B">
                        <w:fldChar w:fldCharType="end"/>
                      </w:r>
                      <w:r w:rsidRPr="00A1772B">
                        <w:t xml:space="preserve">. </w:t>
                      </w:r>
                    </w:p>
                    <w:p w14:paraId="35E0C5C6" w14:textId="77777777" w:rsidR="00A41391" w:rsidRDefault="00A41391" w:rsidP="00782640">
                      <w:pPr>
                        <w:pStyle w:val="ListParagraph"/>
                        <w:numPr>
                          <w:ilvl w:val="0"/>
                          <w:numId w:val="67"/>
                        </w:numPr>
                        <w:spacing w:line="276" w:lineRule="auto"/>
                        <w:jc w:val="both"/>
                      </w:pPr>
                      <w:r w:rsidRPr="00A1772B">
                        <w:t xml:space="preserve">Although the authors suggested that graft survival should not differ among CNIs </w:t>
                      </w:r>
                      <w:r w:rsidRPr="00A1772B">
                        <w:fldChar w:fldCharType="begin">
                          <w:fldData xml:space="preserve">PEVuZE5vdGU+PENpdGU+PEF1dGhvcj5WaW5jZW50aTwvQXV0aG9yPjxZZWFyPjIwMTY8L1llYXI+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</w:fldData>
                        </w:fldChar>
                      </w:r>
                      <w:r>
                        <w:instrText xml:space="preserve"> ADDIN EN.CITE </w:instrText>
                      </w:r>
                      <w:r>
                        <w:fldChar w:fldCharType="begin">
                          <w:fldData xml:space="preserve">PEVuZE5vdGU+PENpdGU+PEF1dGhvcj5WaW5jZW50aTwvQXV0aG9yPjxZZWFyPjIwMTY8L1llYXI+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</w:fldData>
                        </w:fldChar>
                      </w:r>
                      <w:r>
                        <w:instrText xml:space="preserve"> ADDIN EN.CITE.DATA </w:instrText>
                      </w:r>
                      <w:r>
                        <w:fldChar w:fldCharType="end"/>
                      </w:r>
                      <w:r w:rsidRPr="00A1772B">
                        <w:fldChar w:fldCharType="separate"/>
                      </w:r>
                      <w:r>
                        <w:rPr>
                          <w:noProof/>
                        </w:rPr>
                        <w:t>(Vincenti et al., 2016)</w:t>
                      </w:r>
                      <w:r w:rsidRPr="00A1772B">
                        <w:fldChar w:fldCharType="end"/>
                      </w:r>
                      <w:r w:rsidRPr="00A1772B">
                        <w:t xml:space="preserve">, a randomised trial comparing the standard dose of cyclosporine with low dose tacrolimus showed that graft survival in the group using tacrolimus was higher than the survival rate of the cyclosporine group (94% vs. 89%, </w:t>
                      </w:r>
                      <w:r w:rsidRPr="00E4257C">
                        <w:rPr>
                          <w:i/>
                        </w:rPr>
                        <w:t>p</w:t>
                      </w:r>
                      <w:r w:rsidRPr="00A1772B">
                        <w:t xml:space="preserve"> = 0.01) </w:t>
                      </w:r>
                      <w:r w:rsidRPr="00A1772B">
                        <w:fldChar w:fldCharType="begin"/>
                      </w:r>
                      <w:r w:rsidRPr="00A1772B">
                        <w:instrText xml:space="preserve"> ADDIN EN.CITE &lt;EndNote&gt;&lt;Cite&gt;&lt;Author&gt;Ekberg&lt;/Author&gt;&lt;Year&gt;2007&lt;/Year&gt;&lt;RecNum&gt;262&lt;/RecNum&gt;&lt;DisplayText&gt;(Ekberg et al., 2007)&lt;/DisplayText&gt;&lt;record&gt;&lt;rec-number&gt;262&lt;/rec-number&gt;&lt;foreign-keys&gt;&lt;key app="EN" db-id="ews5ve9enfwav7etdtjvztfdrftvwrf9vrsx" timestamp="1544412431"&gt;262&lt;/key&gt;&lt;/foreign-keys&gt;&lt;ref-type name="Journal Article"&gt;17&lt;/ref-type&gt;&lt;contributors&gt;&lt;authors&gt;&lt;author&gt;Ekberg, Henrik&lt;/author&gt;&lt;author&gt;Tedesco-Silva, Helio&lt;/author&gt;&lt;author&gt;Demirbas, Alper&lt;/author&gt;&lt;author&gt;Vítko, Štefan&lt;/author&gt;&lt;author&gt;Nashan, Björn&lt;/author&gt;&lt;author&gt;Gürkan, Alp&lt;/author&gt;&lt;author&gt;Margreiter, Raimund&lt;/author&gt;&lt;author&gt;Hugo, Christian&lt;/author&gt;&lt;author&gt;Grinyó, Josep M.&lt;/author&gt;&lt;author&gt;Frei, Ulrich&lt;/author&gt;&lt;author&gt;Vanrenterghem, Yves&lt;/author&gt;&lt;author&gt;Daloze, Pierre&lt;/author&gt;&lt;author&gt;Halloran, Philip F.&lt;/author&gt;&lt;/authors&gt;&lt;/contributors&gt;&lt;titles&gt;&lt;title&gt;Reduced Exposure to Calcineurin Inhibitors in Renal Transplantation&lt;/title&gt;&lt;secondary-title&gt;New England Journal of Medicine&lt;/secondary-title&gt;&lt;/titles&gt;&lt;periodical&gt;&lt;full-title&gt;New England Journal of Medicine&lt;/full-title&gt;&lt;/periodical&gt;&lt;pages&gt;2562-2575&lt;/pages&gt;&lt;volume&gt;357&lt;/volume&gt;&lt;number&gt;25&lt;/number&gt;&lt;dates&gt;&lt;year&gt;2007&lt;/year&gt;&lt;/dates&gt;&lt;accession-num&gt;18094377&lt;/accession-num&gt;&lt;urls&gt;&lt;related-urls&gt;&lt;url&gt;https://www.nejm.org/doi/full/10.1056/NEJMoa067411&lt;/url&gt;&lt;/related-urls&gt;&lt;/urls&gt;&lt;electronic-resource-num&gt;10.1056/NEJMoa067411&lt;/electronic-resource-num&gt;&lt;/record&gt;&lt;/Cite&gt;&lt;/EndNote&gt;</w:instrText>
                      </w:r>
                      <w:r w:rsidRPr="00A1772B">
                        <w:fldChar w:fldCharType="separate"/>
                      </w:r>
                      <w:r w:rsidRPr="00A1772B">
                        <w:rPr>
                          <w:noProof/>
                        </w:rPr>
                        <w:t>(Ekberg et al., 2007)</w:t>
                      </w:r>
                      <w:r w:rsidRPr="00A1772B">
                        <w:fldChar w:fldCharType="end"/>
                      </w:r>
                      <w:r w:rsidRPr="00A1772B">
                        <w:t>.</w:t>
                      </w:r>
                    </w:p>
                    <w:p w14:paraId="0B10064A" w14:textId="77777777" w:rsidR="00A41391" w:rsidRDefault="00A41391" w:rsidP="00782640">
                      <w:pPr>
                        <w:pStyle w:val="ListParagraph"/>
                        <w:numPr>
                          <w:ilvl w:val="0"/>
                          <w:numId w:val="67"/>
                        </w:numPr>
                        <w:spacing w:line="276" w:lineRule="auto"/>
                        <w:jc w:val="both"/>
                      </w:pPr>
                      <w:r w:rsidRPr="00A1772B">
                        <w:t xml:space="preserve"> Furthermore, eGFR was higher in the tacrolimus group than the cyclosporine group, indicating </w:t>
                      </w:r>
                      <w:r w:rsidRPr="00A1772B">
                        <w:t>belatacept may not have as great of an advantage over tacrolimus</w:t>
                      </w:r>
                      <w:r>
                        <w:t>.</w:t>
                      </w:r>
                    </w:p>
                    <w:p w14:paraId="00CDF1B2" w14:textId="77777777" w:rsidR="00A41391" w:rsidRDefault="00A41391" w:rsidP="00782640">
                      <w:pPr>
                        <w:pStyle w:val="ListParagraph"/>
                        <w:numPr>
                          <w:ilvl w:val="0"/>
                          <w:numId w:val="66"/>
                        </w:numPr>
                        <w:spacing w:line="276" w:lineRule="auto"/>
                        <w:jc w:val="both"/>
                      </w:pPr>
                      <w:r w:rsidRPr="00A1772B">
                        <w:t xml:space="preserve">Measurement of long-term patient adherence posed an additional limitation, as this was not assessed beyond month 36 of the 84-month study period </w:t>
                      </w:r>
                      <w:r w:rsidRPr="00A1772B">
                        <w:fldChar w:fldCharType="begin">
                          <w:fldData xml:space="preserve">PEVuZE5vdGU+PENpdGU+PEF1dGhvcj5WaW5jZW50aTwvQXV0aG9yPjxZZWFyPjIwMTY8L1llYXI+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</w:fldData>
                        </w:fldChar>
                      </w:r>
                      <w:r>
                        <w:instrText xml:space="preserve"> ADDIN EN.CITE </w:instrText>
                      </w:r>
                      <w:r>
                        <w:fldChar w:fldCharType="begin">
                          <w:fldData xml:space="preserve">PEVuZE5vdGU+PENpdGU+PEF1dGhvcj5WaW5jZW50aTwvQXV0aG9yPjxZZWFyPjIwMTY8L1llYXI+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</w:fldData>
                        </w:fldChar>
                      </w:r>
                      <w:r>
                        <w:instrText xml:space="preserve"> ADDIN EN.CITE.DATA </w:instrText>
                      </w:r>
                      <w:r>
                        <w:fldChar w:fldCharType="end"/>
                      </w:r>
                      <w:r w:rsidRPr="00A1772B">
                        <w:fldChar w:fldCharType="separate"/>
                      </w:r>
                      <w:r>
                        <w:rPr>
                          <w:noProof/>
                        </w:rPr>
                        <w:t>(Vincenti et al., 2016)</w:t>
                      </w:r>
                      <w:r w:rsidRPr="00A1772B">
                        <w:fldChar w:fldCharType="end"/>
                      </w:r>
                      <w:r w:rsidRPr="00A1772B">
                        <w:t xml:space="preserve">. </w:t>
                      </w:r>
                    </w:p>
                    <w:p w14:paraId="77BDDE9A" w14:textId="77777777" w:rsidR="00A41391" w:rsidRPr="00A1772B" w:rsidRDefault="00A41391" w:rsidP="00782640">
                      <w:pPr>
                        <w:pStyle w:val="ListParagraph"/>
                        <w:numPr>
                          <w:ilvl w:val="0"/>
                          <w:numId w:val="67"/>
                        </w:numPr>
                        <w:spacing w:line="276" w:lineRule="auto"/>
                        <w:jc w:val="both"/>
                      </w:pPr>
                      <w:r w:rsidRPr="00A1772B">
                        <w:t xml:space="preserve">While it was </w:t>
                      </w:r>
                      <w:r w:rsidRPr="00A1772B">
                        <w:t>theorised</w:t>
                      </w:r>
                      <w:r>
                        <w:t xml:space="preserve"> </w:t>
                      </w:r>
                      <w:r w:rsidRPr="00A1772B">
                        <w:t>that adherence would differ between the two groups, this is yet to be validated by data.</w:t>
                      </w:r>
                    </w:p>
                    <w:p w14:paraId="4A11A8D7" w14:textId="77777777" w:rsidR="00A41391" w:rsidRPr="00E4257C" w:rsidRDefault="00A41391" w:rsidP="009D683D"/>
                  </w:txbxContent>
                </v:textbox>
                <w10:anchorlock/>
              </v:shape>
            </w:pict>
          </mc:Fallback>
        </mc:AlternateContent>
      </w:r>
      <w:r w:rsidRPr="009D683D">
        <w:rPr>
          <w:rFonts w:ascii="Calibri" w:eastAsia="Calibri" w:hAnsi="Calibri" w:cs="Times New Roman"/>
          <w:sz w:val="22"/>
        </w:rPr>
        <w:t xml:space="preserve">To combat the high rate of rejection, </w:t>
      </w:r>
      <w:proofErr w:type="spellStart"/>
      <w:r w:rsidRPr="009D683D">
        <w:rPr>
          <w:rFonts w:ascii="Calibri" w:eastAsia="Calibri" w:hAnsi="Calibri" w:cs="Times New Roman"/>
          <w:sz w:val="22"/>
        </w:rPr>
        <w:t>belatacept</w:t>
      </w:r>
      <w:proofErr w:type="spellEnd"/>
      <w:r w:rsidRPr="009D683D">
        <w:rPr>
          <w:rFonts w:ascii="Calibri" w:eastAsia="Calibri" w:hAnsi="Calibri" w:cs="Times New Roman"/>
          <w:sz w:val="22"/>
        </w:rPr>
        <w:t xml:space="preserve"> trial protocols have been adjusted by adding tacrolimus in the first 11 months post-transplant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&lt;EndNote&gt;&lt;Cite&gt;&lt;Author&gt;Siddiqui&lt;/Author&gt;&lt;Year&gt;2017&lt;/Year&gt;&lt;RecNum&gt;257&lt;/RecNum&gt;&lt;DisplayText&gt;(Siddiqui et al., 2017)&lt;/DisplayText&gt;&lt;record&gt;&lt;rec-number&gt;257&lt;/rec-number&gt;&lt;foreign-keys&gt;&lt;key app="EN" db-id="ews5ve9enfwav7etdtjvztfdrftvwrf9vrsx" timestamp="1544411383"&gt;257&lt;/key&gt;&lt;/foreign-keys&gt;&lt;ref-type name="Journal Article"&gt;17&lt;/ref-type&gt;&lt;contributors&gt;&lt;authors&gt;&lt;author&gt;Siddiqui, Z.&lt;/author&gt;&lt;author&gt;Tedesco-Silva, H.&lt;/author&gt;&lt;author&gt;Riella, L. V.&lt;/author&gt;&lt;/authors&gt;&lt;/contributors&gt;&lt;auth-address&gt;Renal Division, Hospital do Rim-UNIFESP, Sao Paulo, Brazil.&amp;#xD;Schuster Transplant Research Center, Renal Division, Brigham &amp;amp; Women&amp;apos;s Hospital, Harvard Medical School, Boston, MA.&lt;/auth-address&gt;&lt;titles&gt;&lt;title&gt;Belatacept in kidney transplantation - past and future perspectives&lt;/title&gt;&lt;secondary-title&gt;J Bras Nefrol&lt;/secondary-title&gt;&lt;alt-title&gt;Jornal Brasileiro de Nefrologia&lt;/alt-title&gt;&lt;/titles&gt;&lt;periodical&gt;&lt;full-title&gt;J Bras Nefrol&lt;/full-title&gt;&lt;abbr-1&gt;Jornal Brasileiro de Nefrologia&lt;/abbr-1&gt;&lt;/periodical&gt;&lt;alt-periodical&gt;&lt;full-title&gt;J Bras Nefrol&lt;/full-title&gt;&lt;abbr-1&gt;Jornal Brasileiro de Nefrologia&lt;/abbr-1&gt;&lt;/alt-periodical&gt;&lt;pages&gt;205-212&lt;/pages&gt;&lt;volume&gt;39&lt;/volume&gt;&lt;number&gt;2&lt;/number&gt;&lt;edition&gt;2017/10/27&lt;/edition&gt;&lt;keywords&gt;&lt;keyword&gt;Abatacept/*therapeutic use&lt;/keyword&gt;&lt;keyword&gt;Forecasting&lt;/keyword&gt;&lt;keyword&gt;Humans&lt;/keyword&gt;&lt;keyword&gt;Immunosuppressive Agents/*therapeutic use&lt;/keyword&gt;&lt;keyword&gt;*Kidney Transplantation&lt;/keyword&gt;&lt;/keywords&gt;&lt;dates&gt;&lt;year&gt;2017&lt;/year&gt;&lt;pub-dates&gt;&lt;date&gt;Apr-Jun&lt;/date&gt;&lt;/pub-dates&gt;&lt;/dates&gt;&lt;isbn&gt;2175-8239 (Electronic)&amp;#xD;0101-2800 (Linking)&lt;/isbn&gt;&lt;accession-num&gt;29069245&lt;/accession-num&gt;&lt;urls&gt;&lt;related-urls&gt;&lt;url&gt;https://www.ncbi.nlm.nih.gov/pubmed/29069245&lt;/url&gt;&lt;/related-urls&gt;&lt;/urls&gt;&lt;electronic-resource-num&gt;10.5935/0101-2800.20170035&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(Siddiqui et al., 2017)</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A retrospective study using registry data from the Scientific Registry of Transplant Recipients found that of the 875 kidney transplant recipients receiving </w:t>
      </w:r>
      <w:proofErr w:type="spellStart"/>
      <w:r w:rsidRPr="009D683D">
        <w:rPr>
          <w:rFonts w:ascii="Calibri" w:eastAsia="Calibri" w:hAnsi="Calibri" w:cs="Times New Roman"/>
          <w:sz w:val="22"/>
        </w:rPr>
        <w:t>belatacept</w:t>
      </w:r>
      <w:proofErr w:type="spellEnd"/>
      <w:r w:rsidRPr="009D683D">
        <w:rPr>
          <w:rFonts w:ascii="Calibri" w:eastAsia="Calibri" w:hAnsi="Calibri" w:cs="Times New Roman"/>
          <w:sz w:val="22"/>
        </w:rPr>
        <w:t xml:space="preserve"> in the United States in 2011, around half (n = 417) were on concomitant tacrolimus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&lt;EndNote&gt;&lt;Cite&gt;&lt;Author&gt;Adams&lt;/Author&gt;&lt;Year&gt;2016&lt;/Year&gt;&lt;RecNum&gt;311&lt;/RecNum&gt;&lt;DisplayText&gt;(Adams et al., 2016)&lt;/DisplayText&gt;&lt;record&gt;&lt;rec-number&gt;311&lt;/rec-number&gt;&lt;foreign-keys&gt;&lt;key app="EN" db-id="ews5ve9enfwav7etdtjvztfdrftvwrf9vrsx" timestamp="1545276342"&gt;311&lt;/key&gt;&lt;/foreign-keys&gt;&lt;ref-type name="Conference Paper"&gt;47&lt;/ref-type&gt;&lt;contributors&gt;&lt;authors&gt;&lt;author&gt;Adams, A. B.&lt;/author&gt;&lt;author&gt;Garrett, C.&lt;/author&gt;&lt;author&gt;Goldstein, J.&lt;/author&gt;&lt;author&gt;Zhang, R.&lt;/author&gt;&lt;author&gt;Guasch, A.&lt;/author&gt;&lt;author&gt;Pastan, S.&lt;/author&gt;&lt;author&gt;Patzer, R. &lt;/author&gt;&lt;author&gt;Kirk, A.&lt;/author&gt;&lt;author&gt;Pearson, T.&lt;/author&gt;&lt;author&gt;Larsen, C. &lt;/author&gt;&lt;/authors&gt;&lt;/contributors&gt;&lt;titles&gt;&lt;title&gt;Post-Trial Experience with Belatacept: A Large Single Center Experience&lt;/title&gt;&lt;secondary-title&gt;2016 American Transplant Congress&lt;/secondary-title&gt;&lt;/titles&gt;&lt;dates&gt;&lt;year&gt;2016&lt;/year&gt;&lt;/dates&gt;&lt;pub-location&gt;Emory Transplant Center, Atlanta&lt;/pub-location&gt;&lt;urls&gt;&lt;/urls&gt;&lt;/record&gt;&lt;/Cite&gt;&lt;/EndNote&gt;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(Adams et al., 2016)</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This strategy was associated with lower rejection rates when compared to </w:t>
      </w:r>
      <w:proofErr w:type="spellStart"/>
      <w:r w:rsidRPr="009D683D">
        <w:rPr>
          <w:rFonts w:ascii="Calibri" w:eastAsia="Calibri" w:hAnsi="Calibri" w:cs="Times New Roman"/>
          <w:sz w:val="22"/>
        </w:rPr>
        <w:t>belatacept</w:t>
      </w:r>
      <w:proofErr w:type="spellEnd"/>
      <w:r w:rsidRPr="009D683D">
        <w:rPr>
          <w:rFonts w:ascii="Calibri" w:eastAsia="Calibri" w:hAnsi="Calibri" w:cs="Times New Roman"/>
          <w:sz w:val="22"/>
        </w:rPr>
        <w:t xml:space="preserve"> alone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&lt;EndNote&gt;&lt;Cite&gt;&lt;Author&gt;Adams&lt;/Author&gt;&lt;Year&gt;2016&lt;/Year&gt;&lt;RecNum&gt;311&lt;/RecNum&gt;&lt;DisplayText&gt;(Adams et al., 2016)&lt;/DisplayText&gt;&lt;record&gt;&lt;rec-number&gt;311&lt;/rec-number&gt;&lt;foreign-keys&gt;&lt;key app="EN" db-id="ews5ve9enfwav7etdtjvztfdrftvwrf9vrsx" timestamp="1545276342"&gt;311&lt;/key&gt;&lt;/foreign-keys&gt;&lt;ref-type name="Conference Paper"&gt;47&lt;/ref-type&gt;&lt;contributors&gt;&lt;authors&gt;&lt;author&gt;Adams, A. B.&lt;/author&gt;&lt;author&gt;Garrett, C.&lt;/author&gt;&lt;author&gt;Goldstein, J.&lt;/author&gt;&lt;author&gt;Zhang, R.&lt;/author&gt;&lt;author&gt;Guasch, A.&lt;/author&gt;&lt;author&gt;Pastan, S.&lt;/author&gt;&lt;author&gt;Patzer, R. &lt;/author&gt;&lt;author&gt;Kirk, A.&lt;/author&gt;&lt;author&gt;Pearson, T.&lt;/author&gt;&lt;author&gt;Larsen, C. &lt;/author&gt;&lt;/authors&gt;&lt;/contributors&gt;&lt;titles&gt;&lt;title&gt;Post-Trial Experience with Belatacept: A Large Single Center Experience&lt;/title&gt;&lt;secondary-title&gt;2016 American Transplant Congress&lt;/secondary-title&gt;&lt;/titles&gt;&lt;dates&gt;&lt;year&gt;2016&lt;/year&gt;&lt;/dates&gt;&lt;pub-location&gt;Emory Transplant Center, Atlanta&lt;/pub-location&gt;&lt;urls&gt;&lt;/urls&gt;&lt;/record&gt;&lt;/Cite&gt;&lt;/EndNote&gt;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(Adams et al., 2016)</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With regard to PTLD, the BENEFIT trial showed that recipients who developed PTLD in the </w:t>
      </w:r>
      <w:proofErr w:type="spellStart"/>
      <w:r w:rsidRPr="009D683D">
        <w:rPr>
          <w:rFonts w:ascii="Calibri" w:eastAsia="Calibri" w:hAnsi="Calibri" w:cs="Times New Roman"/>
          <w:sz w:val="22"/>
        </w:rPr>
        <w:t>belatacept</w:t>
      </w:r>
      <w:proofErr w:type="spellEnd"/>
      <w:r w:rsidRPr="009D683D">
        <w:rPr>
          <w:rFonts w:ascii="Calibri" w:eastAsia="Calibri" w:hAnsi="Calibri" w:cs="Times New Roman"/>
          <w:sz w:val="22"/>
        </w:rPr>
        <w:t xml:space="preserve"> group were primarily Epstein-Barr virus (EBV) seronegative, and it was posited that a lack of immunity to EBV and potent suppression of T cells by </w:t>
      </w:r>
      <w:proofErr w:type="spellStart"/>
      <w:r w:rsidRPr="009D683D">
        <w:rPr>
          <w:rFonts w:ascii="Calibri" w:eastAsia="Calibri" w:hAnsi="Calibri" w:cs="Times New Roman"/>
          <w:sz w:val="22"/>
        </w:rPr>
        <w:t>belatacept</w:t>
      </w:r>
      <w:proofErr w:type="spellEnd"/>
      <w:r w:rsidRPr="009D683D">
        <w:rPr>
          <w:rFonts w:ascii="Calibri" w:eastAsia="Calibri" w:hAnsi="Calibri" w:cs="Times New Roman"/>
          <w:sz w:val="22"/>
        </w:rPr>
        <w:t xml:space="preserve"> enabled early EBV infections to manifest unchecked </w:t>
      </w:r>
      <w:r w:rsidRPr="009D683D">
        <w:rPr>
          <w:rFonts w:ascii="Calibri" w:eastAsia="Calibri" w:hAnsi="Calibri" w:cs="Times New Roman"/>
          <w:sz w:val="22"/>
        </w:rPr>
        <w:fldChar w:fldCharType="begin"/>
      </w:r>
      <w:r w:rsidRPr="009D683D">
        <w:rPr>
          <w:rFonts w:ascii="Calibri" w:eastAsia="Calibri" w:hAnsi="Calibri" w:cs="Times New Roman"/>
          <w:sz w:val="22"/>
        </w:rPr>
        <w:instrText xml:space="preserve"> ADDIN EN.CITE &lt;EndNote&gt;&lt;Cite&gt;&lt;Author&gt;Vincenti&lt;/Author&gt;&lt;Year&gt;2012&lt;/Year&gt;&lt;RecNum&gt;259&lt;/RecNum&gt;&lt;DisplayText&gt;(Vincenti et al., 2012)&lt;/DisplayText&gt;&lt;record&gt;&lt;rec-number&gt;259&lt;/rec-number&gt;&lt;foreign-keys&gt;&lt;key app="EN" db-id="ews5ve9enfwav7etdtjvztfdrftvwrf9vrsx" timestamp="1544411511"&gt;259&lt;/key&gt;&lt;/foreign-keys&gt;&lt;ref-type name="Journal Article"&gt;17&lt;/ref-type&gt;&lt;contributors&gt;&lt;authors&gt;&lt;author&gt;Vincenti, F.&lt;/author&gt;&lt;author&gt;Larsen, C. P.&lt;/author&gt;&lt;author&gt;Alberu, J.&lt;/author&gt;&lt;author&gt;Bresnahan, B.&lt;/author&gt;&lt;author&gt;Garcia, V. D.&lt;/author&gt;&lt;author&gt;Kothari, J.&lt;/author&gt;&lt;author&gt;Lang, P.&lt;/author&gt;&lt;author&gt;Urrea, E. Mancilla&lt;/author&gt;&lt;author&gt;Massari, P.&lt;/author&gt;&lt;author&gt;Mondragon-Ramirez, G.&lt;/author&gt;&lt;author&gt;Reyes-Acevedo, R.&lt;/author&gt;&lt;author&gt;Rice, K.&lt;/author&gt;&lt;author&gt;Rostaing, L.&lt;/author&gt;&lt;author&gt;Steinberg, S.&lt;/author&gt;&lt;author&gt;Xing, J.&lt;/author&gt;&lt;author&gt;Agarwal, M.&lt;/author&gt;&lt;author&gt;Harler, M. B.&lt;/author&gt;&lt;author&gt;Charpentier, B.&lt;/author&gt;&lt;/authors&gt;&lt;/contributors&gt;&lt;titles&gt;&lt;title&gt;Three-Year Outcomes from BENEFIT, a Randomized, Active-Controlled, Parallel-Group Study in Adult Kidney Transplant Recipients&lt;/title&gt;&lt;secondary-title&gt;American Journal of Transplantation&lt;/secondary-title&gt;&lt;/titles&gt;&lt;periodical&gt;&lt;full-title&gt;American Journal of Transplantation&lt;/full-title&gt;&lt;/periodical&gt;&lt;pages&gt;210-217&lt;/pages&gt;&lt;volume&gt;12&lt;/volume&gt;&lt;number&gt;1&lt;/number&gt;&lt;dates&gt;&lt;year&gt;2012&lt;/year&gt;&lt;/dates&gt;&lt;urls&gt;&lt;related-urls&gt;&lt;url&gt;https://onlinelibrary.wiley.com/doi/abs/10.1111/j.1600-6143.2011.03785.x&lt;/url&gt;&lt;/related-urls&gt;&lt;/urls&gt;&lt;electronic-resource-num&gt;10.1111/j.1600-6143.2011.03785.x&lt;/electronic-resource-num&gt;&lt;/record&gt;&lt;/Cite&gt;&lt;/EndNote&gt;</w:instrText>
      </w:r>
      <w:r w:rsidRPr="009D683D">
        <w:rPr>
          <w:rFonts w:ascii="Calibri" w:eastAsia="Calibri" w:hAnsi="Calibri" w:cs="Times New Roman"/>
          <w:sz w:val="22"/>
        </w:rPr>
        <w:fldChar w:fldCharType="separate"/>
      </w:r>
      <w:r w:rsidRPr="009D683D">
        <w:rPr>
          <w:rFonts w:ascii="Calibri" w:eastAsia="Calibri" w:hAnsi="Calibri" w:cs="Times New Roman"/>
          <w:noProof/>
          <w:sz w:val="22"/>
        </w:rPr>
        <w:t>(Vincenti et al., 2012)</w:t>
      </w:r>
      <w:r w:rsidRPr="009D683D">
        <w:rPr>
          <w:rFonts w:ascii="Calibri" w:eastAsia="Calibri" w:hAnsi="Calibri" w:cs="Times New Roman"/>
          <w:sz w:val="22"/>
        </w:rPr>
        <w:fldChar w:fldCharType="end"/>
      </w:r>
      <w:r w:rsidRPr="009D683D">
        <w:rPr>
          <w:rFonts w:ascii="Calibri" w:eastAsia="Calibri" w:hAnsi="Calibri" w:cs="Times New Roman"/>
          <w:sz w:val="22"/>
        </w:rPr>
        <w:t xml:space="preserve">. Subsequently, it has been recommended that </w:t>
      </w:r>
      <w:proofErr w:type="spellStart"/>
      <w:r w:rsidRPr="009D683D">
        <w:rPr>
          <w:rFonts w:ascii="Calibri" w:eastAsia="Calibri" w:hAnsi="Calibri" w:cs="Times New Roman"/>
          <w:sz w:val="22"/>
        </w:rPr>
        <w:t>belatacept</w:t>
      </w:r>
      <w:proofErr w:type="spellEnd"/>
      <w:r w:rsidRPr="009D683D">
        <w:rPr>
          <w:rFonts w:ascii="Calibri" w:eastAsia="Calibri" w:hAnsi="Calibri" w:cs="Times New Roman"/>
          <w:sz w:val="22"/>
        </w:rPr>
        <w:t xml:space="preserve"> not be administered to patients who are EBV-negative. </w:t>
      </w:r>
    </w:p>
    <w:p w14:paraId="6AE0C607" w14:textId="01C5B9E8" w:rsidR="009D683D" w:rsidRDefault="009D683D" w:rsidP="009D683D">
      <w:pPr>
        <w:keepNext/>
        <w:keepLines/>
        <w:spacing w:before="240"/>
        <w:ind w:left="357" w:hanging="357"/>
        <w:outlineLvl w:val="0"/>
        <w:rPr>
          <w:rFonts w:ascii="Calibri Light" w:eastAsia="Times New Roman" w:hAnsi="Calibri Light" w:cs="Times New Roman"/>
          <w:b/>
          <w:sz w:val="32"/>
          <w:szCs w:val="32"/>
        </w:rPr>
      </w:pPr>
      <w:bookmarkStart w:id="98" w:name="_Toc2585847"/>
      <w:bookmarkStart w:id="99" w:name="_Hlk534881865"/>
      <w:r w:rsidRPr="009D683D">
        <w:rPr>
          <w:rFonts w:ascii="Calibri Light" w:eastAsia="Times New Roman" w:hAnsi="Calibri Light" w:cs="Times New Roman"/>
          <w:b/>
          <w:sz w:val="32"/>
          <w:szCs w:val="32"/>
        </w:rPr>
        <w:lastRenderedPageBreak/>
        <w:t>Appendix C     Prophylaxis Protocol</w:t>
      </w:r>
      <w:bookmarkEnd w:id="98"/>
    </w:p>
    <w:p w14:paraId="19799D66" w14:textId="40D7F0C6" w:rsidR="00CF2E5A" w:rsidRPr="00CF2E5A" w:rsidRDefault="00CF2E5A" w:rsidP="00CF2E5A">
      <w:pPr>
        <w:keepNext/>
        <w:keepLines/>
        <w:spacing w:before="240"/>
        <w:contextualSpacing/>
        <w:outlineLvl w:val="0"/>
        <w:rPr>
          <w:rFonts w:ascii="Calibri Light" w:eastAsia="Times New Roman" w:hAnsi="Calibri Light" w:cs="Times New Roman"/>
          <w:b/>
          <w:bCs/>
          <w:sz w:val="32"/>
          <w:szCs w:val="32"/>
        </w:rPr>
      </w:pPr>
      <w:r w:rsidRPr="00CF2E5A">
        <w:rPr>
          <w:rFonts w:ascii="Calibri" w:eastAsia="Calibri" w:hAnsi="Calibri" w:cs="Calibri"/>
          <w:b/>
          <w:bCs/>
          <w:sz w:val="24"/>
        </w:rPr>
        <w:t>Recommendations for a tailored prophylactic protocol for Indigenous kidney transplant recipients, based on current evidence</w:t>
      </w:r>
    </w:p>
    <w:tbl>
      <w:tblPr>
        <w:tblStyle w:val="ListTable311"/>
        <w:tblW w:w="9021" w:type="dxa"/>
        <w:tblLook w:val="04A0" w:firstRow="1" w:lastRow="0" w:firstColumn="1" w:lastColumn="0" w:noHBand="0" w:noVBand="1"/>
      </w:tblPr>
      <w:tblGrid>
        <w:gridCol w:w="1783"/>
        <w:gridCol w:w="7238"/>
      </w:tblGrid>
      <w:tr w:rsidR="009D683D" w:rsidRPr="009D683D" w14:paraId="7703F21E" w14:textId="77777777" w:rsidTr="00CF2E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shd w:val="clear" w:color="auto" w:fill="FFFFFF" w:themeFill="background1"/>
          </w:tcPr>
          <w:bookmarkEnd w:id="99"/>
          <w:p w14:paraId="2DB1CA60" w14:textId="77777777" w:rsidR="009D683D" w:rsidRPr="00CF2E5A" w:rsidRDefault="009D683D" w:rsidP="009D683D">
            <w:pPr>
              <w:spacing w:line="276" w:lineRule="auto"/>
              <w:rPr>
                <w:rFonts w:ascii="Calibri" w:eastAsia="Calibri" w:hAnsi="Calibri" w:cs="Times New Roman"/>
                <w:color w:val="000000" w:themeColor="text1"/>
                <w:sz w:val="22"/>
              </w:rPr>
            </w:pPr>
            <w:r w:rsidRPr="00CF2E5A">
              <w:rPr>
                <w:rFonts w:ascii="Calibri" w:eastAsia="Calibri" w:hAnsi="Calibri" w:cs="Times New Roman"/>
                <w:color w:val="000000" w:themeColor="text1"/>
                <w:sz w:val="24"/>
              </w:rPr>
              <w:t>Pre-transplant screening</w:t>
            </w:r>
          </w:p>
        </w:tc>
        <w:tc>
          <w:tcPr>
            <w:tcW w:w="0" w:type="auto"/>
            <w:shd w:val="clear" w:color="auto" w:fill="FFFFFF" w:themeFill="background1"/>
          </w:tcPr>
          <w:p w14:paraId="18AD8564" w14:textId="77777777" w:rsidR="009D683D" w:rsidRPr="00CF2E5A" w:rsidRDefault="009D683D" w:rsidP="00782640">
            <w:pPr>
              <w:numPr>
                <w:ilvl w:val="0"/>
                <w:numId w:val="54"/>
              </w:numPr>
              <w:spacing w:line="276" w:lineRule="auto"/>
              <w:contextualSpacing/>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000000" w:themeColor="text1"/>
                <w:sz w:val="22"/>
              </w:rPr>
            </w:pPr>
            <w:r w:rsidRPr="00CF2E5A">
              <w:rPr>
                <w:rFonts w:ascii="Calibri" w:eastAsia="Calibri" w:hAnsi="Calibri" w:cs="Calibri"/>
                <w:b w:val="0"/>
                <w:bCs w:val="0"/>
                <w:color w:val="000000" w:themeColor="text1"/>
                <w:sz w:val="22"/>
              </w:rPr>
              <w:t xml:space="preserve">Undertake standard screening for HIV, HBV (HBsAg, </w:t>
            </w:r>
            <w:proofErr w:type="spellStart"/>
            <w:r w:rsidRPr="00CF2E5A">
              <w:rPr>
                <w:rFonts w:ascii="Calibri" w:eastAsia="Calibri" w:hAnsi="Calibri" w:cs="Calibri"/>
                <w:b w:val="0"/>
                <w:bCs w:val="0"/>
                <w:color w:val="000000" w:themeColor="text1"/>
                <w:sz w:val="22"/>
              </w:rPr>
              <w:t>HBcAb</w:t>
            </w:r>
            <w:proofErr w:type="spellEnd"/>
            <w:r w:rsidRPr="00CF2E5A">
              <w:rPr>
                <w:rFonts w:ascii="Calibri" w:eastAsia="Calibri" w:hAnsi="Calibri" w:cs="Calibri"/>
                <w:b w:val="0"/>
                <w:bCs w:val="0"/>
                <w:color w:val="000000" w:themeColor="text1"/>
                <w:sz w:val="22"/>
              </w:rPr>
              <w:t xml:space="preserve">, </w:t>
            </w:r>
            <w:proofErr w:type="spellStart"/>
            <w:r w:rsidRPr="00CF2E5A">
              <w:rPr>
                <w:rFonts w:ascii="Calibri" w:eastAsia="Calibri" w:hAnsi="Calibri" w:cs="Calibri"/>
                <w:b w:val="0"/>
                <w:bCs w:val="0"/>
                <w:color w:val="000000" w:themeColor="text1"/>
                <w:sz w:val="22"/>
              </w:rPr>
              <w:t>HBsAb</w:t>
            </w:r>
            <w:proofErr w:type="spellEnd"/>
            <w:r w:rsidRPr="00CF2E5A">
              <w:rPr>
                <w:rFonts w:ascii="Calibri" w:eastAsia="Calibri" w:hAnsi="Calibri" w:cs="Calibri"/>
                <w:b w:val="0"/>
                <w:bCs w:val="0"/>
                <w:color w:val="000000" w:themeColor="text1"/>
                <w:sz w:val="22"/>
              </w:rPr>
              <w:t xml:space="preserve">), HCV Ab, CMV IgG, EBV IgG, Toxoplasma IgG, </w:t>
            </w:r>
            <w:proofErr w:type="spellStart"/>
            <w:r w:rsidRPr="00CF2E5A">
              <w:rPr>
                <w:rFonts w:ascii="Calibri" w:eastAsia="Calibri" w:hAnsi="Calibri" w:cs="Calibri"/>
                <w:b w:val="0"/>
                <w:bCs w:val="0"/>
                <w:color w:val="000000" w:themeColor="text1"/>
                <w:sz w:val="22"/>
              </w:rPr>
              <w:t>HepA</w:t>
            </w:r>
            <w:proofErr w:type="spellEnd"/>
            <w:r w:rsidRPr="00CF2E5A">
              <w:rPr>
                <w:rFonts w:ascii="Calibri" w:eastAsia="Calibri" w:hAnsi="Calibri" w:cs="Calibri"/>
                <w:b w:val="0"/>
                <w:bCs w:val="0"/>
                <w:color w:val="000000" w:themeColor="text1"/>
                <w:sz w:val="22"/>
              </w:rPr>
              <w:t xml:space="preserve"> IgG, </w:t>
            </w:r>
            <w:proofErr w:type="spellStart"/>
            <w:r w:rsidRPr="00CF2E5A">
              <w:rPr>
                <w:rFonts w:ascii="Calibri" w:eastAsia="Calibri" w:hAnsi="Calibri" w:cs="Calibri"/>
                <w:b w:val="0"/>
                <w:bCs w:val="0"/>
                <w:color w:val="000000" w:themeColor="text1"/>
                <w:sz w:val="22"/>
              </w:rPr>
              <w:t>Quantiferon</w:t>
            </w:r>
            <w:proofErr w:type="spellEnd"/>
            <w:r w:rsidRPr="00CF2E5A">
              <w:rPr>
                <w:rFonts w:ascii="Calibri" w:eastAsia="Calibri" w:hAnsi="Calibri" w:cs="Calibri"/>
                <w:b w:val="0"/>
                <w:bCs w:val="0"/>
                <w:color w:val="000000" w:themeColor="text1"/>
                <w:sz w:val="22"/>
              </w:rPr>
              <w:t xml:space="preserve"> TB GOLD (or equivalent TB </w:t>
            </w:r>
            <w:proofErr w:type="spellStart"/>
            <w:r w:rsidRPr="00CF2E5A">
              <w:rPr>
                <w:rFonts w:ascii="Calibri" w:eastAsia="Calibri" w:hAnsi="Calibri" w:cs="Calibri"/>
                <w:b w:val="0"/>
                <w:bCs w:val="0"/>
                <w:color w:val="000000" w:themeColor="text1"/>
                <w:sz w:val="22"/>
              </w:rPr>
              <w:t>Elispot</w:t>
            </w:r>
            <w:proofErr w:type="spellEnd"/>
            <w:r w:rsidRPr="00CF2E5A">
              <w:rPr>
                <w:rFonts w:ascii="Calibri" w:eastAsia="Calibri" w:hAnsi="Calibri" w:cs="Calibri"/>
                <w:b w:val="0"/>
                <w:bCs w:val="0"/>
                <w:color w:val="000000" w:themeColor="text1"/>
                <w:sz w:val="22"/>
              </w:rPr>
              <w:t>, Mantoux) and HTLV Ab to ensure effective treatment is undertaken, if necessary, prior to transplantation.</w:t>
            </w:r>
          </w:p>
          <w:p w14:paraId="53E30FDD" w14:textId="77777777" w:rsidR="009D683D" w:rsidRPr="00CF2E5A" w:rsidRDefault="009D683D" w:rsidP="00782640">
            <w:pPr>
              <w:numPr>
                <w:ilvl w:val="0"/>
                <w:numId w:val="54"/>
              </w:numPr>
              <w:spacing w:line="276" w:lineRule="auto"/>
              <w:contextualSpacing/>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000000" w:themeColor="text1"/>
                <w:sz w:val="22"/>
              </w:rPr>
            </w:pPr>
            <w:r w:rsidRPr="00CF2E5A">
              <w:rPr>
                <w:rFonts w:ascii="Calibri" w:eastAsia="Calibri" w:hAnsi="Calibri" w:cs="Calibri"/>
                <w:b w:val="0"/>
                <w:bCs w:val="0"/>
                <w:color w:val="000000" w:themeColor="text1"/>
                <w:sz w:val="22"/>
              </w:rPr>
              <w:t xml:space="preserve">Test for Melioidosis and </w:t>
            </w:r>
            <w:proofErr w:type="spellStart"/>
            <w:r w:rsidRPr="00CF2E5A">
              <w:rPr>
                <w:rFonts w:ascii="Calibri" w:eastAsia="Calibri" w:hAnsi="Calibri" w:cs="Calibri"/>
                <w:b w:val="0"/>
                <w:bCs w:val="0"/>
                <w:color w:val="000000" w:themeColor="text1"/>
                <w:sz w:val="22"/>
              </w:rPr>
              <w:t>Strongyloides</w:t>
            </w:r>
            <w:proofErr w:type="spellEnd"/>
            <w:r w:rsidRPr="00CF2E5A">
              <w:rPr>
                <w:rFonts w:ascii="Calibri" w:eastAsia="Calibri" w:hAnsi="Calibri" w:cs="Calibri"/>
                <w:b w:val="0"/>
                <w:bCs w:val="0"/>
                <w:color w:val="000000" w:themeColor="text1"/>
                <w:sz w:val="22"/>
              </w:rPr>
              <w:t xml:space="preserve"> serology, and if positive, treat as appropriate.</w:t>
            </w:r>
          </w:p>
          <w:p w14:paraId="48E47683" w14:textId="77777777" w:rsidR="009D683D" w:rsidRPr="00CF2E5A" w:rsidRDefault="009D683D" w:rsidP="00782640">
            <w:pPr>
              <w:numPr>
                <w:ilvl w:val="0"/>
                <w:numId w:val="54"/>
              </w:numPr>
              <w:spacing w:line="276" w:lineRule="auto"/>
              <w:contextualSpacing/>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000000" w:themeColor="text1"/>
                <w:sz w:val="22"/>
              </w:rPr>
            </w:pPr>
            <w:r w:rsidRPr="00CF2E5A">
              <w:rPr>
                <w:rFonts w:ascii="Calibri" w:eastAsia="Calibri" w:hAnsi="Calibri" w:cs="Calibri"/>
                <w:b w:val="0"/>
                <w:bCs w:val="0"/>
                <w:color w:val="000000" w:themeColor="text1"/>
                <w:sz w:val="22"/>
              </w:rPr>
              <w:t>Screen patients’ stool for parasites (ideally three samples, but at least one), specifically Cryptosporidium.</w:t>
            </w:r>
          </w:p>
          <w:p w14:paraId="7FA368A3" w14:textId="77777777" w:rsidR="009D683D" w:rsidRPr="00CF2E5A" w:rsidRDefault="009D683D" w:rsidP="00782640">
            <w:pPr>
              <w:numPr>
                <w:ilvl w:val="0"/>
                <w:numId w:val="55"/>
              </w:numPr>
              <w:spacing w:line="276" w:lineRule="auto"/>
              <w:contextualSpacing/>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000000" w:themeColor="text1"/>
                <w:sz w:val="22"/>
              </w:rPr>
            </w:pPr>
            <w:r w:rsidRPr="00CF2E5A">
              <w:rPr>
                <w:rFonts w:ascii="Calibri" w:eastAsia="Calibri" w:hAnsi="Calibri" w:cs="Calibri"/>
                <w:b w:val="0"/>
                <w:bCs w:val="0"/>
                <w:color w:val="000000" w:themeColor="text1"/>
                <w:sz w:val="22"/>
              </w:rPr>
              <w:t>Repeat testing on the transplant waiting list is required if there is ongoing risk of exposure.</w:t>
            </w:r>
          </w:p>
          <w:p w14:paraId="3AF22861" w14:textId="77777777" w:rsidR="009D683D" w:rsidRPr="00CF2E5A" w:rsidRDefault="009D683D" w:rsidP="00782640">
            <w:pPr>
              <w:numPr>
                <w:ilvl w:val="0"/>
                <w:numId w:val="54"/>
              </w:numPr>
              <w:spacing w:line="276" w:lineRule="auto"/>
              <w:contextualSpacing/>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rPr>
            </w:pPr>
            <w:r w:rsidRPr="00CF2E5A">
              <w:rPr>
                <w:rFonts w:ascii="Calibri" w:eastAsia="Calibri" w:hAnsi="Calibri" w:cs="Calibri"/>
                <w:b w:val="0"/>
                <w:bCs w:val="0"/>
                <w:color w:val="000000" w:themeColor="text1"/>
                <w:sz w:val="22"/>
              </w:rPr>
              <w:t>Test for scabies, and if present, treat as appropriate.</w:t>
            </w:r>
            <w:r w:rsidRPr="00CF2E5A">
              <w:rPr>
                <w:rFonts w:ascii="Calibri" w:eastAsia="Calibri" w:hAnsi="Calibri" w:cs="Calibri"/>
                <w:color w:val="000000" w:themeColor="text1"/>
                <w:sz w:val="22"/>
              </w:rPr>
              <w:t xml:space="preserve"> </w:t>
            </w:r>
          </w:p>
        </w:tc>
      </w:tr>
      <w:tr w:rsidR="009D683D" w:rsidRPr="009D683D" w14:paraId="2A7C4864" w14:textId="77777777" w:rsidTr="00CF2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6C63C7" w14:textId="77777777" w:rsidR="009D683D" w:rsidRPr="009D683D" w:rsidRDefault="009D683D" w:rsidP="009D683D">
            <w:pPr>
              <w:spacing w:line="276" w:lineRule="auto"/>
              <w:rPr>
                <w:rFonts w:ascii="Calibri" w:eastAsia="Calibri" w:hAnsi="Calibri" w:cs="Times New Roman"/>
                <w:sz w:val="22"/>
              </w:rPr>
            </w:pPr>
            <w:r w:rsidRPr="009D683D">
              <w:rPr>
                <w:rFonts w:ascii="Calibri" w:eastAsia="Calibri" w:hAnsi="Calibri" w:cs="Times New Roman"/>
                <w:sz w:val="24"/>
              </w:rPr>
              <w:t>Pre-transplant vaccination</w:t>
            </w:r>
          </w:p>
        </w:tc>
        <w:tc>
          <w:tcPr>
            <w:tcW w:w="0" w:type="auto"/>
          </w:tcPr>
          <w:p w14:paraId="723CC54C" w14:textId="77777777" w:rsidR="009D683D" w:rsidRPr="009D683D" w:rsidRDefault="009D683D" w:rsidP="00782640">
            <w:pPr>
              <w:numPr>
                <w:ilvl w:val="0"/>
                <w:numId w:val="56"/>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rPr>
            </w:pPr>
            <w:r w:rsidRPr="009D683D">
              <w:rPr>
                <w:rFonts w:ascii="Calibri" w:eastAsia="Calibri" w:hAnsi="Calibri" w:cs="Calibri"/>
                <w:sz w:val="22"/>
              </w:rPr>
              <w:t>Administer one dose of pneumococcal vaccination with 13v PCV prior to transplantation, followed by 23vPPV 8 weeks later. Repeat 23vPPV at 5 years and finally at 10 years of age 50, whichever is later.</w:t>
            </w:r>
          </w:p>
          <w:p w14:paraId="2069E621" w14:textId="77777777" w:rsidR="009D683D" w:rsidRPr="009D683D" w:rsidRDefault="009D683D" w:rsidP="00782640">
            <w:pPr>
              <w:numPr>
                <w:ilvl w:val="0"/>
                <w:numId w:val="56"/>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rPr>
            </w:pPr>
            <w:r w:rsidRPr="009D683D">
              <w:rPr>
                <w:rFonts w:ascii="Calibri" w:eastAsia="Calibri" w:hAnsi="Calibri" w:cs="Calibri"/>
                <w:sz w:val="22"/>
              </w:rPr>
              <w:t>Administer Haemophilus influenzae B vaccination single dose, as well as HBV and HAV vaccination if the patient is not immune.</w:t>
            </w:r>
          </w:p>
          <w:p w14:paraId="19AE3AA9" w14:textId="77777777" w:rsidR="009D683D" w:rsidRPr="009D683D" w:rsidRDefault="009D683D" w:rsidP="00782640">
            <w:pPr>
              <w:numPr>
                <w:ilvl w:val="0"/>
                <w:numId w:val="56"/>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rPr>
            </w:pPr>
            <w:r w:rsidRPr="009D683D">
              <w:rPr>
                <w:rFonts w:ascii="Calibri" w:eastAsia="Calibri" w:hAnsi="Calibri" w:cs="Calibri"/>
                <w:sz w:val="22"/>
              </w:rPr>
              <w:t>Ensure the patient receives an annual influenza vaccine.</w:t>
            </w:r>
          </w:p>
          <w:p w14:paraId="4C0D217D" w14:textId="77777777" w:rsidR="009D683D" w:rsidRPr="009D683D" w:rsidRDefault="009D683D" w:rsidP="00782640">
            <w:pPr>
              <w:numPr>
                <w:ilvl w:val="0"/>
                <w:numId w:val="56"/>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rPr>
            </w:pPr>
            <w:proofErr w:type="spellStart"/>
            <w:r w:rsidRPr="009D683D">
              <w:rPr>
                <w:rFonts w:ascii="Calibri" w:eastAsia="Calibri" w:hAnsi="Calibri" w:cs="Calibri"/>
                <w:sz w:val="22"/>
              </w:rPr>
              <w:t>dTPa</w:t>
            </w:r>
            <w:proofErr w:type="spellEnd"/>
            <w:r w:rsidRPr="009D683D">
              <w:rPr>
                <w:rFonts w:ascii="Calibri" w:eastAsia="Calibri" w:hAnsi="Calibri" w:cs="Calibri"/>
                <w:sz w:val="22"/>
              </w:rPr>
              <w:t xml:space="preserve"> vaccination if last dose was administered longer than 10 years ago.</w:t>
            </w:r>
          </w:p>
          <w:p w14:paraId="2ECA85D0" w14:textId="77777777" w:rsidR="009D683D" w:rsidRPr="009D683D" w:rsidRDefault="009D683D" w:rsidP="00782640">
            <w:pPr>
              <w:numPr>
                <w:ilvl w:val="0"/>
                <w:numId w:val="56"/>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rPr>
            </w:pPr>
            <w:r w:rsidRPr="009D683D">
              <w:rPr>
                <w:rFonts w:ascii="Calibri" w:eastAsia="Calibri" w:hAnsi="Calibri" w:cs="Calibri"/>
                <w:sz w:val="22"/>
              </w:rPr>
              <w:t xml:space="preserve">Administer Varicella (live vaccine), MMR (live vaccine), Zoster (live vaccine), and HPV vaccination according to unit policy. Note – live vaccines are contraindicated in most immunosuppressed patients, and patients should not be immunosuppressed for 1 month after live vaccination. </w:t>
            </w:r>
          </w:p>
        </w:tc>
      </w:tr>
      <w:tr w:rsidR="009D683D" w:rsidRPr="009D683D" w14:paraId="6E242B91" w14:textId="77777777" w:rsidTr="00CF2E5A">
        <w:tc>
          <w:tcPr>
            <w:cnfStyle w:val="001000000000" w:firstRow="0" w:lastRow="0" w:firstColumn="1" w:lastColumn="0" w:oddVBand="0" w:evenVBand="0" w:oddHBand="0" w:evenHBand="0" w:firstRowFirstColumn="0" w:firstRowLastColumn="0" w:lastRowFirstColumn="0" w:lastRowLastColumn="0"/>
            <w:tcW w:w="0" w:type="auto"/>
          </w:tcPr>
          <w:p w14:paraId="7CF1F745" w14:textId="77777777" w:rsidR="009D683D" w:rsidRPr="009D683D" w:rsidRDefault="009D683D" w:rsidP="009D683D">
            <w:pPr>
              <w:spacing w:line="276" w:lineRule="auto"/>
              <w:rPr>
                <w:rFonts w:ascii="Calibri" w:eastAsia="Calibri" w:hAnsi="Calibri" w:cs="Times New Roman"/>
                <w:sz w:val="22"/>
              </w:rPr>
            </w:pPr>
            <w:r w:rsidRPr="009D683D">
              <w:rPr>
                <w:rFonts w:ascii="Calibri" w:eastAsia="Calibri" w:hAnsi="Calibri" w:cs="Times New Roman"/>
                <w:sz w:val="24"/>
              </w:rPr>
              <w:t>Antimicrobial prophylaxis</w:t>
            </w:r>
          </w:p>
        </w:tc>
        <w:tc>
          <w:tcPr>
            <w:tcW w:w="0" w:type="auto"/>
          </w:tcPr>
          <w:p w14:paraId="69A81530" w14:textId="77777777" w:rsidR="009D683D" w:rsidRPr="009D683D" w:rsidRDefault="009D683D" w:rsidP="00782640">
            <w:pPr>
              <w:numPr>
                <w:ilvl w:val="0"/>
                <w:numId w:val="57"/>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rPr>
            </w:pPr>
            <w:r w:rsidRPr="009D683D">
              <w:rPr>
                <w:rFonts w:ascii="Calibri" w:eastAsia="Calibri" w:hAnsi="Calibri" w:cs="Calibri"/>
                <w:sz w:val="22"/>
              </w:rPr>
              <w:t xml:space="preserve">Administer usual IV antibiotic prophylaxis </w:t>
            </w:r>
            <w:proofErr w:type="spellStart"/>
            <w:r w:rsidRPr="009D683D">
              <w:rPr>
                <w:rFonts w:ascii="Calibri" w:eastAsia="Calibri" w:hAnsi="Calibri" w:cs="Calibri"/>
                <w:sz w:val="22"/>
              </w:rPr>
              <w:t>peritransplant</w:t>
            </w:r>
            <w:proofErr w:type="spellEnd"/>
            <w:r w:rsidRPr="009D683D">
              <w:rPr>
                <w:rFonts w:ascii="Calibri" w:eastAsia="Calibri" w:hAnsi="Calibri" w:cs="Calibri"/>
                <w:sz w:val="22"/>
              </w:rPr>
              <w:t>.</w:t>
            </w:r>
          </w:p>
          <w:p w14:paraId="7041CDD7" w14:textId="77777777" w:rsidR="009D683D" w:rsidRPr="009D683D" w:rsidRDefault="009D683D" w:rsidP="00782640">
            <w:pPr>
              <w:numPr>
                <w:ilvl w:val="0"/>
                <w:numId w:val="57"/>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rPr>
            </w:pPr>
            <w:r w:rsidRPr="009D683D">
              <w:rPr>
                <w:rFonts w:ascii="Calibri" w:eastAsia="Calibri" w:hAnsi="Calibri" w:cs="Calibri"/>
                <w:sz w:val="22"/>
              </w:rPr>
              <w:t xml:space="preserve">Administer usual PJP prophylaxis with cotrimoxazole for durations according to unit policy. Consider increasing the dose of cotrimoxazole to double strength (160mg/800mg) one tablet once daily for 1 year to provide better protection against Staphylococcus aureus skin and soft tissue infections (including MRSA).  </w:t>
            </w:r>
          </w:p>
          <w:p w14:paraId="2782B787" w14:textId="77777777" w:rsidR="009D683D" w:rsidRPr="009D683D" w:rsidRDefault="009D683D" w:rsidP="00782640">
            <w:pPr>
              <w:numPr>
                <w:ilvl w:val="0"/>
                <w:numId w:val="57"/>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rPr>
            </w:pPr>
            <w:r w:rsidRPr="009D683D">
              <w:rPr>
                <w:rFonts w:ascii="Calibri" w:eastAsia="Calibri" w:hAnsi="Calibri" w:cs="Calibri"/>
                <w:sz w:val="22"/>
              </w:rPr>
              <w:t xml:space="preserve">For those with positive melioidosis serology, administer indefinite prophylaxis with cotrimoxazole 160mg/800mg once daily. </w:t>
            </w:r>
          </w:p>
          <w:p w14:paraId="5CC78AC9" w14:textId="77777777" w:rsidR="009D683D" w:rsidRPr="009D683D" w:rsidRDefault="009D683D" w:rsidP="00782640">
            <w:pPr>
              <w:numPr>
                <w:ilvl w:val="0"/>
                <w:numId w:val="57"/>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rPr>
            </w:pPr>
            <w:r w:rsidRPr="009D683D">
              <w:rPr>
                <w:rFonts w:ascii="Calibri" w:eastAsia="Calibri" w:hAnsi="Calibri" w:cs="Calibri"/>
                <w:sz w:val="22"/>
              </w:rPr>
              <w:t>Administer usual CMV prophylaxis with valganciclovir.</w:t>
            </w:r>
          </w:p>
        </w:tc>
      </w:tr>
      <w:tr w:rsidR="009D683D" w:rsidRPr="009D683D" w14:paraId="20523881" w14:textId="77777777" w:rsidTr="00CF2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A83EC0" w14:textId="77777777" w:rsidR="009D683D" w:rsidRPr="009D683D" w:rsidRDefault="009D683D" w:rsidP="009D683D">
            <w:pPr>
              <w:spacing w:line="276" w:lineRule="auto"/>
              <w:rPr>
                <w:rFonts w:ascii="Calibri" w:eastAsia="Calibri" w:hAnsi="Calibri" w:cs="Times New Roman"/>
                <w:sz w:val="22"/>
              </w:rPr>
            </w:pPr>
            <w:r w:rsidRPr="009D683D">
              <w:rPr>
                <w:rFonts w:ascii="Calibri" w:eastAsia="Calibri" w:hAnsi="Calibri" w:cs="Times New Roman"/>
                <w:sz w:val="24"/>
              </w:rPr>
              <w:t>Education</w:t>
            </w:r>
          </w:p>
        </w:tc>
        <w:tc>
          <w:tcPr>
            <w:tcW w:w="0" w:type="auto"/>
          </w:tcPr>
          <w:p w14:paraId="5D7C4D4D" w14:textId="77777777" w:rsidR="009D683D" w:rsidRPr="009D683D" w:rsidRDefault="009D683D" w:rsidP="00782640">
            <w:pPr>
              <w:numPr>
                <w:ilvl w:val="0"/>
                <w:numId w:val="58"/>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rPr>
            </w:pPr>
            <w:r w:rsidRPr="009D683D">
              <w:rPr>
                <w:rFonts w:ascii="Calibri" w:eastAsia="Calibri" w:hAnsi="Calibri" w:cs="Calibri"/>
                <w:sz w:val="22"/>
              </w:rPr>
              <w:t xml:space="preserve">Develop and deliver culturally appropriate information-sharing processes and resources to ensure Indigenous patients have a comprehensive understanding of post-transplant care and maintenance considerations, including the role good hygiene and nutrition has in staving off infection. </w:t>
            </w:r>
          </w:p>
          <w:p w14:paraId="04AE5F10" w14:textId="77777777" w:rsidR="009D683D" w:rsidRPr="009D683D" w:rsidRDefault="009D683D" w:rsidP="00782640">
            <w:pPr>
              <w:numPr>
                <w:ilvl w:val="0"/>
                <w:numId w:val="71"/>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rPr>
            </w:pPr>
            <w:r w:rsidRPr="009D683D">
              <w:rPr>
                <w:rFonts w:ascii="Calibri" w:eastAsia="Calibri" w:hAnsi="Calibri" w:cs="Calibri"/>
                <w:sz w:val="22"/>
              </w:rPr>
              <w:lastRenderedPageBreak/>
              <w:t xml:space="preserve">Education about post-transplant requirements must begin in the pre-transplant phase, and be reinforced regularly throughout patients’ time on the waitlist and following transplantation. </w:t>
            </w:r>
          </w:p>
          <w:p w14:paraId="3081A55B" w14:textId="77777777" w:rsidR="009D683D" w:rsidRPr="009D683D" w:rsidRDefault="009D683D" w:rsidP="00782640">
            <w:pPr>
              <w:numPr>
                <w:ilvl w:val="0"/>
                <w:numId w:val="58"/>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rPr>
            </w:pPr>
            <w:r w:rsidRPr="009D683D">
              <w:rPr>
                <w:rFonts w:ascii="Calibri" w:eastAsia="Calibri" w:hAnsi="Calibri" w:cs="Calibri"/>
                <w:sz w:val="22"/>
              </w:rPr>
              <w:t>In order to develop improved education processes and resources, consideration should be given to:</w:t>
            </w:r>
          </w:p>
          <w:p w14:paraId="78B164E7" w14:textId="77777777" w:rsidR="009D683D" w:rsidRPr="009D683D" w:rsidRDefault="009D683D" w:rsidP="00782640">
            <w:pPr>
              <w:numPr>
                <w:ilvl w:val="0"/>
                <w:numId w:val="59"/>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rPr>
            </w:pPr>
            <w:r w:rsidRPr="009D683D">
              <w:rPr>
                <w:rFonts w:ascii="Calibri" w:eastAsia="Calibri" w:hAnsi="Calibri" w:cs="Calibri"/>
                <w:sz w:val="22"/>
              </w:rPr>
              <w:t>Integrating cultural awareness training and continuous professional development into the non-Indigenous health workforce curriculum; and</w:t>
            </w:r>
          </w:p>
          <w:p w14:paraId="4878F1BF" w14:textId="77777777" w:rsidR="009D683D" w:rsidRPr="009D683D" w:rsidRDefault="009D683D" w:rsidP="00782640">
            <w:pPr>
              <w:numPr>
                <w:ilvl w:val="0"/>
                <w:numId w:val="59"/>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rPr>
            </w:pPr>
            <w:r w:rsidRPr="009D683D">
              <w:rPr>
                <w:rFonts w:ascii="Calibri" w:eastAsia="Calibri" w:hAnsi="Calibri" w:cs="Calibri"/>
                <w:sz w:val="22"/>
              </w:rPr>
              <w:t>Increasing the training, recruitment and utility of Indigenous health workers and interpreters to aid the transmission of medical information and facilitate informed decision-making.</w:t>
            </w:r>
          </w:p>
          <w:p w14:paraId="62DF01BA" w14:textId="77777777" w:rsidR="009D683D" w:rsidRPr="009D683D" w:rsidRDefault="009D683D" w:rsidP="00782640">
            <w:pPr>
              <w:numPr>
                <w:ilvl w:val="0"/>
                <w:numId w:val="58"/>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rPr>
            </w:pPr>
            <w:r w:rsidRPr="009D683D">
              <w:rPr>
                <w:rFonts w:ascii="Calibri" w:eastAsia="Calibri" w:hAnsi="Calibri" w:cs="Calibri"/>
                <w:sz w:val="22"/>
              </w:rPr>
              <w:t>Advise Indigenous patients returning to high-risk remote areas without a safe drinking water supply to consume only bottled water.</w:t>
            </w:r>
          </w:p>
        </w:tc>
      </w:tr>
    </w:tbl>
    <w:p w14:paraId="2B6FC40E" w14:textId="77777777" w:rsidR="00CF2E5A" w:rsidRDefault="00CF2E5A" w:rsidP="009D683D">
      <w:pPr>
        <w:spacing w:line="276" w:lineRule="auto"/>
        <w:rPr>
          <w:rFonts w:ascii="Calibri" w:eastAsia="Calibri" w:hAnsi="Calibri" w:cs="Times New Roman"/>
          <w:b/>
          <w:bCs/>
          <w:sz w:val="22"/>
        </w:rPr>
      </w:pPr>
    </w:p>
    <w:p w14:paraId="0D4E70FA" w14:textId="53317559" w:rsidR="009D683D" w:rsidRPr="00CF2E5A" w:rsidRDefault="00CF2E5A" w:rsidP="00CF2E5A">
      <w:pPr>
        <w:spacing w:line="276" w:lineRule="auto"/>
        <w:contextualSpacing/>
        <w:rPr>
          <w:rFonts w:ascii="Calibri" w:eastAsia="Calibri" w:hAnsi="Calibri" w:cs="Times New Roman"/>
          <w:b/>
          <w:bCs/>
          <w:sz w:val="22"/>
        </w:rPr>
      </w:pPr>
      <w:r w:rsidRPr="00CF2E5A">
        <w:rPr>
          <w:rFonts w:ascii="Calibri" w:eastAsia="Calibri" w:hAnsi="Calibri" w:cs="Times New Roman"/>
          <w:b/>
          <w:bCs/>
          <w:sz w:val="22"/>
        </w:rPr>
        <w:t>Recommendations for novel pre-transplant screening and antimicrobial prophylaxis initiatives for Indigenous kidney transplant recipients, which need to be trialled prior to being incorporated into a tailored prophylactic protocol</w:t>
      </w:r>
    </w:p>
    <w:tbl>
      <w:tblPr>
        <w:tblStyle w:val="ListTable312"/>
        <w:tblW w:w="9021" w:type="dxa"/>
        <w:tblLook w:val="04A0" w:firstRow="1" w:lastRow="0" w:firstColumn="1" w:lastColumn="0" w:noHBand="0" w:noVBand="1"/>
      </w:tblPr>
      <w:tblGrid>
        <w:gridCol w:w="1812"/>
        <w:gridCol w:w="7209"/>
      </w:tblGrid>
      <w:tr w:rsidR="009D683D" w:rsidRPr="009D683D" w14:paraId="43F2C308" w14:textId="77777777" w:rsidTr="00CF2E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shd w:val="clear" w:color="auto" w:fill="auto"/>
          </w:tcPr>
          <w:p w14:paraId="2BDBA251" w14:textId="77777777" w:rsidR="009D683D" w:rsidRPr="00CF2E5A" w:rsidRDefault="009D683D" w:rsidP="009D683D">
            <w:pPr>
              <w:spacing w:line="276" w:lineRule="auto"/>
              <w:rPr>
                <w:rFonts w:ascii="Calibri" w:eastAsia="Calibri" w:hAnsi="Calibri" w:cs="Times New Roman"/>
                <w:color w:val="000000" w:themeColor="text1"/>
                <w:sz w:val="22"/>
              </w:rPr>
            </w:pPr>
            <w:r w:rsidRPr="00CF2E5A">
              <w:rPr>
                <w:rFonts w:ascii="Calibri" w:eastAsia="Calibri" w:hAnsi="Calibri" w:cs="Times New Roman"/>
                <w:color w:val="000000" w:themeColor="text1"/>
                <w:sz w:val="24"/>
              </w:rPr>
              <w:t>Pre-transplant screening</w:t>
            </w:r>
          </w:p>
        </w:tc>
        <w:tc>
          <w:tcPr>
            <w:tcW w:w="0" w:type="auto"/>
            <w:shd w:val="clear" w:color="auto" w:fill="auto"/>
          </w:tcPr>
          <w:p w14:paraId="23EEBAA5" w14:textId="77777777" w:rsidR="009D683D" w:rsidRPr="00CF2E5A" w:rsidRDefault="009D683D" w:rsidP="00782640">
            <w:pPr>
              <w:numPr>
                <w:ilvl w:val="0"/>
                <w:numId w:val="60"/>
              </w:numPr>
              <w:spacing w:line="276" w:lineRule="auto"/>
              <w:contextualSpacing/>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000000" w:themeColor="text1"/>
                <w:sz w:val="22"/>
              </w:rPr>
            </w:pPr>
            <w:r w:rsidRPr="00CF2E5A">
              <w:rPr>
                <w:rFonts w:ascii="Calibri" w:eastAsia="Calibri" w:hAnsi="Calibri" w:cs="Calibri"/>
                <w:b w:val="0"/>
                <w:bCs w:val="0"/>
                <w:color w:val="000000" w:themeColor="text1"/>
                <w:sz w:val="22"/>
              </w:rPr>
              <w:t>Implement routine comprehensive baseline immunological screening for both Indigenous and non-Indigenous patients to facilitate a direct comparison of the data and improve knowledge of underlying immune deficiencies that may influence post-transplant outcomes.</w:t>
            </w:r>
          </w:p>
          <w:p w14:paraId="187B0EC8" w14:textId="77777777" w:rsidR="009D683D" w:rsidRPr="00CF2E5A" w:rsidRDefault="009D683D" w:rsidP="00782640">
            <w:pPr>
              <w:numPr>
                <w:ilvl w:val="0"/>
                <w:numId w:val="61"/>
              </w:numPr>
              <w:spacing w:line="276" w:lineRule="auto"/>
              <w:contextualSpacing/>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000000" w:themeColor="text1"/>
                <w:sz w:val="22"/>
              </w:rPr>
            </w:pPr>
            <w:r w:rsidRPr="00CF2E5A">
              <w:rPr>
                <w:rFonts w:ascii="Calibri" w:eastAsia="Calibri" w:hAnsi="Calibri" w:cs="Times New Roman"/>
                <w:b w:val="0"/>
                <w:bCs w:val="0"/>
                <w:color w:val="000000" w:themeColor="text1"/>
                <w:sz w:val="22"/>
              </w:rPr>
              <w:t>This data could shed light on how increased exposure and underlying immune deficiencies contribute to the heightened incidence of graft loss and infectious death in Indigenous patients.</w:t>
            </w:r>
          </w:p>
        </w:tc>
      </w:tr>
      <w:tr w:rsidR="009D683D" w:rsidRPr="009D683D" w14:paraId="44E69F6B" w14:textId="77777777" w:rsidTr="00CF2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30E278" w14:textId="77777777" w:rsidR="009D683D" w:rsidRPr="009D683D" w:rsidRDefault="009D683D" w:rsidP="009D683D">
            <w:pPr>
              <w:spacing w:line="276" w:lineRule="auto"/>
              <w:rPr>
                <w:rFonts w:ascii="Calibri" w:eastAsia="Calibri" w:hAnsi="Calibri" w:cs="Times New Roman"/>
                <w:sz w:val="52"/>
              </w:rPr>
            </w:pPr>
            <w:r w:rsidRPr="009D683D">
              <w:rPr>
                <w:rFonts w:ascii="Calibri" w:eastAsia="Calibri" w:hAnsi="Calibri" w:cs="Times New Roman"/>
                <w:sz w:val="24"/>
              </w:rPr>
              <w:t>Antimicrobial prophylaxis</w:t>
            </w:r>
          </w:p>
        </w:tc>
        <w:tc>
          <w:tcPr>
            <w:tcW w:w="0" w:type="auto"/>
          </w:tcPr>
          <w:p w14:paraId="156D0A43" w14:textId="77777777" w:rsidR="009D683D" w:rsidRPr="009D683D" w:rsidRDefault="009D683D" w:rsidP="00782640">
            <w:pPr>
              <w:numPr>
                <w:ilvl w:val="0"/>
                <w:numId w:val="6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rPr>
            </w:pPr>
            <w:r w:rsidRPr="009D683D">
              <w:rPr>
                <w:rFonts w:ascii="Calibri" w:eastAsia="Calibri" w:hAnsi="Calibri" w:cs="Calibri"/>
                <w:sz w:val="22"/>
              </w:rPr>
              <w:t>Administer Amoxycillin 250mg once daily for 1 year for bacterial pneumonia prophylaxis (a reasonable percentage of Streptococcus pneumoniae are cotrimoxazole resistant). If hypersensitive to penicillin, use roxithromycin 150mg once daily.</w:t>
            </w:r>
          </w:p>
          <w:p w14:paraId="132F58B3" w14:textId="77777777" w:rsidR="009D683D" w:rsidRPr="009D683D" w:rsidRDefault="009D683D" w:rsidP="00782640">
            <w:pPr>
              <w:numPr>
                <w:ilvl w:val="0"/>
                <w:numId w:val="63"/>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rPr>
            </w:pPr>
            <w:bookmarkStart w:id="100" w:name="_Hlk534203271"/>
            <w:r w:rsidRPr="009D683D">
              <w:rPr>
                <w:rFonts w:ascii="Calibri" w:eastAsia="Calibri" w:hAnsi="Calibri" w:cs="Calibri"/>
                <w:sz w:val="22"/>
              </w:rPr>
              <w:t>Data on rates of treatment for bacterial pneumonia among Indigenous kidney transplant recipients should be assessed to determine the efficacy of this approach.</w:t>
            </w:r>
          </w:p>
          <w:bookmarkEnd w:id="100"/>
          <w:p w14:paraId="1A6A92E3" w14:textId="77777777" w:rsidR="009D683D" w:rsidRPr="009D683D" w:rsidRDefault="009D683D" w:rsidP="00782640">
            <w:pPr>
              <w:numPr>
                <w:ilvl w:val="0"/>
                <w:numId w:val="6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rPr>
            </w:pPr>
            <w:r w:rsidRPr="009D683D">
              <w:rPr>
                <w:rFonts w:ascii="Calibri" w:eastAsia="Calibri" w:hAnsi="Calibri" w:cs="Calibri"/>
                <w:sz w:val="22"/>
              </w:rPr>
              <w:t xml:space="preserve">Administer </w:t>
            </w:r>
            <w:proofErr w:type="spellStart"/>
            <w:r w:rsidRPr="009D683D">
              <w:rPr>
                <w:rFonts w:ascii="Calibri" w:eastAsia="Calibri" w:hAnsi="Calibri" w:cs="Calibri"/>
                <w:sz w:val="22"/>
              </w:rPr>
              <w:t>Lozanoc</w:t>
            </w:r>
            <w:proofErr w:type="spellEnd"/>
            <w:r w:rsidRPr="009D683D">
              <w:rPr>
                <w:rFonts w:ascii="Calibri" w:eastAsia="Calibri" w:hAnsi="Calibri" w:cs="Calibri"/>
                <w:sz w:val="22"/>
              </w:rPr>
              <w:t xml:space="preserve"> (itraconazole) 100mg once daily for 3-6 months to treat antifungal prophylaxis.</w:t>
            </w:r>
          </w:p>
          <w:p w14:paraId="0591C95D" w14:textId="77777777" w:rsidR="009D683D" w:rsidRPr="009D683D" w:rsidRDefault="009D683D" w:rsidP="00782640">
            <w:pPr>
              <w:numPr>
                <w:ilvl w:val="0"/>
                <w:numId w:val="64"/>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rPr>
            </w:pPr>
            <w:r w:rsidRPr="009D683D">
              <w:rPr>
                <w:rFonts w:ascii="Calibri" w:eastAsia="Calibri" w:hAnsi="Calibri" w:cs="Calibri"/>
                <w:sz w:val="22"/>
              </w:rPr>
              <w:t xml:space="preserve">Data on rates of treatment for fungal infections among Indigenous kidney transplant recipients should be assessed to determine the efficacy of this approach. </w:t>
            </w:r>
          </w:p>
        </w:tc>
      </w:tr>
    </w:tbl>
    <w:p w14:paraId="5E7EB345" w14:textId="77777777" w:rsidR="009D683D" w:rsidRPr="009D683D" w:rsidRDefault="009D683D" w:rsidP="009D683D">
      <w:pPr>
        <w:spacing w:line="276" w:lineRule="auto"/>
        <w:rPr>
          <w:rFonts w:ascii="Calibri" w:eastAsia="Calibri" w:hAnsi="Calibri" w:cs="Times New Roman"/>
          <w:b/>
          <w:sz w:val="52"/>
        </w:rPr>
      </w:pPr>
    </w:p>
    <w:p w14:paraId="3DB05162" w14:textId="77777777" w:rsidR="009D683D" w:rsidRPr="009D683D" w:rsidRDefault="009D683D" w:rsidP="009D683D">
      <w:pPr>
        <w:rPr>
          <w:rFonts w:ascii="Calibri" w:eastAsia="Calibri" w:hAnsi="Calibri" w:cs="Times New Roman"/>
          <w:b/>
          <w:sz w:val="52"/>
        </w:rPr>
      </w:pPr>
      <w:r w:rsidRPr="009D683D">
        <w:rPr>
          <w:rFonts w:ascii="Calibri" w:eastAsia="Calibri" w:hAnsi="Calibri" w:cs="Times New Roman"/>
          <w:b/>
          <w:sz w:val="52"/>
        </w:rPr>
        <w:br w:type="page"/>
      </w:r>
    </w:p>
    <w:p w14:paraId="302EE4FC" w14:textId="77777777" w:rsidR="009D683D" w:rsidRPr="009D683D" w:rsidRDefault="009D683D" w:rsidP="009D683D">
      <w:pPr>
        <w:keepNext/>
        <w:keepLines/>
        <w:spacing w:before="240" w:after="0"/>
        <w:ind w:left="360" w:hanging="360"/>
        <w:outlineLvl w:val="0"/>
        <w:rPr>
          <w:rFonts w:ascii="Calibri Light" w:eastAsia="Times New Roman" w:hAnsi="Calibri Light" w:cs="Times New Roman"/>
          <w:b/>
          <w:sz w:val="32"/>
          <w:szCs w:val="32"/>
        </w:rPr>
      </w:pPr>
      <w:bookmarkStart w:id="101" w:name="_Toc2585848"/>
      <w:r w:rsidRPr="009D683D">
        <w:rPr>
          <w:rFonts w:ascii="Calibri Light" w:eastAsia="Times New Roman" w:hAnsi="Calibri Light" w:cs="Times New Roman"/>
          <w:b/>
          <w:sz w:val="32"/>
          <w:szCs w:val="32"/>
        </w:rPr>
        <w:lastRenderedPageBreak/>
        <w:t>References</w:t>
      </w:r>
      <w:bookmarkEnd w:id="101"/>
    </w:p>
    <w:p w14:paraId="12135CDC"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fldChar w:fldCharType="begin"/>
      </w:r>
      <w:r w:rsidRPr="009D683D">
        <w:rPr>
          <w:rFonts w:ascii="Calibri" w:eastAsia="Calibri" w:hAnsi="Calibri" w:cs="Calibri"/>
          <w:noProof/>
          <w:sz w:val="22"/>
          <w:lang w:val="en-US"/>
        </w:rPr>
        <w:instrText xml:space="preserve"> ADDIN EN.REFLIST </w:instrText>
      </w:r>
      <w:r w:rsidRPr="009D683D">
        <w:rPr>
          <w:rFonts w:ascii="Calibri" w:eastAsia="Calibri" w:hAnsi="Calibri" w:cs="Calibri"/>
          <w:noProof/>
          <w:sz w:val="22"/>
          <w:lang w:val="en-US"/>
        </w:rPr>
        <w:fldChar w:fldCharType="separate"/>
      </w:r>
      <w:r w:rsidRPr="009D683D">
        <w:rPr>
          <w:rFonts w:ascii="Calibri" w:eastAsia="Calibri" w:hAnsi="Calibri" w:cs="Calibri"/>
          <w:noProof/>
          <w:sz w:val="22"/>
          <w:lang w:val="en-US"/>
        </w:rPr>
        <w:t xml:space="preserve">Abboudi, H., &amp; Macphee, I. A. (2012). Individualized immunosuppression in transplant patients: potential role of pharmacogenetics. </w:t>
      </w:r>
      <w:r w:rsidRPr="009D683D">
        <w:rPr>
          <w:rFonts w:ascii="Calibri" w:eastAsia="Calibri" w:hAnsi="Calibri" w:cs="Calibri"/>
          <w:i/>
          <w:noProof/>
          <w:sz w:val="22"/>
          <w:lang w:val="en-US"/>
        </w:rPr>
        <w:t>Pharmgenomics Pers Med, 5</w:t>
      </w:r>
      <w:r w:rsidRPr="009D683D">
        <w:rPr>
          <w:rFonts w:ascii="Calibri" w:eastAsia="Calibri" w:hAnsi="Calibri" w:cs="Calibri"/>
          <w:noProof/>
          <w:sz w:val="22"/>
          <w:lang w:val="en-US"/>
        </w:rPr>
        <w:t>, 63-72. doi:10.2147/PGPM.S21743</w:t>
      </w:r>
    </w:p>
    <w:p w14:paraId="0BDE1813"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Abedini, S., Goransson, L., Cockburn, E., Kilany, S., &amp; Holdaas, H. (2018). Immunosuppression Adherence in Stable Kidney Transplant Patients Converted From Immediate- to Prolonged-Release Tacrolimus in Clinical Practice: A Norwegian Study. </w:t>
      </w:r>
      <w:r w:rsidRPr="009D683D">
        <w:rPr>
          <w:rFonts w:ascii="Calibri" w:eastAsia="Calibri" w:hAnsi="Calibri" w:cs="Calibri"/>
          <w:i/>
          <w:noProof/>
          <w:sz w:val="22"/>
          <w:lang w:val="en-US"/>
        </w:rPr>
        <w:t>Transplant Direct, 4</w:t>
      </w:r>
      <w:r w:rsidRPr="009D683D">
        <w:rPr>
          <w:rFonts w:ascii="Calibri" w:eastAsia="Calibri" w:hAnsi="Calibri" w:cs="Calibri"/>
          <w:noProof/>
          <w:sz w:val="22"/>
          <w:lang w:val="en-US"/>
        </w:rPr>
        <w:t>(2), e338. doi:10.1097/TXD.0000000000000755</w:t>
      </w:r>
    </w:p>
    <w:p w14:paraId="624E5490"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ACSQHC. (2017). </w:t>
      </w:r>
      <w:r w:rsidRPr="009D683D">
        <w:rPr>
          <w:rFonts w:ascii="Calibri" w:eastAsia="Calibri" w:hAnsi="Calibri" w:cs="Calibri"/>
          <w:i/>
          <w:noProof/>
          <w:sz w:val="22"/>
          <w:lang w:val="en-US"/>
        </w:rPr>
        <w:t>National Safety and Quality Health Service Standards: User Guide for Aboriginal and Torres Strait Islander Health</w:t>
      </w:r>
      <w:r w:rsidRPr="009D683D">
        <w:rPr>
          <w:rFonts w:ascii="Calibri" w:eastAsia="Calibri" w:hAnsi="Calibri" w:cs="Calibri"/>
          <w:noProof/>
          <w:sz w:val="22"/>
          <w:lang w:val="en-US"/>
        </w:rPr>
        <w:t xml:space="preserve">. Sydney, Australia: Australian Commission on Safety and Quality in Health Care. Retrieved from </w:t>
      </w:r>
      <w:hyperlink r:id="rId57" w:history="1">
        <w:r w:rsidRPr="009D683D">
          <w:rPr>
            <w:rFonts w:ascii="Calibri" w:eastAsia="Calibri" w:hAnsi="Calibri" w:cs="Calibri"/>
            <w:noProof/>
            <w:color w:val="0000FF"/>
            <w:sz w:val="22"/>
            <w:u w:val="single"/>
            <w:lang w:val="en-US"/>
          </w:rPr>
          <w:t>https://www.safetyandquality.gov.au/our-work/assessment-to-the-nsqhs-standards/improving-care-for-aboriginal-and-torres-strait-islander-people/</w:t>
        </w:r>
      </w:hyperlink>
    </w:p>
    <w:p w14:paraId="720EF2F9"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Adams, A. B., Garrett, C., Goldstein, J., Zhang, R., Guasch, A., Pastan, S., . . . Larsen, C. (2016). </w:t>
      </w:r>
      <w:r w:rsidRPr="009D683D">
        <w:rPr>
          <w:rFonts w:ascii="Calibri" w:eastAsia="Calibri" w:hAnsi="Calibri" w:cs="Calibri"/>
          <w:i/>
          <w:noProof/>
          <w:sz w:val="22"/>
          <w:lang w:val="en-US"/>
        </w:rPr>
        <w:t>Post-Trial Experience with Belatacept: A Large Single Center Experience</w:t>
      </w:r>
      <w:r w:rsidRPr="009D683D">
        <w:rPr>
          <w:rFonts w:ascii="Calibri" w:eastAsia="Calibri" w:hAnsi="Calibri" w:cs="Calibri"/>
          <w:noProof/>
          <w:sz w:val="22"/>
          <w:lang w:val="en-US"/>
        </w:rPr>
        <w:t xml:space="preserve">. Paper presented at the 2016 American Transplant Congress, Emory Transplant Center, Atlanta. </w:t>
      </w:r>
    </w:p>
    <w:p w14:paraId="428C326B"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Afshinnia, F., Wilt, T. J., Duval, S., Esmaeili, A., &amp; Ibrahim, H. N. (2010). Weight loss and proteinuria: systematic review of clinical trials and comparative cohorts. </w:t>
      </w:r>
      <w:r w:rsidRPr="009D683D">
        <w:rPr>
          <w:rFonts w:ascii="Calibri" w:eastAsia="Calibri" w:hAnsi="Calibri" w:cs="Calibri"/>
          <w:i/>
          <w:noProof/>
          <w:sz w:val="22"/>
          <w:lang w:val="en-US"/>
        </w:rPr>
        <w:t>Nephrol Dial Transplant, 25</w:t>
      </w:r>
      <w:r w:rsidRPr="009D683D">
        <w:rPr>
          <w:rFonts w:ascii="Calibri" w:eastAsia="Calibri" w:hAnsi="Calibri" w:cs="Calibri"/>
          <w:noProof/>
          <w:sz w:val="22"/>
          <w:lang w:val="en-US"/>
        </w:rPr>
        <w:t>(4), 1173-1183. doi:10.1093/ndt/gfp640</w:t>
      </w:r>
    </w:p>
    <w:p w14:paraId="1777055F"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AIATSIS. (2018). Indigenous Australian Languages. Retrieved from </w:t>
      </w:r>
      <w:hyperlink r:id="rId58" w:history="1">
        <w:r w:rsidRPr="009D683D">
          <w:rPr>
            <w:rFonts w:ascii="Calibri" w:eastAsia="Calibri" w:hAnsi="Calibri" w:cs="Calibri"/>
            <w:noProof/>
            <w:color w:val="0000FF"/>
            <w:sz w:val="22"/>
            <w:u w:val="single"/>
            <w:lang w:val="en-US"/>
          </w:rPr>
          <w:t>https://aiatsis.gov.au/explore/articles/indigenous-australian-languages</w:t>
        </w:r>
      </w:hyperlink>
    </w:p>
    <w:p w14:paraId="4C15C076"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AIHW. (2011a). </w:t>
      </w:r>
      <w:r w:rsidRPr="009D683D">
        <w:rPr>
          <w:rFonts w:ascii="Calibri" w:eastAsia="Calibri" w:hAnsi="Calibri" w:cs="Calibri"/>
          <w:i/>
          <w:noProof/>
          <w:sz w:val="22"/>
          <w:lang w:val="en-US"/>
        </w:rPr>
        <w:t>End-stage kidney disease in Australia: Total incidence, 2003-2007</w:t>
      </w:r>
      <w:r w:rsidRPr="009D683D">
        <w:rPr>
          <w:rFonts w:ascii="Calibri" w:eastAsia="Calibri" w:hAnsi="Calibri" w:cs="Calibri"/>
          <w:noProof/>
          <w:sz w:val="22"/>
          <w:lang w:val="en-US"/>
        </w:rPr>
        <w:t xml:space="preserve">. Canberra, Australia: Australian Institute of Health and Welfare. Retrieved from </w:t>
      </w:r>
      <w:hyperlink r:id="rId59" w:history="1">
        <w:r w:rsidRPr="009D683D">
          <w:rPr>
            <w:rFonts w:ascii="Calibri" w:eastAsia="Calibri" w:hAnsi="Calibri" w:cs="Calibri"/>
            <w:noProof/>
            <w:color w:val="0000FF"/>
            <w:sz w:val="22"/>
            <w:u w:val="single"/>
            <w:lang w:val="en-US"/>
          </w:rPr>
          <w:t>https://www.aihw.gov.au/getmedia/0b59410e-c277-4bde-8bd8-31054c51ee68/12787.pdf.aspx?inline=true</w:t>
        </w:r>
      </w:hyperlink>
    </w:p>
    <w:p w14:paraId="79855C7C"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AIHW. (2011b). </w:t>
      </w:r>
      <w:r w:rsidRPr="009D683D">
        <w:rPr>
          <w:rFonts w:ascii="Calibri" w:eastAsia="Calibri" w:hAnsi="Calibri" w:cs="Calibri"/>
          <w:i/>
          <w:noProof/>
          <w:sz w:val="22"/>
          <w:lang w:val="en-US"/>
        </w:rPr>
        <w:t>Life expectancy and mortality of Aboriginal and Torres Strait Islander people</w:t>
      </w:r>
      <w:r w:rsidRPr="009D683D">
        <w:rPr>
          <w:rFonts w:ascii="Calibri" w:eastAsia="Calibri" w:hAnsi="Calibri" w:cs="Calibri"/>
          <w:noProof/>
          <w:sz w:val="22"/>
          <w:lang w:val="en-US"/>
        </w:rPr>
        <w:t xml:space="preserve">. Canberra, Australia: Australian Institute of Health and Welfare. Retrieved from </w:t>
      </w:r>
      <w:hyperlink r:id="rId60" w:history="1">
        <w:r w:rsidRPr="009D683D">
          <w:rPr>
            <w:rFonts w:ascii="Calibri" w:eastAsia="Calibri" w:hAnsi="Calibri" w:cs="Calibri"/>
            <w:noProof/>
            <w:color w:val="0000FF"/>
            <w:sz w:val="22"/>
            <w:u w:val="single"/>
            <w:lang w:val="en-US"/>
          </w:rPr>
          <w:t>https://www.aihw.gov.au/reports/indigenous-australians/life-expectancy-and-mortality-of-aboriginal-and-to/contents/table-of-contents</w:t>
        </w:r>
      </w:hyperlink>
    </w:p>
    <w:p w14:paraId="0C39F74A"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AIHW. (2014). </w:t>
      </w:r>
      <w:r w:rsidRPr="009D683D">
        <w:rPr>
          <w:rFonts w:ascii="Calibri" w:eastAsia="Calibri" w:hAnsi="Calibri" w:cs="Calibri"/>
          <w:i/>
          <w:noProof/>
          <w:sz w:val="22"/>
          <w:lang w:val="en-US"/>
        </w:rPr>
        <w:t>Mortality and life expectancy of Indigenous Australians 2008 to 2012</w:t>
      </w:r>
      <w:r w:rsidRPr="009D683D">
        <w:rPr>
          <w:rFonts w:ascii="Calibri" w:eastAsia="Calibri" w:hAnsi="Calibri" w:cs="Calibri"/>
          <w:noProof/>
          <w:sz w:val="22"/>
          <w:lang w:val="en-US"/>
        </w:rPr>
        <w:t xml:space="preserve">. Canberra, Australia: Australian Institute of Health and Welfare. Retrieved from </w:t>
      </w:r>
      <w:hyperlink r:id="rId61" w:history="1">
        <w:r w:rsidRPr="009D683D">
          <w:rPr>
            <w:rFonts w:ascii="Calibri" w:eastAsia="Calibri" w:hAnsi="Calibri" w:cs="Calibri"/>
            <w:noProof/>
            <w:color w:val="0000FF"/>
            <w:sz w:val="22"/>
            <w:u w:val="single"/>
            <w:lang w:val="en-US"/>
          </w:rPr>
          <w:t>https://www.aihw.gov.au/reports/indigenous-australians/mortality-life-expectancy-2008-2012/contents/summary</w:t>
        </w:r>
      </w:hyperlink>
    </w:p>
    <w:p w14:paraId="26D07746"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AIHW. (2015). </w:t>
      </w:r>
      <w:r w:rsidRPr="009D683D">
        <w:rPr>
          <w:rFonts w:ascii="Calibri" w:eastAsia="Calibri" w:hAnsi="Calibri" w:cs="Calibri"/>
          <w:i/>
          <w:noProof/>
          <w:sz w:val="22"/>
          <w:lang w:val="en-US"/>
        </w:rPr>
        <w:t>The health and welfare of Australia's Aboriginal and Torres Strait Islander peoples</w:t>
      </w:r>
      <w:r w:rsidRPr="009D683D">
        <w:rPr>
          <w:rFonts w:ascii="Calibri" w:eastAsia="Calibri" w:hAnsi="Calibri" w:cs="Calibri"/>
          <w:noProof/>
          <w:sz w:val="22"/>
          <w:lang w:val="en-US"/>
        </w:rPr>
        <w:t xml:space="preserve">. Canberra, Australia: Australian Institute of Health and Welfare. Retrieved from </w:t>
      </w:r>
      <w:hyperlink r:id="rId62" w:history="1">
        <w:r w:rsidRPr="009D683D">
          <w:rPr>
            <w:rFonts w:ascii="Calibri" w:eastAsia="Calibri" w:hAnsi="Calibri" w:cs="Calibri"/>
            <w:noProof/>
            <w:color w:val="0000FF"/>
            <w:sz w:val="22"/>
            <w:u w:val="single"/>
            <w:lang w:val="en-US"/>
          </w:rPr>
          <w:t>https://www.aihw.gov.au/reports/indigenous-health-welfare/indigenous-health-welfare-2015/contents/table-of-contents</w:t>
        </w:r>
      </w:hyperlink>
    </w:p>
    <w:p w14:paraId="267C8469"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AIHW. (2017). </w:t>
      </w:r>
      <w:r w:rsidRPr="009D683D">
        <w:rPr>
          <w:rFonts w:ascii="Calibri" w:eastAsia="Calibri" w:hAnsi="Calibri" w:cs="Calibri"/>
          <w:i/>
          <w:noProof/>
          <w:sz w:val="22"/>
          <w:lang w:val="en-US"/>
        </w:rPr>
        <w:t xml:space="preserve">Weight loss surgery in Australia 2014-15: Australian hospital statistics </w:t>
      </w:r>
      <w:r w:rsidRPr="009D683D">
        <w:rPr>
          <w:rFonts w:ascii="Calibri" w:eastAsia="Calibri" w:hAnsi="Calibri" w:cs="Calibri"/>
          <w:noProof/>
          <w:sz w:val="22"/>
          <w:lang w:val="en-US"/>
        </w:rPr>
        <w:t xml:space="preserve">Canberra, Australia: Australian Institute of Health and Welfare. Retrieved from </w:t>
      </w:r>
      <w:hyperlink r:id="rId63" w:history="1">
        <w:r w:rsidRPr="009D683D">
          <w:rPr>
            <w:rFonts w:ascii="Calibri" w:eastAsia="Calibri" w:hAnsi="Calibri" w:cs="Calibri"/>
            <w:noProof/>
            <w:color w:val="0000FF"/>
            <w:sz w:val="22"/>
            <w:u w:val="single"/>
            <w:lang w:val="en-US"/>
          </w:rPr>
          <w:t>https://www.aihw.gov.au/reports/hospitals/ahs-2014-15-weight-loss-surgery/contents/table-of-contents</w:t>
        </w:r>
      </w:hyperlink>
    </w:p>
    <w:p w14:paraId="11F06AAB"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Alexander, J. W., Goodman, H. R., Gersin, K., Cardi, M., Austin, J., Goel, S., . . . Woodle, E. S. (2004). Gastric bypass in morbidly obese patients with chronic renal failure and kidney transplant. </w:t>
      </w:r>
      <w:r w:rsidRPr="009D683D">
        <w:rPr>
          <w:rFonts w:ascii="Calibri" w:eastAsia="Calibri" w:hAnsi="Calibri" w:cs="Calibri"/>
          <w:i/>
          <w:noProof/>
          <w:sz w:val="22"/>
          <w:lang w:val="en-US"/>
        </w:rPr>
        <w:t>Transplantation, 78</w:t>
      </w:r>
      <w:r w:rsidRPr="009D683D">
        <w:rPr>
          <w:rFonts w:ascii="Calibri" w:eastAsia="Calibri" w:hAnsi="Calibri" w:cs="Calibri"/>
          <w:noProof/>
          <w:sz w:val="22"/>
          <w:lang w:val="en-US"/>
        </w:rPr>
        <w:t>(3), 469-474. doi:10.1097/01.Tp.0000128858.84976.27</w:t>
      </w:r>
    </w:p>
    <w:p w14:paraId="4F38D047"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Amery, R. (2017). Recognising the communication gap in Indigenous health care. </w:t>
      </w:r>
      <w:r w:rsidRPr="009D683D">
        <w:rPr>
          <w:rFonts w:ascii="Calibri" w:eastAsia="Calibri" w:hAnsi="Calibri" w:cs="Calibri"/>
          <w:i/>
          <w:noProof/>
          <w:sz w:val="22"/>
          <w:lang w:val="en-US"/>
        </w:rPr>
        <w:t>Med J Aust, 207</w:t>
      </w:r>
      <w:r w:rsidRPr="009D683D">
        <w:rPr>
          <w:rFonts w:ascii="Calibri" w:eastAsia="Calibri" w:hAnsi="Calibri" w:cs="Calibri"/>
          <w:noProof/>
          <w:sz w:val="22"/>
          <w:lang w:val="en-US"/>
        </w:rPr>
        <w:t xml:space="preserve">(1), 13-15. doi:10.5694/mja17.00042 </w:t>
      </w:r>
    </w:p>
    <w:p w14:paraId="519B096F"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Anderson, K., Cunningham, J., Devitt, J., &amp; Cass, A. (2013). The IMPAKT study: using qualitative research to explore the impact of end-stage kidney disease and its treatments on aboriginal and Torres Strait Islander Australians. </w:t>
      </w:r>
      <w:r w:rsidRPr="009D683D">
        <w:rPr>
          <w:rFonts w:ascii="Calibri" w:eastAsia="Calibri" w:hAnsi="Calibri" w:cs="Calibri"/>
          <w:i/>
          <w:noProof/>
          <w:sz w:val="22"/>
          <w:lang w:val="en-US"/>
        </w:rPr>
        <w:t>Kidney Int Suppl (2011), 3</w:t>
      </w:r>
      <w:r w:rsidRPr="009D683D">
        <w:rPr>
          <w:rFonts w:ascii="Calibri" w:eastAsia="Calibri" w:hAnsi="Calibri" w:cs="Calibri"/>
          <w:noProof/>
          <w:sz w:val="22"/>
          <w:lang w:val="en-US"/>
        </w:rPr>
        <w:t>(2), 223-226. doi:10.1038/kisup.2013.19</w:t>
      </w:r>
    </w:p>
    <w:p w14:paraId="43C5D8C4"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lastRenderedPageBreak/>
        <w:t xml:space="preserve">Anderson, K., Cunningham, J., Devitt, J., Preece, C., &amp; Cass, A. (2012). “Looking back to my family”: Indigenous Australian patients’ experience of hemodialysis. </w:t>
      </w:r>
      <w:r w:rsidRPr="009D683D">
        <w:rPr>
          <w:rFonts w:ascii="Calibri" w:eastAsia="Calibri" w:hAnsi="Calibri" w:cs="Calibri"/>
          <w:i/>
          <w:noProof/>
          <w:sz w:val="22"/>
          <w:lang w:val="en-US"/>
        </w:rPr>
        <w:t>BMC Nephrol, 13</w:t>
      </w:r>
      <w:r w:rsidRPr="009D683D">
        <w:rPr>
          <w:rFonts w:ascii="Calibri" w:eastAsia="Calibri" w:hAnsi="Calibri" w:cs="Calibri"/>
          <w:noProof/>
          <w:sz w:val="22"/>
          <w:lang w:val="en-US"/>
        </w:rPr>
        <w:t>. doi:10.1186/1471-2369-13-114</w:t>
      </w:r>
    </w:p>
    <w:p w14:paraId="1819B132"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Anderson, K., Devitt, J., Cunningham, J., Preece, C., &amp; Cass, A. (2008). “All they said was my kidneys were dead”: Indigenous Australian patients’ understanding of their chronic kidney disease. </w:t>
      </w:r>
      <w:r w:rsidRPr="009D683D">
        <w:rPr>
          <w:rFonts w:ascii="Calibri" w:eastAsia="Calibri" w:hAnsi="Calibri" w:cs="Calibri"/>
          <w:i/>
          <w:noProof/>
          <w:sz w:val="22"/>
          <w:lang w:val="en-US"/>
        </w:rPr>
        <w:t>Med J Aust, 189</w:t>
      </w:r>
      <w:r w:rsidRPr="009D683D">
        <w:rPr>
          <w:rFonts w:ascii="Calibri" w:eastAsia="Calibri" w:hAnsi="Calibri" w:cs="Calibri"/>
          <w:noProof/>
          <w:sz w:val="22"/>
          <w:lang w:val="en-US"/>
        </w:rPr>
        <w:t xml:space="preserve">(9), 499-503. </w:t>
      </w:r>
    </w:p>
    <w:p w14:paraId="2CAF8469"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Anderson, K., Devitt, J., Cunningham, J., Preece, C., Jardine, M., &amp; Cass, A. (2012). If you can't comply with dialysis, how do you expect me to trust you with transplantation? Australian nephrologists' views on indigenous Australians' 'non-compliance' and their suitability for kidney transplantation. </w:t>
      </w:r>
      <w:r w:rsidRPr="009D683D">
        <w:rPr>
          <w:rFonts w:ascii="Calibri" w:eastAsia="Calibri" w:hAnsi="Calibri" w:cs="Calibri"/>
          <w:i/>
          <w:noProof/>
          <w:sz w:val="22"/>
          <w:lang w:val="en-US"/>
        </w:rPr>
        <w:t>Int J Equity Health, 11</w:t>
      </w:r>
      <w:r w:rsidRPr="009D683D">
        <w:rPr>
          <w:rFonts w:ascii="Calibri" w:eastAsia="Calibri" w:hAnsi="Calibri" w:cs="Calibri"/>
          <w:noProof/>
          <w:sz w:val="22"/>
          <w:lang w:val="en-US"/>
        </w:rPr>
        <w:t>(1), 21. doi:10.1186/1475-9276-11-21</w:t>
      </w:r>
    </w:p>
    <w:p w14:paraId="6477814A"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Anderson, K., Yeates, K., Cunningham, J., Devitt, J., &amp; Cass, A. (2009). They really want to go back home, they hate it here: the importance of place in Canadian health professionals' views on the barriers facing Aboriginal patients accessing kidney transplants. </w:t>
      </w:r>
      <w:r w:rsidRPr="009D683D">
        <w:rPr>
          <w:rFonts w:ascii="Calibri" w:eastAsia="Calibri" w:hAnsi="Calibri" w:cs="Calibri"/>
          <w:i/>
          <w:noProof/>
          <w:sz w:val="22"/>
          <w:lang w:val="en-US"/>
        </w:rPr>
        <w:t>Health Place, 15</w:t>
      </w:r>
      <w:r w:rsidRPr="009D683D">
        <w:rPr>
          <w:rFonts w:ascii="Calibri" w:eastAsia="Calibri" w:hAnsi="Calibri" w:cs="Calibri"/>
          <w:noProof/>
          <w:sz w:val="22"/>
          <w:lang w:val="en-US"/>
        </w:rPr>
        <w:t>(1), 390-393. doi:10.1016/j.healthplace.2008.03.002</w:t>
      </w:r>
    </w:p>
    <w:p w14:paraId="57A7E938"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ANZDATA. (2018). </w:t>
      </w:r>
      <w:r w:rsidRPr="009D683D">
        <w:rPr>
          <w:rFonts w:ascii="Calibri" w:eastAsia="Calibri" w:hAnsi="Calibri" w:cs="Calibri"/>
          <w:i/>
          <w:noProof/>
          <w:sz w:val="22"/>
          <w:lang w:val="en-US"/>
        </w:rPr>
        <w:t>Chapter 10: ESKD in Indigenous Peoples of Australia and Aotearoa/New Zealand</w:t>
      </w:r>
      <w:r w:rsidRPr="009D683D">
        <w:rPr>
          <w:rFonts w:ascii="Calibri" w:eastAsia="Calibri" w:hAnsi="Calibri" w:cs="Calibri"/>
          <w:noProof/>
          <w:sz w:val="22"/>
          <w:lang w:val="en-US"/>
        </w:rPr>
        <w:t>. Adelaide, Australia: ANZDATA Registry.</w:t>
      </w:r>
    </w:p>
    <w:p w14:paraId="5FAAF46A"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Aspin, C., Brown, N., Jowsey, T., Yen, L., &amp; Leeder, S. (2012). Strategic approaches to enhanced health service delivery for Aboriginal and Torres Strait Islander people with chronic illness: A qualitative study. </w:t>
      </w:r>
      <w:r w:rsidRPr="009D683D">
        <w:rPr>
          <w:rFonts w:ascii="Calibri" w:eastAsia="Calibri" w:hAnsi="Calibri" w:cs="Calibri"/>
          <w:i/>
          <w:noProof/>
          <w:sz w:val="22"/>
          <w:lang w:val="en-US"/>
        </w:rPr>
        <w:t>BMC Health Serv Res, 12</w:t>
      </w:r>
      <w:r w:rsidRPr="009D683D">
        <w:rPr>
          <w:rFonts w:ascii="Calibri" w:eastAsia="Calibri" w:hAnsi="Calibri" w:cs="Calibri"/>
          <w:noProof/>
          <w:sz w:val="22"/>
          <w:lang w:val="en-US"/>
        </w:rPr>
        <w:t>. doi:10.1186/1472-6963-12-143</w:t>
      </w:r>
    </w:p>
    <w:p w14:paraId="3C6F7600"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Baba, J. T., Brolan, C. E., &amp; Hill, P. S. (2014). Aboriginal medical services cure more than illness: a qualitative study of how Indigenous services address the health impacts of discrimination in Brisbane communities. </w:t>
      </w:r>
      <w:r w:rsidRPr="009D683D">
        <w:rPr>
          <w:rFonts w:ascii="Calibri" w:eastAsia="Calibri" w:hAnsi="Calibri" w:cs="Calibri"/>
          <w:i/>
          <w:noProof/>
          <w:sz w:val="22"/>
          <w:lang w:val="en-US"/>
        </w:rPr>
        <w:t>Int J Equity Health, 13</w:t>
      </w:r>
      <w:r w:rsidRPr="009D683D">
        <w:rPr>
          <w:rFonts w:ascii="Calibri" w:eastAsia="Calibri" w:hAnsi="Calibri" w:cs="Calibri"/>
          <w:noProof/>
          <w:sz w:val="22"/>
          <w:lang w:val="en-US"/>
        </w:rPr>
        <w:t>(1), 56. doi:10.1186/1475-9276-13-56</w:t>
      </w:r>
    </w:p>
    <w:p w14:paraId="1B0EC2A2"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Barraclough, K. A., Grace, B. S., Lawton, P., &amp; McDonald, S. P. (2016). Residential location and kidney transplant outcomes in indigenous compared with non-Indigenous Australians. </w:t>
      </w:r>
      <w:r w:rsidRPr="009D683D">
        <w:rPr>
          <w:rFonts w:ascii="Calibri" w:eastAsia="Calibri" w:hAnsi="Calibri" w:cs="Calibri"/>
          <w:i/>
          <w:noProof/>
          <w:sz w:val="22"/>
          <w:lang w:val="en-US"/>
        </w:rPr>
        <w:t>Transplantation, 100</w:t>
      </w:r>
      <w:r w:rsidRPr="009D683D">
        <w:rPr>
          <w:rFonts w:ascii="Calibri" w:eastAsia="Calibri" w:hAnsi="Calibri" w:cs="Calibri"/>
          <w:noProof/>
          <w:sz w:val="22"/>
          <w:lang w:val="en-US"/>
        </w:rPr>
        <w:t>. doi:10.1097/tp.0000000000001007</w:t>
      </w:r>
    </w:p>
    <w:p w14:paraId="204D7228"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Berquist, R. K., Berquist, W. E., Esquivel, C. O., Cox, K. L., Wayman, K. I., &amp; Litt, I. F. (2008). Non-adherence to post-transplant care: Prevalence, risk factors and outcomes in adolescent liver transplant recipients. </w:t>
      </w:r>
      <w:r w:rsidRPr="009D683D">
        <w:rPr>
          <w:rFonts w:ascii="Calibri" w:eastAsia="Calibri" w:hAnsi="Calibri" w:cs="Calibri"/>
          <w:i/>
          <w:noProof/>
          <w:sz w:val="22"/>
          <w:lang w:val="en-US"/>
        </w:rPr>
        <w:t>Pediatric Transplantation, 12</w:t>
      </w:r>
      <w:r w:rsidRPr="009D683D">
        <w:rPr>
          <w:rFonts w:ascii="Calibri" w:eastAsia="Calibri" w:hAnsi="Calibri" w:cs="Calibri"/>
          <w:noProof/>
          <w:sz w:val="22"/>
          <w:lang w:val="en-US"/>
        </w:rPr>
        <w:t>(2), 194-200. doi:10.1111/j.1399-3046.2007.00809.x</w:t>
      </w:r>
    </w:p>
    <w:p w14:paraId="56212FF0"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Boan, P., Swaminathan, R., &amp; Irish, A. (2017). Infectious complications in indigenous renal transplant recipients in Western Australia. </w:t>
      </w:r>
      <w:r w:rsidRPr="009D683D">
        <w:rPr>
          <w:rFonts w:ascii="Calibri" w:eastAsia="Calibri" w:hAnsi="Calibri" w:cs="Calibri"/>
          <w:i/>
          <w:noProof/>
          <w:sz w:val="22"/>
          <w:lang w:val="en-US"/>
        </w:rPr>
        <w:t>Intern Med J, 47</w:t>
      </w:r>
      <w:r w:rsidRPr="009D683D">
        <w:rPr>
          <w:rFonts w:ascii="Calibri" w:eastAsia="Calibri" w:hAnsi="Calibri" w:cs="Calibri"/>
          <w:noProof/>
          <w:sz w:val="22"/>
          <w:lang w:val="en-US"/>
        </w:rPr>
        <w:t>(6), 648-655. doi:10.1111/imj.13450</w:t>
      </w:r>
    </w:p>
    <w:p w14:paraId="5238E7FF"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Browne, A. J., Varcoe, C., Smye, V., Reimer‐Kirkham, S., Lynam, M. J., &amp; Wong, S. (2009). Cultural safety and the challenges of translating critically oriented knowledge in practice. </w:t>
      </w:r>
      <w:r w:rsidRPr="009D683D">
        <w:rPr>
          <w:rFonts w:ascii="Calibri" w:eastAsia="Calibri" w:hAnsi="Calibri" w:cs="Calibri"/>
          <w:i/>
          <w:noProof/>
          <w:sz w:val="22"/>
          <w:lang w:val="en-US"/>
        </w:rPr>
        <w:t>Nurs Philos, 10</w:t>
      </w:r>
      <w:r w:rsidRPr="009D683D">
        <w:rPr>
          <w:rFonts w:ascii="Calibri" w:eastAsia="Calibri" w:hAnsi="Calibri" w:cs="Calibri"/>
          <w:noProof/>
          <w:sz w:val="22"/>
          <w:lang w:val="en-US"/>
        </w:rPr>
        <w:t>. doi:10.1111/j.1466-769X.2009.00406.x</w:t>
      </w:r>
    </w:p>
    <w:p w14:paraId="6C290B5C"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Butler, J. A., Roderick, P., Mullee, M., Mason, J., &amp; Peveler, R. C. (2004). Frequency and impact of nonadherence to immunosuppressants after renal transplantation: A systematic review.</w:t>
      </w:r>
      <w:r w:rsidRPr="009D683D">
        <w:rPr>
          <w:rFonts w:ascii="Calibri" w:eastAsia="Calibri" w:hAnsi="Calibri" w:cs="Calibri"/>
          <w:i/>
          <w:noProof/>
          <w:sz w:val="22"/>
          <w:lang w:val="en-US"/>
        </w:rPr>
        <w:t xml:space="preserve"> 77</w:t>
      </w:r>
      <w:r w:rsidRPr="009D683D">
        <w:rPr>
          <w:rFonts w:ascii="Calibri" w:eastAsia="Calibri" w:hAnsi="Calibri" w:cs="Calibri"/>
          <w:noProof/>
          <w:sz w:val="22"/>
          <w:lang w:val="en-US"/>
        </w:rPr>
        <w:t>, 769-776. doi:10.1097/01.TP.0000110408.83054.88</w:t>
      </w:r>
    </w:p>
    <w:p w14:paraId="7DA5AD92"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Canuto, K. J., McDermott, R. A., Cargo, M., &amp; Esterman, A. J. (2011). Study protocol: a pragmatic randomised controlled trial of a 12-week physical activity and nutritional education program for overweight Aboriginal and Torres Strait Islander women. </w:t>
      </w:r>
      <w:r w:rsidRPr="009D683D">
        <w:rPr>
          <w:rFonts w:ascii="Calibri" w:eastAsia="Calibri" w:hAnsi="Calibri" w:cs="Calibri"/>
          <w:i/>
          <w:noProof/>
          <w:sz w:val="22"/>
          <w:lang w:val="en-US"/>
        </w:rPr>
        <w:t>BMC Public Health, 11</w:t>
      </w:r>
      <w:r w:rsidRPr="009D683D">
        <w:rPr>
          <w:rFonts w:ascii="Calibri" w:eastAsia="Calibri" w:hAnsi="Calibri" w:cs="Calibri"/>
          <w:noProof/>
          <w:sz w:val="22"/>
          <w:lang w:val="en-US"/>
        </w:rPr>
        <w:t>, 655. doi:10.1186/1471-2458-11-655</w:t>
      </w:r>
    </w:p>
    <w:p w14:paraId="5800C2A2"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Cass, A., Cunningham, J., Snelling, P., &amp; Ayanian, J. Z. (2003). Late referral to a nephrologist reduces access to renal transplantation. </w:t>
      </w:r>
      <w:r w:rsidRPr="009D683D">
        <w:rPr>
          <w:rFonts w:ascii="Calibri" w:eastAsia="Calibri" w:hAnsi="Calibri" w:cs="Calibri"/>
          <w:i/>
          <w:noProof/>
          <w:sz w:val="22"/>
          <w:lang w:val="en-US"/>
        </w:rPr>
        <w:t>Am J Kidney Dis, 42</w:t>
      </w:r>
      <w:r w:rsidRPr="009D683D">
        <w:rPr>
          <w:rFonts w:ascii="Calibri" w:eastAsia="Calibri" w:hAnsi="Calibri" w:cs="Calibri"/>
          <w:noProof/>
          <w:sz w:val="22"/>
          <w:lang w:val="en-US"/>
        </w:rPr>
        <w:t>. doi:10.1016/j.ajkd.2003.07.006</w:t>
      </w:r>
    </w:p>
    <w:p w14:paraId="30379FC9"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Cass, A., Cunningham, J., Snelling, P., Wang, Z., &amp; Hoy, W. (2003). Renal transplantation for Indigenous Australians: identifying the barriers to equitable access. </w:t>
      </w:r>
      <w:r w:rsidRPr="009D683D">
        <w:rPr>
          <w:rFonts w:ascii="Calibri" w:eastAsia="Calibri" w:hAnsi="Calibri" w:cs="Calibri"/>
          <w:i/>
          <w:noProof/>
          <w:sz w:val="22"/>
          <w:lang w:val="en-US"/>
        </w:rPr>
        <w:t>Ethn Health, 8</w:t>
      </w:r>
      <w:r w:rsidRPr="009D683D">
        <w:rPr>
          <w:rFonts w:ascii="Calibri" w:eastAsia="Calibri" w:hAnsi="Calibri" w:cs="Calibri"/>
          <w:noProof/>
          <w:sz w:val="22"/>
          <w:lang w:val="en-US"/>
        </w:rPr>
        <w:t>(2), 111-119. doi:10.1080/13557850303562</w:t>
      </w:r>
    </w:p>
    <w:p w14:paraId="60F9C12D"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Cass, A., Cunningham, J., Wang, Z., &amp; Hoy, W. (2001). Regional variation in the incidence of end-stage renal disease in Indigenous Australians. </w:t>
      </w:r>
      <w:r w:rsidRPr="009D683D">
        <w:rPr>
          <w:rFonts w:ascii="Calibri" w:eastAsia="Calibri" w:hAnsi="Calibri" w:cs="Calibri"/>
          <w:i/>
          <w:noProof/>
          <w:sz w:val="22"/>
          <w:lang w:val="en-US"/>
        </w:rPr>
        <w:t>Med J Aust, 175</w:t>
      </w:r>
      <w:r w:rsidRPr="009D683D">
        <w:rPr>
          <w:rFonts w:ascii="Calibri" w:eastAsia="Calibri" w:hAnsi="Calibri" w:cs="Calibri"/>
          <w:noProof/>
          <w:sz w:val="22"/>
          <w:lang w:val="en-US"/>
        </w:rPr>
        <w:t xml:space="preserve">(1), 24-27. </w:t>
      </w:r>
    </w:p>
    <w:p w14:paraId="6874CF69"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Cass, A., Lowell, A., Christie, M., Snelling, P. L., Flack, M., Marrnganyin, B., &amp; Brown, I. (2002). Sharing the true stories: improving communication between Aboriginal patients and healthcare workers. </w:t>
      </w:r>
      <w:r w:rsidRPr="009D683D">
        <w:rPr>
          <w:rFonts w:ascii="Calibri" w:eastAsia="Calibri" w:hAnsi="Calibri" w:cs="Calibri"/>
          <w:i/>
          <w:noProof/>
          <w:sz w:val="22"/>
          <w:lang w:val="en-US"/>
        </w:rPr>
        <w:t>Med J Aust, 176</w:t>
      </w:r>
      <w:r w:rsidRPr="009D683D">
        <w:rPr>
          <w:rFonts w:ascii="Calibri" w:eastAsia="Calibri" w:hAnsi="Calibri" w:cs="Calibri"/>
          <w:noProof/>
          <w:sz w:val="22"/>
          <w:lang w:val="en-US"/>
        </w:rPr>
        <w:t xml:space="preserve">(10), 466-470. </w:t>
      </w:r>
    </w:p>
    <w:p w14:paraId="6445D6D8"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lastRenderedPageBreak/>
        <w:t xml:space="preserve">Chadban, S. J., Barraclough, K. A., Campbell, S. B., Clark, C. J., Coates, P. T., Cohney, S. J., . . . Kidney Health Australia Caring for Australians with Renal, I. (2012). KHA-CARI guideline: KHA-CARI adaptation of the KDIGO Clinical Practice Guideline for the Care of Kidney Transplant Recipients. </w:t>
      </w:r>
      <w:r w:rsidRPr="009D683D">
        <w:rPr>
          <w:rFonts w:ascii="Calibri" w:eastAsia="Calibri" w:hAnsi="Calibri" w:cs="Calibri"/>
          <w:i/>
          <w:noProof/>
          <w:sz w:val="22"/>
          <w:lang w:val="en-US"/>
        </w:rPr>
        <w:t>Nephrology (Carlton), 17</w:t>
      </w:r>
      <w:r w:rsidRPr="009D683D">
        <w:rPr>
          <w:rFonts w:ascii="Calibri" w:eastAsia="Calibri" w:hAnsi="Calibri" w:cs="Calibri"/>
          <w:noProof/>
          <w:sz w:val="22"/>
          <w:lang w:val="en-US"/>
        </w:rPr>
        <w:t>(3), 204-214. doi:10.1111/j.1440-1797.2011.01559.x</w:t>
      </w:r>
    </w:p>
    <w:p w14:paraId="6650054B"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Chan, G., Garneau, P., &amp; Hajjar, R. (2015). The impact and treatment of obesity in kidney transplant candidates and recipients. </w:t>
      </w:r>
      <w:r w:rsidRPr="009D683D">
        <w:rPr>
          <w:rFonts w:ascii="Calibri" w:eastAsia="Calibri" w:hAnsi="Calibri" w:cs="Calibri"/>
          <w:i/>
          <w:noProof/>
          <w:sz w:val="22"/>
          <w:lang w:val="en-US"/>
        </w:rPr>
        <w:t>Can J Kidney Health Dis, 2</w:t>
      </w:r>
      <w:r w:rsidRPr="009D683D">
        <w:rPr>
          <w:rFonts w:ascii="Calibri" w:eastAsia="Calibri" w:hAnsi="Calibri" w:cs="Calibri"/>
          <w:noProof/>
          <w:sz w:val="22"/>
          <w:lang w:val="en-US"/>
        </w:rPr>
        <w:t>, 26. doi:10.1186/s40697-015-0059-4</w:t>
      </w:r>
    </w:p>
    <w:p w14:paraId="26E7EC82"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Chang, A. R., Grams, M. E., &amp; Navaneethan, S. D. (2017). Bariatric Surgery and Kidney-Related Outcomes. </w:t>
      </w:r>
      <w:r w:rsidRPr="009D683D">
        <w:rPr>
          <w:rFonts w:ascii="Calibri" w:eastAsia="Calibri" w:hAnsi="Calibri" w:cs="Calibri"/>
          <w:i/>
          <w:noProof/>
          <w:sz w:val="22"/>
          <w:lang w:val="en-US"/>
        </w:rPr>
        <w:t>Kidney Int Rep, 2</w:t>
      </w:r>
      <w:r w:rsidRPr="009D683D">
        <w:rPr>
          <w:rFonts w:ascii="Calibri" w:eastAsia="Calibri" w:hAnsi="Calibri" w:cs="Calibri"/>
          <w:noProof/>
          <w:sz w:val="22"/>
          <w:lang w:val="en-US"/>
        </w:rPr>
        <w:t>(2), 261-270. doi:10.1016/j.ekir.2017.01.010</w:t>
      </w:r>
    </w:p>
    <w:p w14:paraId="2A68FE09"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Chang, S. H., &amp; McDonald, S. P. (2008). Post-kidney transplant weight change as marker of poor survival outcomes. </w:t>
      </w:r>
      <w:r w:rsidRPr="009D683D">
        <w:rPr>
          <w:rFonts w:ascii="Calibri" w:eastAsia="Calibri" w:hAnsi="Calibri" w:cs="Calibri"/>
          <w:i/>
          <w:noProof/>
          <w:sz w:val="22"/>
          <w:lang w:val="en-US"/>
        </w:rPr>
        <w:t>Transplantation, 85</w:t>
      </w:r>
      <w:r w:rsidRPr="009D683D">
        <w:rPr>
          <w:rFonts w:ascii="Calibri" w:eastAsia="Calibri" w:hAnsi="Calibri" w:cs="Calibri"/>
          <w:noProof/>
          <w:sz w:val="22"/>
          <w:lang w:val="en-US"/>
        </w:rPr>
        <w:t>(10), 1443-1448. doi:10.1097/TP.0b013e31816f1cd3</w:t>
      </w:r>
    </w:p>
    <w:p w14:paraId="18E66BB3"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Chapman, R. R., &amp; Berggren, J. R. (2005). Radical contextualization: contributions to an anthropology of racial/ethnic health disparities. </w:t>
      </w:r>
      <w:r w:rsidRPr="009D683D">
        <w:rPr>
          <w:rFonts w:ascii="Calibri" w:eastAsia="Calibri" w:hAnsi="Calibri" w:cs="Calibri"/>
          <w:i/>
          <w:noProof/>
          <w:sz w:val="22"/>
          <w:lang w:val="en-US"/>
        </w:rPr>
        <w:t>Health (London), 9</w:t>
      </w:r>
      <w:r w:rsidRPr="009D683D">
        <w:rPr>
          <w:rFonts w:ascii="Calibri" w:eastAsia="Calibri" w:hAnsi="Calibri" w:cs="Calibri"/>
          <w:noProof/>
          <w:sz w:val="22"/>
          <w:lang w:val="en-US"/>
        </w:rPr>
        <w:t>(2), 145-167. doi:10.1177/1363459305050583</w:t>
      </w:r>
    </w:p>
    <w:p w14:paraId="5ABE6FFE"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Cosio, F. G., Hickson, L. J., Griffin, M. D., Stegall, M. D., &amp; Kudva, Y. (2008). Patient survival and cardiovascular risk after kidney transplantation: the challenge of diabetes. </w:t>
      </w:r>
      <w:r w:rsidRPr="009D683D">
        <w:rPr>
          <w:rFonts w:ascii="Calibri" w:eastAsia="Calibri" w:hAnsi="Calibri" w:cs="Calibri"/>
          <w:i/>
          <w:noProof/>
          <w:sz w:val="22"/>
          <w:lang w:val="en-US"/>
        </w:rPr>
        <w:t>Am J Transplant, 8</w:t>
      </w:r>
      <w:r w:rsidRPr="009D683D">
        <w:rPr>
          <w:rFonts w:ascii="Calibri" w:eastAsia="Calibri" w:hAnsi="Calibri" w:cs="Calibri"/>
          <w:noProof/>
          <w:sz w:val="22"/>
          <w:lang w:val="en-US"/>
        </w:rPr>
        <w:t>(3), 593-599. doi:10.1111/j.1600-6143.2007.02101.x</w:t>
      </w:r>
    </w:p>
    <w:p w14:paraId="56DB456E"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Davis, J. S., Cheng, A. C., McMillan, M., Humphrey, A. B., Stephens, D. P., &amp; Anstey, N. M. (2011). Sepsis in the tropical Top End of Australia's Northern Territory: disease burden and impact on Indigenous Australians. </w:t>
      </w:r>
      <w:r w:rsidRPr="009D683D">
        <w:rPr>
          <w:rFonts w:ascii="Calibri" w:eastAsia="Calibri" w:hAnsi="Calibri" w:cs="Calibri"/>
          <w:i/>
          <w:noProof/>
          <w:sz w:val="22"/>
          <w:lang w:val="en-US"/>
        </w:rPr>
        <w:t>Med J Aust, 194</w:t>
      </w:r>
      <w:r w:rsidRPr="009D683D">
        <w:rPr>
          <w:rFonts w:ascii="Calibri" w:eastAsia="Calibri" w:hAnsi="Calibri" w:cs="Calibri"/>
          <w:noProof/>
          <w:sz w:val="22"/>
          <w:lang w:val="en-US"/>
        </w:rPr>
        <w:t xml:space="preserve">(10), 519-524. </w:t>
      </w:r>
    </w:p>
    <w:p w14:paraId="350364DA"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Davy, C., Harfield, S., McArthur, A., Munn, Z., &amp; Brown, A. (2016). Access to primary health care services for Indigenous peoples: A framework synthesis. </w:t>
      </w:r>
      <w:r w:rsidRPr="009D683D">
        <w:rPr>
          <w:rFonts w:ascii="Calibri" w:eastAsia="Calibri" w:hAnsi="Calibri" w:cs="Calibri"/>
          <w:i/>
          <w:noProof/>
          <w:sz w:val="22"/>
          <w:lang w:val="en-US"/>
        </w:rPr>
        <w:t>International Journal for Equity in Health, 15</w:t>
      </w:r>
      <w:r w:rsidRPr="009D683D">
        <w:rPr>
          <w:rFonts w:ascii="Calibri" w:eastAsia="Calibri" w:hAnsi="Calibri" w:cs="Calibri"/>
          <w:noProof/>
          <w:sz w:val="22"/>
          <w:lang w:val="en-US"/>
        </w:rPr>
        <w:t>(1), 163. doi:10.1186/s12939-016-0450-5</w:t>
      </w:r>
    </w:p>
    <w:p w14:paraId="5E40DB81"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de Dassel, J. L., Ralph, A. P., &amp; Cass, A. (2017). A systematic review of adherence in Indigenous Australians: an opportunity to improve chronic condition management. </w:t>
      </w:r>
      <w:r w:rsidRPr="009D683D">
        <w:rPr>
          <w:rFonts w:ascii="Calibri" w:eastAsia="Calibri" w:hAnsi="Calibri" w:cs="Calibri"/>
          <w:i/>
          <w:noProof/>
          <w:sz w:val="22"/>
          <w:lang w:val="en-US"/>
        </w:rPr>
        <w:t>BMC Health Services Research, 17</w:t>
      </w:r>
      <w:r w:rsidRPr="009D683D">
        <w:rPr>
          <w:rFonts w:ascii="Calibri" w:eastAsia="Calibri" w:hAnsi="Calibri" w:cs="Calibri"/>
          <w:noProof/>
          <w:sz w:val="22"/>
          <w:lang w:val="en-US"/>
        </w:rPr>
        <w:t>(1), 845. doi:10.1186/s12913-017-2794-y</w:t>
      </w:r>
    </w:p>
    <w:p w14:paraId="7931DBAC"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De Geest, S., &amp; Sabate, E. (2003). Adherence to long-term therapies: evidence for action. </w:t>
      </w:r>
      <w:r w:rsidRPr="009D683D">
        <w:rPr>
          <w:rFonts w:ascii="Calibri" w:eastAsia="Calibri" w:hAnsi="Calibri" w:cs="Calibri"/>
          <w:i/>
          <w:noProof/>
          <w:sz w:val="22"/>
          <w:lang w:val="en-US"/>
        </w:rPr>
        <w:t>Eur J Cardiovasc Nurs, 2</w:t>
      </w:r>
      <w:r w:rsidRPr="009D683D">
        <w:rPr>
          <w:rFonts w:ascii="Calibri" w:eastAsia="Calibri" w:hAnsi="Calibri" w:cs="Calibri"/>
          <w:noProof/>
          <w:sz w:val="22"/>
          <w:lang w:val="en-US"/>
        </w:rPr>
        <w:t>(4), 323. doi:10.1016/S1474-5151(03)00091-4</w:t>
      </w:r>
    </w:p>
    <w:p w14:paraId="08C54056"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Denhaerynck, K., Dobbels, F., Cleemput, I., Desmyttere, A., Schafer-Keller, P., Schaub, S., &amp; De Geest, S. (2005). Prevalence, consequences, and determinants of nonadherence in adult renal transplant patients: a literature review. </w:t>
      </w:r>
      <w:r w:rsidRPr="009D683D">
        <w:rPr>
          <w:rFonts w:ascii="Calibri" w:eastAsia="Calibri" w:hAnsi="Calibri" w:cs="Calibri"/>
          <w:i/>
          <w:noProof/>
          <w:sz w:val="22"/>
          <w:lang w:val="en-US"/>
        </w:rPr>
        <w:t>Transpl Int, 18</w:t>
      </w:r>
      <w:r w:rsidRPr="009D683D">
        <w:rPr>
          <w:rFonts w:ascii="Calibri" w:eastAsia="Calibri" w:hAnsi="Calibri" w:cs="Calibri"/>
          <w:noProof/>
          <w:sz w:val="22"/>
          <w:lang w:val="en-US"/>
        </w:rPr>
        <w:t>(10), 1121-1133. doi:10.1111/j.1432-2277.2005.00176.x</w:t>
      </w:r>
    </w:p>
    <w:p w14:paraId="1241D79F"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Devitt, J., Anderson, K., Cunningham, J., Preece, C., Snelling, P., &amp; Cass, A. (2017). Difficult conversations: Australian Indigenous patients' views on kidney transplantation. </w:t>
      </w:r>
      <w:r w:rsidRPr="009D683D">
        <w:rPr>
          <w:rFonts w:ascii="Calibri" w:eastAsia="Calibri" w:hAnsi="Calibri" w:cs="Calibri"/>
          <w:i/>
          <w:noProof/>
          <w:sz w:val="22"/>
          <w:lang w:val="en-US"/>
        </w:rPr>
        <w:t>BMC Nephrol, 18</w:t>
      </w:r>
      <w:r w:rsidRPr="009D683D">
        <w:rPr>
          <w:rFonts w:ascii="Calibri" w:eastAsia="Calibri" w:hAnsi="Calibri" w:cs="Calibri"/>
          <w:noProof/>
          <w:sz w:val="22"/>
          <w:lang w:val="en-US"/>
        </w:rPr>
        <w:t>(1), 310. doi:10.1186/s12882-017-0726-z</w:t>
      </w:r>
    </w:p>
    <w:p w14:paraId="02F9A0F8"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Devitt, J., Cass, A., Cunningham, J., Preece, C., Anderson, K., &amp; Snelling, P. (2008). Study Protocol - Improving Access to Kidney Transplants (IMPAKT): a detailed account of a qualitative study investigating barriers to transplant for Australian Indigenous people with end-stage kidney disease. </w:t>
      </w:r>
      <w:r w:rsidRPr="009D683D">
        <w:rPr>
          <w:rFonts w:ascii="Calibri" w:eastAsia="Calibri" w:hAnsi="Calibri" w:cs="Calibri"/>
          <w:i/>
          <w:noProof/>
          <w:sz w:val="22"/>
          <w:lang w:val="en-US"/>
        </w:rPr>
        <w:t>BMC Health Serv Res, 8</w:t>
      </w:r>
      <w:r w:rsidRPr="009D683D">
        <w:rPr>
          <w:rFonts w:ascii="Calibri" w:eastAsia="Calibri" w:hAnsi="Calibri" w:cs="Calibri"/>
          <w:noProof/>
          <w:sz w:val="22"/>
          <w:lang w:val="en-US"/>
        </w:rPr>
        <w:t>. doi:10.1186/1472-6963-8-31</w:t>
      </w:r>
    </w:p>
    <w:p w14:paraId="3DA0F208"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Devitt, J., &amp; McMasters, A. (1998). </w:t>
      </w:r>
      <w:r w:rsidRPr="009D683D">
        <w:rPr>
          <w:rFonts w:ascii="Calibri" w:eastAsia="Calibri" w:hAnsi="Calibri" w:cs="Calibri"/>
          <w:i/>
          <w:noProof/>
          <w:sz w:val="22"/>
          <w:lang w:val="en-US"/>
        </w:rPr>
        <w:t>Living on Medicine: A Cultural Study of End-stage Renal Failure in Aboriginal People</w:t>
      </w:r>
      <w:r w:rsidRPr="009D683D">
        <w:rPr>
          <w:rFonts w:ascii="Calibri" w:eastAsia="Calibri" w:hAnsi="Calibri" w:cs="Calibri"/>
          <w:noProof/>
          <w:sz w:val="22"/>
          <w:lang w:val="en-US"/>
        </w:rPr>
        <w:t>: IAD Press.</w:t>
      </w:r>
    </w:p>
    <w:p w14:paraId="6271EFA1"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Dew, M. A., DiMartini, A. F., De Vito Dabbs, A., Myaskovsky, L., Steel, J., Unruh, M., . . . Greenhouse, J. B. (2007). Rates and risk factors for nonadherence to the medical regimen after adult solid organ transplantation. </w:t>
      </w:r>
      <w:r w:rsidRPr="009D683D">
        <w:rPr>
          <w:rFonts w:ascii="Calibri" w:eastAsia="Calibri" w:hAnsi="Calibri" w:cs="Calibri"/>
          <w:i/>
          <w:noProof/>
          <w:sz w:val="22"/>
          <w:lang w:val="en-US"/>
        </w:rPr>
        <w:t>Transplantation, 83</w:t>
      </w:r>
      <w:r w:rsidRPr="009D683D">
        <w:rPr>
          <w:rFonts w:ascii="Calibri" w:eastAsia="Calibri" w:hAnsi="Calibri" w:cs="Calibri"/>
          <w:noProof/>
          <w:sz w:val="22"/>
          <w:lang w:val="en-US"/>
        </w:rPr>
        <w:t>(7), 858-873. doi:10.1097/01.tp.0000258599.65257.a6</w:t>
      </w:r>
    </w:p>
    <w:p w14:paraId="4802D259"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Dey, A., Knox, S., Wang, H., Beard, F., &amp; McIntyre, P. (2016). Summary of National Surveillance Data on Vaccine Preventable Diseases in Australia, 2008–2011. </w:t>
      </w:r>
      <w:r w:rsidRPr="009D683D">
        <w:rPr>
          <w:rFonts w:ascii="Calibri" w:eastAsia="Calibri" w:hAnsi="Calibri" w:cs="Calibri"/>
          <w:i/>
          <w:noProof/>
          <w:sz w:val="22"/>
          <w:lang w:val="en-US"/>
        </w:rPr>
        <w:t>Communicable diseases intelligence quarterly report, 40</w:t>
      </w:r>
      <w:r w:rsidRPr="009D683D">
        <w:rPr>
          <w:rFonts w:ascii="Calibri" w:eastAsia="Calibri" w:hAnsi="Calibri" w:cs="Calibri"/>
          <w:noProof/>
          <w:sz w:val="22"/>
          <w:lang w:val="en-US"/>
        </w:rPr>
        <w:t xml:space="preserve">, S1-70. </w:t>
      </w:r>
    </w:p>
    <w:p w14:paraId="2F4C7886"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Di Carlo, H. N., &amp; Darras, F. S. (2015). Urologic considerations and complications in kidney transplant recipients. </w:t>
      </w:r>
      <w:r w:rsidRPr="009D683D">
        <w:rPr>
          <w:rFonts w:ascii="Calibri" w:eastAsia="Calibri" w:hAnsi="Calibri" w:cs="Calibri"/>
          <w:i/>
          <w:noProof/>
          <w:sz w:val="22"/>
          <w:lang w:val="en-US"/>
        </w:rPr>
        <w:t>Adv Chronic Kidney Dis, 22</w:t>
      </w:r>
      <w:r w:rsidRPr="009D683D">
        <w:rPr>
          <w:rFonts w:ascii="Calibri" w:eastAsia="Calibri" w:hAnsi="Calibri" w:cs="Calibri"/>
          <w:noProof/>
          <w:sz w:val="22"/>
          <w:lang w:val="en-US"/>
        </w:rPr>
        <w:t>(4), 306-311. doi:10.1053/j.ackd.2015.04.003</w:t>
      </w:r>
    </w:p>
    <w:p w14:paraId="23B87E81"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Do, H., Wong, G., Chapman, J., Craig, J. C., D'Orsogna, L., &amp; Lim, W. (2015). Comaprative survival benefits and costs of an eplet and broad antigen based matching system in deceased donor </w:t>
      </w:r>
      <w:r w:rsidRPr="009D683D">
        <w:rPr>
          <w:rFonts w:ascii="Calibri" w:eastAsia="Calibri" w:hAnsi="Calibri" w:cs="Calibri"/>
          <w:noProof/>
          <w:sz w:val="22"/>
          <w:lang w:val="en-US"/>
        </w:rPr>
        <w:lastRenderedPageBreak/>
        <w:t xml:space="preserve">kidney transplant allocation among Indigneous Australians [abstract]. </w:t>
      </w:r>
      <w:r w:rsidRPr="009D683D">
        <w:rPr>
          <w:rFonts w:ascii="Calibri" w:eastAsia="Calibri" w:hAnsi="Calibri" w:cs="Calibri"/>
          <w:i/>
          <w:noProof/>
          <w:sz w:val="22"/>
          <w:lang w:val="en-US"/>
        </w:rPr>
        <w:t>Am J Transplant, 15</w:t>
      </w:r>
      <w:r w:rsidRPr="009D683D">
        <w:rPr>
          <w:rFonts w:ascii="Calibri" w:eastAsia="Calibri" w:hAnsi="Calibri" w:cs="Calibri"/>
          <w:noProof/>
          <w:sz w:val="22"/>
          <w:lang w:val="en-US"/>
        </w:rPr>
        <w:t xml:space="preserve">(suppl 3). </w:t>
      </w:r>
    </w:p>
    <w:p w14:paraId="77D9DBD3"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Dole, K. (2013). Breaking down the barriers: Indigenous transplantation in the northern territory. </w:t>
      </w:r>
      <w:r w:rsidRPr="009D683D">
        <w:rPr>
          <w:rFonts w:ascii="Calibri" w:eastAsia="Calibri" w:hAnsi="Calibri" w:cs="Calibri"/>
          <w:i/>
          <w:noProof/>
          <w:sz w:val="22"/>
          <w:lang w:val="en-US"/>
        </w:rPr>
        <w:t>Transplant Journal of Australasia, 22</w:t>
      </w:r>
      <w:r w:rsidRPr="009D683D">
        <w:rPr>
          <w:rFonts w:ascii="Calibri" w:eastAsia="Calibri" w:hAnsi="Calibri" w:cs="Calibri"/>
          <w:noProof/>
          <w:sz w:val="22"/>
          <w:lang w:val="en-US"/>
        </w:rPr>
        <w:t xml:space="preserve">(2), 17-23. </w:t>
      </w:r>
    </w:p>
    <w:p w14:paraId="7BD319FF"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Duff, D., Jesudason, S., Howell, M., &amp; Hughes, J. T. (2018). A partnership approach to engage Aboriginal and Torres Strait Islander peoples with clinical guideline development for chronic kidney disease. </w:t>
      </w:r>
      <w:r w:rsidRPr="009D683D">
        <w:rPr>
          <w:rFonts w:ascii="Calibri" w:eastAsia="Calibri" w:hAnsi="Calibri" w:cs="Calibri"/>
          <w:i/>
          <w:noProof/>
          <w:sz w:val="22"/>
          <w:lang w:val="en-US"/>
        </w:rPr>
        <w:t>Renal Society of Australasia Journal, 14</w:t>
      </w:r>
      <w:r w:rsidRPr="009D683D">
        <w:rPr>
          <w:rFonts w:ascii="Calibri" w:eastAsia="Calibri" w:hAnsi="Calibri" w:cs="Calibri"/>
          <w:noProof/>
          <w:sz w:val="22"/>
          <w:lang w:val="en-US"/>
        </w:rPr>
        <w:t xml:space="preserve">, 84-88. </w:t>
      </w:r>
    </w:p>
    <w:p w14:paraId="6C993EA6"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Durey, A., &amp; Thompson, S. C. (2012). Reducing the health disparities of Indigenous Australians: time to change focus. </w:t>
      </w:r>
      <w:r w:rsidRPr="009D683D">
        <w:rPr>
          <w:rFonts w:ascii="Calibri" w:eastAsia="Calibri" w:hAnsi="Calibri" w:cs="Calibri"/>
          <w:i/>
          <w:noProof/>
          <w:sz w:val="22"/>
          <w:lang w:val="en-US"/>
        </w:rPr>
        <w:t>BMC Health Serv Res, 12</w:t>
      </w:r>
      <w:r w:rsidRPr="009D683D">
        <w:rPr>
          <w:rFonts w:ascii="Calibri" w:eastAsia="Calibri" w:hAnsi="Calibri" w:cs="Calibri"/>
          <w:noProof/>
          <w:sz w:val="22"/>
          <w:lang w:val="en-US"/>
        </w:rPr>
        <w:t>(1), 151. doi:10.1186/1472-6963-12-151</w:t>
      </w:r>
    </w:p>
    <w:p w14:paraId="4E055F9D"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Dwyer, J., Kelly, J., Willis, E., Glover, J., Mackean, T., Pekarsky, B., &amp; Battersby, M. (2011). </w:t>
      </w:r>
      <w:r w:rsidRPr="009D683D">
        <w:rPr>
          <w:rFonts w:ascii="Calibri" w:eastAsia="Calibri" w:hAnsi="Calibri" w:cs="Calibri"/>
          <w:i/>
          <w:noProof/>
          <w:sz w:val="22"/>
          <w:lang w:val="en-US"/>
        </w:rPr>
        <w:t>Managing Two Worlds Together: City Hospital Care for Country Aboriginal People - Project Report</w:t>
      </w:r>
      <w:r w:rsidRPr="009D683D">
        <w:rPr>
          <w:rFonts w:ascii="Calibri" w:eastAsia="Calibri" w:hAnsi="Calibri" w:cs="Calibri"/>
          <w:noProof/>
          <w:sz w:val="22"/>
          <w:lang w:val="en-US"/>
        </w:rPr>
        <w:t>. Melbourne: The Lowitja Institute.</w:t>
      </w:r>
    </w:p>
    <w:p w14:paraId="3F31E6DF"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Einsiedel, L. J., van Iersel, E., Macnamara, R., Spelman, T., Heffernan, M., Bray, L., . . . Davis, A. (2013). Self-discharge by adult Aboriginal patients at Alice Springs Hospital, Central Australia: insights from a prospective cohort study. </w:t>
      </w:r>
      <w:r w:rsidRPr="009D683D">
        <w:rPr>
          <w:rFonts w:ascii="Calibri" w:eastAsia="Calibri" w:hAnsi="Calibri" w:cs="Calibri"/>
          <w:i/>
          <w:noProof/>
          <w:sz w:val="22"/>
          <w:lang w:val="en-US"/>
        </w:rPr>
        <w:t>Aust Health Rev, 37</w:t>
      </w:r>
      <w:r w:rsidRPr="009D683D">
        <w:rPr>
          <w:rFonts w:ascii="Calibri" w:eastAsia="Calibri" w:hAnsi="Calibri" w:cs="Calibri"/>
          <w:noProof/>
          <w:sz w:val="22"/>
          <w:lang w:val="en-US"/>
        </w:rPr>
        <w:t>(2), 239-245. doi:10.1071/AH11087</w:t>
      </w:r>
    </w:p>
    <w:p w14:paraId="7872D4DF"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Ekberg, H., Tedesco-Silva, H., Demirbas, A., Vítko, Š., Nashan, B., Gürkan, A., . . . Halloran, P. F. (2007). Reduced Exposure to Calcineurin Inhibitors in Renal Transplantation. </w:t>
      </w:r>
      <w:r w:rsidRPr="009D683D">
        <w:rPr>
          <w:rFonts w:ascii="Calibri" w:eastAsia="Calibri" w:hAnsi="Calibri" w:cs="Calibri"/>
          <w:i/>
          <w:noProof/>
          <w:sz w:val="22"/>
          <w:lang w:val="en-US"/>
        </w:rPr>
        <w:t>New England Journal of Medicine, 357</w:t>
      </w:r>
      <w:r w:rsidRPr="009D683D">
        <w:rPr>
          <w:rFonts w:ascii="Calibri" w:eastAsia="Calibri" w:hAnsi="Calibri" w:cs="Calibri"/>
          <w:noProof/>
          <w:sz w:val="22"/>
          <w:lang w:val="en-US"/>
        </w:rPr>
        <w:t>(25), 2562-2575. doi:10.1056/NEJMoa067411</w:t>
      </w:r>
    </w:p>
    <w:p w14:paraId="685D6360"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El-Agroudy, A. E., Wafa, E. W., Gheith, O. E., Shehab El-Dein, A. B., &amp; Ghoneim, M. A. (2004). Weight Gain after Renal Transplantation Is a Risk Factor for Patient and Graft Outcome. </w:t>
      </w:r>
      <w:r w:rsidRPr="009D683D">
        <w:rPr>
          <w:rFonts w:ascii="Calibri" w:eastAsia="Calibri" w:hAnsi="Calibri" w:cs="Calibri"/>
          <w:i/>
          <w:noProof/>
          <w:sz w:val="22"/>
          <w:lang w:val="en-US"/>
        </w:rPr>
        <w:t>Transplantation, 77</w:t>
      </w:r>
      <w:r w:rsidRPr="009D683D">
        <w:rPr>
          <w:rFonts w:ascii="Calibri" w:eastAsia="Calibri" w:hAnsi="Calibri" w:cs="Calibri"/>
          <w:noProof/>
          <w:sz w:val="22"/>
          <w:lang w:val="en-US"/>
        </w:rPr>
        <w:t>(9), 1381-1385. doi:10.1097/01.Tp.0000120949.86038.62</w:t>
      </w:r>
    </w:p>
    <w:p w14:paraId="61BA3729"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Fredericks, E. M., &amp; Dore-Stites, D. (2010). Adherence to immunosuppressants: how can it be improved in adolescent organ transplant recipients? </w:t>
      </w:r>
      <w:r w:rsidRPr="009D683D">
        <w:rPr>
          <w:rFonts w:ascii="Calibri" w:eastAsia="Calibri" w:hAnsi="Calibri" w:cs="Calibri"/>
          <w:i/>
          <w:noProof/>
          <w:sz w:val="22"/>
          <w:lang w:val="en-US"/>
        </w:rPr>
        <w:t>Current opinion in organ transplantation, 15</w:t>
      </w:r>
      <w:r w:rsidRPr="009D683D">
        <w:rPr>
          <w:rFonts w:ascii="Calibri" w:eastAsia="Calibri" w:hAnsi="Calibri" w:cs="Calibri"/>
          <w:noProof/>
          <w:sz w:val="22"/>
          <w:lang w:val="en-US"/>
        </w:rPr>
        <w:t>(5), 614-620. doi:10.1097/MOT.0b013e32833d3115</w:t>
      </w:r>
    </w:p>
    <w:p w14:paraId="3FE2FF34"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Freeman, C. M., Woodle, E. S., Shi, J., Alexander, J. W., Leggett, P. L., Shah, S. A., . . . Diwan, T. S. (2015). Addressing morbid obesity as a barrier to renal transplantation with laparoscopic sleeve gastrectomy. </w:t>
      </w:r>
      <w:r w:rsidRPr="009D683D">
        <w:rPr>
          <w:rFonts w:ascii="Calibri" w:eastAsia="Calibri" w:hAnsi="Calibri" w:cs="Calibri"/>
          <w:i/>
          <w:noProof/>
          <w:sz w:val="22"/>
          <w:lang w:val="en-US"/>
        </w:rPr>
        <w:t>Am J Transplant, 15</w:t>
      </w:r>
      <w:r w:rsidRPr="009D683D">
        <w:rPr>
          <w:rFonts w:ascii="Calibri" w:eastAsia="Calibri" w:hAnsi="Calibri" w:cs="Calibri"/>
          <w:noProof/>
          <w:sz w:val="22"/>
          <w:lang w:val="en-US"/>
        </w:rPr>
        <w:t>(5), 1360-1368. doi:10.1111/ajt.13116</w:t>
      </w:r>
    </w:p>
    <w:p w14:paraId="02654988"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Freeman, H. P. (2006). Patient navigation: a community based strategy to reduce cancer disparities. </w:t>
      </w:r>
      <w:r w:rsidRPr="009D683D">
        <w:rPr>
          <w:rFonts w:ascii="Calibri" w:eastAsia="Calibri" w:hAnsi="Calibri" w:cs="Calibri"/>
          <w:i/>
          <w:noProof/>
          <w:sz w:val="22"/>
          <w:lang w:val="en-US"/>
        </w:rPr>
        <w:t>J Urban Health, 83</w:t>
      </w:r>
      <w:r w:rsidRPr="009D683D">
        <w:rPr>
          <w:rFonts w:ascii="Calibri" w:eastAsia="Calibri" w:hAnsi="Calibri" w:cs="Calibri"/>
          <w:noProof/>
          <w:sz w:val="22"/>
          <w:lang w:val="en-US"/>
        </w:rPr>
        <w:t>(2), 139-141. doi:10.1007/s11524-006-9030-0</w:t>
      </w:r>
    </w:p>
    <w:p w14:paraId="02C29F81"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Friedman, A. N. (2019). The Case for a Bariatric-Centered Approach to Chronic Kidney Disease Care. </w:t>
      </w:r>
      <w:r w:rsidRPr="009D683D">
        <w:rPr>
          <w:rFonts w:ascii="Calibri" w:eastAsia="Calibri" w:hAnsi="Calibri" w:cs="Calibri"/>
          <w:i/>
          <w:noProof/>
          <w:sz w:val="22"/>
          <w:lang w:val="en-US"/>
        </w:rPr>
        <w:t>Clinical Journal of the American Society of Nephrology</w:t>
      </w:r>
      <w:r w:rsidRPr="009D683D">
        <w:rPr>
          <w:rFonts w:ascii="Calibri" w:eastAsia="Calibri" w:hAnsi="Calibri" w:cs="Calibri"/>
          <w:noProof/>
          <w:sz w:val="22"/>
          <w:lang w:val="en-US"/>
        </w:rPr>
        <w:t>, CJN.12061018. doi:10.2215/cjn.12061018</w:t>
      </w:r>
    </w:p>
    <w:p w14:paraId="7F6DDB13"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Garnock-Jones, K. P. (2015). Tacrolimus Prolonged Release (EnvarsusÂ®): A Review of Its Use in Kidney and Liver Transplant Recipients. </w:t>
      </w:r>
      <w:r w:rsidRPr="009D683D">
        <w:rPr>
          <w:rFonts w:ascii="Calibri" w:eastAsia="Calibri" w:hAnsi="Calibri" w:cs="Calibri"/>
          <w:i/>
          <w:noProof/>
          <w:sz w:val="22"/>
          <w:lang w:val="en-US"/>
        </w:rPr>
        <w:t>Drugs, 75</w:t>
      </w:r>
      <w:r w:rsidRPr="009D683D">
        <w:rPr>
          <w:rFonts w:ascii="Calibri" w:eastAsia="Calibri" w:hAnsi="Calibri" w:cs="Calibri"/>
          <w:noProof/>
          <w:sz w:val="22"/>
          <w:lang w:val="en-US"/>
        </w:rPr>
        <w:t>(3), 309-320. doi:10.1007/s40265-015-0349-2</w:t>
      </w:r>
    </w:p>
    <w:p w14:paraId="347A561E"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Gibson, O., Lisy, K., Davy, C., Aromataris, E., Kite, E., Lockwood, C., . . . Brown, A. (2015). Enablers and barriers to the implementation of primary health care interventions for Indigenous people with chronic diseases: a systematic review. </w:t>
      </w:r>
      <w:r w:rsidRPr="009D683D">
        <w:rPr>
          <w:rFonts w:ascii="Calibri" w:eastAsia="Calibri" w:hAnsi="Calibri" w:cs="Calibri"/>
          <w:i/>
          <w:noProof/>
          <w:sz w:val="22"/>
          <w:lang w:val="en-US"/>
        </w:rPr>
        <w:t>Implement Sci, 10</w:t>
      </w:r>
      <w:r w:rsidRPr="009D683D">
        <w:rPr>
          <w:rFonts w:ascii="Calibri" w:eastAsia="Calibri" w:hAnsi="Calibri" w:cs="Calibri"/>
          <w:noProof/>
          <w:sz w:val="22"/>
          <w:lang w:val="en-US"/>
        </w:rPr>
        <w:t>. doi:10.1186/s13012-015-0261-x</w:t>
      </w:r>
    </w:p>
    <w:p w14:paraId="54469696"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Gill, J. S. (2008). Cardiovascular disease in transplant recipients: current and future treatment strategies. </w:t>
      </w:r>
      <w:r w:rsidRPr="009D683D">
        <w:rPr>
          <w:rFonts w:ascii="Calibri" w:eastAsia="Calibri" w:hAnsi="Calibri" w:cs="Calibri"/>
          <w:i/>
          <w:noProof/>
          <w:sz w:val="22"/>
          <w:lang w:val="en-US"/>
        </w:rPr>
        <w:t xml:space="preserve">Clin J Am Soc Nephrol, 3 </w:t>
      </w:r>
      <w:r w:rsidRPr="009D683D">
        <w:rPr>
          <w:rFonts w:ascii="Calibri" w:eastAsia="Calibri" w:hAnsi="Calibri" w:cs="Calibri"/>
          <w:noProof/>
          <w:sz w:val="22"/>
          <w:lang w:val="en-US"/>
        </w:rPr>
        <w:t>(Suppl 2), S29-37. doi:10.2215/CJN.02690707</w:t>
      </w:r>
    </w:p>
    <w:p w14:paraId="330BE297"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Gordon, E. J., Reddy, E., Gil, S., Feinglass, J., Rodde, J., Abecassis, M. M., &amp; Caicedo, J. C. (2014). Culturally competent transplant program improves Hispanics’ knowledge and attitudes about live kidney donation and transplant. </w:t>
      </w:r>
      <w:r w:rsidRPr="009D683D">
        <w:rPr>
          <w:rFonts w:ascii="Calibri" w:eastAsia="Calibri" w:hAnsi="Calibri" w:cs="Calibri"/>
          <w:i/>
          <w:noProof/>
          <w:sz w:val="22"/>
          <w:lang w:val="en-US"/>
        </w:rPr>
        <w:t>Prog Transplant (Aliso Viejo, Calif), 24</w:t>
      </w:r>
      <w:r w:rsidRPr="009D683D">
        <w:rPr>
          <w:rFonts w:ascii="Calibri" w:eastAsia="Calibri" w:hAnsi="Calibri" w:cs="Calibri"/>
          <w:noProof/>
          <w:sz w:val="22"/>
          <w:lang w:val="en-US"/>
        </w:rPr>
        <w:t>. doi:10.7182/pit2014378</w:t>
      </w:r>
    </w:p>
    <w:p w14:paraId="6A009C7C" w14:textId="77777777" w:rsidR="009D683D" w:rsidRPr="00782640"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G</w:t>
      </w:r>
      <w:r w:rsidRPr="00782640">
        <w:rPr>
          <w:rFonts w:ascii="Calibri" w:eastAsia="Calibri" w:hAnsi="Calibri" w:cs="Calibri"/>
          <w:noProof/>
          <w:sz w:val="22"/>
          <w:lang w:val="en-US"/>
        </w:rPr>
        <w:t xml:space="preserve">orham, G., Cass, A., Howard, K., &amp; Evans, K. (2016). </w:t>
      </w:r>
      <w:r w:rsidRPr="00782640">
        <w:rPr>
          <w:rFonts w:ascii="Calibri" w:eastAsia="Calibri" w:hAnsi="Calibri" w:cs="Calibri"/>
          <w:i/>
          <w:noProof/>
          <w:sz w:val="22"/>
          <w:lang w:val="en-US"/>
        </w:rPr>
        <w:t>Central Australia Renal Study: Technical Report Update</w:t>
      </w:r>
      <w:r w:rsidRPr="00782640">
        <w:rPr>
          <w:rFonts w:ascii="Calibri" w:eastAsia="Calibri" w:hAnsi="Calibri" w:cs="Calibri"/>
          <w:noProof/>
          <w:sz w:val="22"/>
          <w:lang w:val="en-US"/>
        </w:rPr>
        <w:t>. Canberra, Australia: Menzies School of Health Research.</w:t>
      </w:r>
    </w:p>
    <w:p w14:paraId="348034E3"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782640">
        <w:rPr>
          <w:rFonts w:ascii="Calibri" w:eastAsia="Calibri" w:hAnsi="Calibri" w:cs="Calibri"/>
          <w:noProof/>
          <w:sz w:val="22"/>
          <w:lang w:val="en-US"/>
        </w:rPr>
        <w:t xml:space="preserve">Griese, E. U., Ilett, K. F., Kitteringham, N. R., Eichelbaum, M., Powell, H., Spargo, R. M., . . . Minchin, R. F. (2001). Allele and genotype frequencies of polymorphic cytochromes P4502D6, 2C19 and 2E1 in aborigines from western Australia. </w:t>
      </w:r>
      <w:r w:rsidRPr="00782640">
        <w:rPr>
          <w:rFonts w:ascii="Calibri" w:eastAsia="Calibri" w:hAnsi="Calibri" w:cs="Calibri"/>
          <w:i/>
          <w:noProof/>
          <w:sz w:val="22"/>
          <w:lang w:val="en-US"/>
        </w:rPr>
        <w:t>Pharmacogenetics, 11</w:t>
      </w:r>
      <w:r w:rsidRPr="00782640">
        <w:rPr>
          <w:rFonts w:ascii="Calibri" w:eastAsia="Calibri" w:hAnsi="Calibri" w:cs="Calibri"/>
          <w:noProof/>
          <w:sz w:val="22"/>
          <w:lang w:val="en-US"/>
        </w:rPr>
        <w:t>(1), 69-76.</w:t>
      </w:r>
      <w:r w:rsidRPr="009D683D">
        <w:rPr>
          <w:rFonts w:ascii="Calibri" w:eastAsia="Calibri" w:hAnsi="Calibri" w:cs="Calibri"/>
          <w:noProof/>
          <w:sz w:val="22"/>
          <w:lang w:val="en-US"/>
        </w:rPr>
        <w:t xml:space="preserve"> </w:t>
      </w:r>
    </w:p>
    <w:p w14:paraId="3579BB43"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lastRenderedPageBreak/>
        <w:t xml:space="preserve">Harfield, S., Davy, C., Kite, E., McArthur, A., Munn, Z., Brown, N., &amp; Brown, A. (2015). Characteristics of Indigenous primary health care models of service delivery: a scoping review protocol. </w:t>
      </w:r>
      <w:r w:rsidRPr="009D683D">
        <w:rPr>
          <w:rFonts w:ascii="Calibri" w:eastAsia="Calibri" w:hAnsi="Calibri" w:cs="Calibri"/>
          <w:i/>
          <w:noProof/>
          <w:sz w:val="22"/>
          <w:lang w:val="en-US"/>
        </w:rPr>
        <w:t>JBI Database of Systematic Rep Implement Rep, 13</w:t>
      </w:r>
      <w:r w:rsidRPr="009D683D">
        <w:rPr>
          <w:rFonts w:ascii="Calibri" w:eastAsia="Calibri" w:hAnsi="Calibri" w:cs="Calibri"/>
          <w:noProof/>
          <w:sz w:val="22"/>
          <w:lang w:val="en-US"/>
        </w:rPr>
        <w:t>. doi:10.11124/jbisrir-2015-2474</w:t>
      </w:r>
    </w:p>
    <w:p w14:paraId="1A11C82B"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Harris, A. D., Fleming, B., Bromberg, J. S., Rock, P., Nkonge, G., Emerick, M., . . . Thom, K. A. (2015). Surgical site infection after renal transplantation. </w:t>
      </w:r>
      <w:r w:rsidRPr="009D683D">
        <w:rPr>
          <w:rFonts w:ascii="Calibri" w:eastAsia="Calibri" w:hAnsi="Calibri" w:cs="Calibri"/>
          <w:i/>
          <w:noProof/>
          <w:sz w:val="22"/>
          <w:lang w:val="en-US"/>
        </w:rPr>
        <w:t>Infect Control Hosp Epidemiol, 36</w:t>
      </w:r>
      <w:r w:rsidRPr="009D683D">
        <w:rPr>
          <w:rFonts w:ascii="Calibri" w:eastAsia="Calibri" w:hAnsi="Calibri" w:cs="Calibri"/>
          <w:noProof/>
          <w:sz w:val="22"/>
          <w:lang w:val="en-US"/>
        </w:rPr>
        <w:t>(4), 417-423. doi:10.1017/ice.2014.77</w:t>
      </w:r>
    </w:p>
    <w:p w14:paraId="3738D065"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Hayes, B. (2008). Renal transplant coordination in the tropics: distance and diversity. </w:t>
      </w:r>
      <w:r w:rsidRPr="009D683D">
        <w:rPr>
          <w:rFonts w:ascii="Calibri" w:eastAsia="Calibri" w:hAnsi="Calibri" w:cs="Calibri"/>
          <w:i/>
          <w:noProof/>
          <w:sz w:val="22"/>
          <w:lang w:val="en-US"/>
        </w:rPr>
        <w:t>Transplant Nurses' Journal, 17</w:t>
      </w:r>
      <w:r w:rsidRPr="009D683D">
        <w:rPr>
          <w:rFonts w:ascii="Calibri" w:eastAsia="Calibri" w:hAnsi="Calibri" w:cs="Calibri"/>
          <w:noProof/>
          <w:sz w:val="22"/>
          <w:lang w:val="en-US"/>
        </w:rPr>
        <w:t xml:space="preserve">(1), 18-21. </w:t>
      </w:r>
    </w:p>
    <w:p w14:paraId="199F8411"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Haynes, R. B., Ackloo, E., Sahota, N., McDonald, H. P., &amp; Yao, X. (2008). Interventions for enhancing medication adherence. </w:t>
      </w:r>
      <w:r w:rsidRPr="009D683D">
        <w:rPr>
          <w:rFonts w:ascii="Calibri" w:eastAsia="Calibri" w:hAnsi="Calibri" w:cs="Calibri"/>
          <w:i/>
          <w:noProof/>
          <w:sz w:val="22"/>
          <w:lang w:val="en-US"/>
        </w:rPr>
        <w:t>Cochrane Database of Systematic Reviews</w:t>
      </w:r>
      <w:r w:rsidRPr="009D683D">
        <w:rPr>
          <w:rFonts w:ascii="Calibri" w:eastAsia="Calibri" w:hAnsi="Calibri" w:cs="Calibri"/>
          <w:noProof/>
          <w:sz w:val="22"/>
          <w:lang w:val="en-US"/>
        </w:rPr>
        <w:t>(2). doi:10.1002/14651858.CD000011.pub3</w:t>
      </w:r>
    </w:p>
    <w:p w14:paraId="179A3DB2"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Healthy Lives: Life Expectancy Target. (2018). Retrieved from </w:t>
      </w:r>
      <w:hyperlink r:id="rId64" w:anchor="box1-chapter6" w:history="1">
        <w:r w:rsidRPr="009D683D">
          <w:rPr>
            <w:rFonts w:ascii="Calibri" w:eastAsia="Calibri" w:hAnsi="Calibri" w:cs="Calibri"/>
            <w:noProof/>
            <w:color w:val="0000FF"/>
            <w:sz w:val="22"/>
            <w:u w:val="single"/>
            <w:lang w:val="en-US"/>
          </w:rPr>
          <w:t>https://closingthegap.pmc.gov.au/healthy-lives#box1-chapter6</w:t>
        </w:r>
      </w:hyperlink>
    </w:p>
    <w:p w14:paraId="133D8E03"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Howard, R. J., Patton, P. R., Reed, A. I., Hemming, A. W., Van der Werf, W. J., Pfaff, W. W., . . . Scornik, J. C. (2002). The changing causes of graft loss and death after kidney transplantation. </w:t>
      </w:r>
      <w:r w:rsidRPr="009D683D">
        <w:rPr>
          <w:rFonts w:ascii="Calibri" w:eastAsia="Calibri" w:hAnsi="Calibri" w:cs="Calibri"/>
          <w:i/>
          <w:noProof/>
          <w:sz w:val="22"/>
          <w:lang w:val="en-US"/>
        </w:rPr>
        <w:t>Transplantation, 73</w:t>
      </w:r>
      <w:r w:rsidRPr="009D683D">
        <w:rPr>
          <w:rFonts w:ascii="Calibri" w:eastAsia="Calibri" w:hAnsi="Calibri" w:cs="Calibri"/>
          <w:noProof/>
          <w:sz w:val="22"/>
          <w:lang w:val="en-US"/>
        </w:rPr>
        <w:t xml:space="preserve">(12), 1923-1928. </w:t>
      </w:r>
    </w:p>
    <w:p w14:paraId="3B7DD358"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Hughes, J. T., Aye-Min, O., Majoni, S. W., Currie, B. J., Hall, H., &amp; Kirkham, R. (2017). Delayed resolution of an extensive dermatophyte infection: client and clinician perceptions of treatment response in an adult dependent on haemodialysis. . </w:t>
      </w:r>
      <w:r w:rsidRPr="009D683D">
        <w:rPr>
          <w:rFonts w:ascii="Calibri" w:eastAsia="Calibri" w:hAnsi="Calibri" w:cs="Calibri"/>
          <w:i/>
          <w:noProof/>
          <w:sz w:val="22"/>
          <w:lang w:val="en-US"/>
        </w:rPr>
        <w:t>Posters. Nephrology, 22</w:t>
      </w:r>
      <w:r w:rsidRPr="009D683D">
        <w:rPr>
          <w:rFonts w:ascii="Calibri" w:eastAsia="Calibri" w:hAnsi="Calibri" w:cs="Calibri"/>
          <w:noProof/>
          <w:sz w:val="22"/>
          <w:lang w:val="en-US"/>
        </w:rPr>
        <w:t xml:space="preserve">, 51-92. doi:10.1111/nep.13105 </w:t>
      </w:r>
    </w:p>
    <w:p w14:paraId="6521B108"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Hughes, J. T., Dembski, L., Kerrigan, V., Majoni, S. W., Lawton, P. D., &amp; Cass, A. (2017).</w:t>
      </w:r>
      <w:r w:rsidRPr="009D683D">
        <w:rPr>
          <w:rFonts w:ascii="Calibri" w:eastAsia="Calibri" w:hAnsi="Calibri" w:cs="Calibri"/>
          <w:i/>
          <w:noProof/>
          <w:sz w:val="22"/>
          <w:lang w:val="en-US"/>
        </w:rPr>
        <w:t xml:space="preserve"> Indigenous Patient Voices: Gathering Perspectives - Finding Solutions for chronic and end stage kidney disease</w:t>
      </w:r>
      <w:r w:rsidRPr="009D683D">
        <w:rPr>
          <w:rFonts w:ascii="Calibri" w:eastAsia="Calibri" w:hAnsi="Calibri" w:cs="Calibri"/>
          <w:noProof/>
          <w:sz w:val="22"/>
          <w:lang w:val="en-US"/>
        </w:rPr>
        <w:t>. Darwin.</w:t>
      </w:r>
    </w:p>
    <w:p w14:paraId="5891667B"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Hughes, J. T., Dembski, L., Kerrigan, V., Majoni, S. W., Lawton, P. D., &amp; Cass, A. (2018). Gathering Perspectives - Finding Solutions for Chronic and End Stage Kidney Disease. </w:t>
      </w:r>
      <w:r w:rsidRPr="009D683D">
        <w:rPr>
          <w:rFonts w:ascii="Calibri" w:eastAsia="Calibri" w:hAnsi="Calibri" w:cs="Calibri"/>
          <w:i/>
          <w:noProof/>
          <w:sz w:val="22"/>
          <w:lang w:val="en-US"/>
        </w:rPr>
        <w:t>Nephrology (Carlton), 23 Suppl 1</w:t>
      </w:r>
      <w:r w:rsidRPr="009D683D">
        <w:rPr>
          <w:rFonts w:ascii="Calibri" w:eastAsia="Calibri" w:hAnsi="Calibri" w:cs="Calibri"/>
          <w:noProof/>
          <w:sz w:val="22"/>
          <w:lang w:val="en-US"/>
        </w:rPr>
        <w:t>(S1), 5-13. doi:10.1111/nep.13233</w:t>
      </w:r>
    </w:p>
    <w:p w14:paraId="5D157012"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Hughes, J. T., Kelly, J., Mick-Ramsamy, L., &amp; Mills, P. (2018). </w:t>
      </w:r>
      <w:r w:rsidRPr="009D683D">
        <w:rPr>
          <w:rFonts w:ascii="Calibri" w:eastAsia="Calibri" w:hAnsi="Calibri" w:cs="Calibri"/>
          <w:i/>
          <w:noProof/>
          <w:sz w:val="22"/>
          <w:lang w:val="en-US"/>
        </w:rPr>
        <w:t>Summary Report, Thursday Island, Catching Some Air - Asserting Aboriginal and Torres Strait Islander Information Rights in Renal Disease</w:t>
      </w:r>
      <w:r w:rsidRPr="009D683D">
        <w:rPr>
          <w:rFonts w:ascii="Calibri" w:eastAsia="Calibri" w:hAnsi="Calibri" w:cs="Calibri"/>
          <w:noProof/>
          <w:sz w:val="22"/>
          <w:lang w:val="en-US"/>
        </w:rPr>
        <w:t>. Darwin: Menzies School of Health Research.</w:t>
      </w:r>
    </w:p>
    <w:p w14:paraId="1A795841"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Ichimaru, N., Kakuta, Y., Abe, T., Okumi, M., Imamura, R., Isaka, Y., . . . Takahara, S. (2008). Treatment Adherence in Renal Transplant Recipients: A Questionnaire Survey on Immunosuppressants. </w:t>
      </w:r>
      <w:r w:rsidRPr="009D683D">
        <w:rPr>
          <w:rFonts w:ascii="Calibri" w:eastAsia="Calibri" w:hAnsi="Calibri" w:cs="Calibri"/>
          <w:i/>
          <w:noProof/>
          <w:sz w:val="22"/>
          <w:lang w:val="en-US"/>
        </w:rPr>
        <w:t>Transplantation Proceedings, 40</w:t>
      </w:r>
      <w:r w:rsidRPr="009D683D">
        <w:rPr>
          <w:rFonts w:ascii="Calibri" w:eastAsia="Calibri" w:hAnsi="Calibri" w:cs="Calibri"/>
          <w:noProof/>
          <w:sz w:val="22"/>
          <w:lang w:val="en-US"/>
        </w:rPr>
        <w:t>(5), 1362-1365. doi:10.1016/j.transproceed.2008.02.083</w:t>
      </w:r>
    </w:p>
    <w:p w14:paraId="3C3B76CD"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IMPAKT (2013). Retrieved from </w:t>
      </w:r>
      <w:hyperlink r:id="rId65" w:history="1">
        <w:r w:rsidRPr="009D683D">
          <w:rPr>
            <w:rFonts w:ascii="Calibri" w:eastAsia="Calibri" w:hAnsi="Calibri" w:cs="Calibri"/>
            <w:noProof/>
            <w:color w:val="0000FF"/>
            <w:sz w:val="22"/>
            <w:u w:val="single"/>
            <w:lang w:val="en-US"/>
          </w:rPr>
          <w:t>https://www.lowitja.org.au/impakt</w:t>
        </w:r>
      </w:hyperlink>
    </w:p>
    <w:p w14:paraId="5049715C"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James, A., &amp; Mannon, R. B. (2015). The Cost of Transplant Immunosuppressant Therapy: Is This Sustainable? </w:t>
      </w:r>
      <w:r w:rsidRPr="009D683D">
        <w:rPr>
          <w:rFonts w:ascii="Calibri" w:eastAsia="Calibri" w:hAnsi="Calibri" w:cs="Calibri"/>
          <w:i/>
          <w:noProof/>
          <w:sz w:val="22"/>
          <w:lang w:val="en-US"/>
        </w:rPr>
        <w:t>Curr Transplant Rep, 2</w:t>
      </w:r>
      <w:r w:rsidRPr="009D683D">
        <w:rPr>
          <w:rFonts w:ascii="Calibri" w:eastAsia="Calibri" w:hAnsi="Calibri" w:cs="Calibri"/>
          <w:noProof/>
          <w:sz w:val="22"/>
          <w:lang w:val="en-US"/>
        </w:rPr>
        <w:t>(2), 113-121. doi:10.1007/s40472-015-0052-y</w:t>
      </w:r>
    </w:p>
    <w:p w14:paraId="2C8EBCED"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Johnson, D., Herzig, K. A., Purdie, D., Chang, W., Brown, A. M., Rigby, R. J., . . . Hawley, C. (2000). Is obesity a favorable prognostic factor in peritoneal dialysis patients? </w:t>
      </w:r>
      <w:r w:rsidRPr="009D683D">
        <w:rPr>
          <w:rFonts w:ascii="Calibri" w:eastAsia="Calibri" w:hAnsi="Calibri" w:cs="Calibri"/>
          <w:i/>
          <w:noProof/>
          <w:sz w:val="22"/>
          <w:lang w:val="en-US"/>
        </w:rPr>
        <w:t>Peritoneal dialysis international: journal of the International Society for Peritoneal Dialysis, 20</w:t>
      </w:r>
      <w:r w:rsidRPr="009D683D">
        <w:rPr>
          <w:rFonts w:ascii="Calibri" w:eastAsia="Calibri" w:hAnsi="Calibri" w:cs="Calibri"/>
          <w:noProof/>
          <w:sz w:val="22"/>
          <w:lang w:val="en-US"/>
        </w:rPr>
        <w:t xml:space="preserve">. </w:t>
      </w:r>
    </w:p>
    <w:p w14:paraId="7AF29627"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Johnson, M. J. (2002). The Medication Adherence Model: a guide for assessing medication taking. </w:t>
      </w:r>
      <w:r w:rsidRPr="009D683D">
        <w:rPr>
          <w:rFonts w:ascii="Calibri" w:eastAsia="Calibri" w:hAnsi="Calibri" w:cs="Calibri"/>
          <w:i/>
          <w:noProof/>
          <w:sz w:val="22"/>
          <w:lang w:val="en-US"/>
        </w:rPr>
        <w:t>Res Theory Nurs Pract, 16</w:t>
      </w:r>
      <w:r w:rsidRPr="009D683D">
        <w:rPr>
          <w:rFonts w:ascii="Calibri" w:eastAsia="Calibri" w:hAnsi="Calibri" w:cs="Calibri"/>
          <w:noProof/>
          <w:sz w:val="22"/>
          <w:lang w:val="en-US"/>
        </w:rPr>
        <w:t>(3), 179-192. doi:10.1891/rtnp.16.3.179.53008</w:t>
      </w:r>
    </w:p>
    <w:p w14:paraId="47775000"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Johnstone, L. (2017). </w:t>
      </w:r>
      <w:r w:rsidRPr="009D683D">
        <w:rPr>
          <w:rFonts w:ascii="Calibri" w:eastAsia="Calibri" w:hAnsi="Calibri" w:cs="Calibri"/>
          <w:i/>
          <w:noProof/>
          <w:sz w:val="22"/>
          <w:lang w:val="en-US"/>
        </w:rPr>
        <w:t>Telepharmacy and chronic kidney disease - a Making Tracks investment strategy</w:t>
      </w:r>
      <w:r w:rsidRPr="009D683D">
        <w:rPr>
          <w:rFonts w:ascii="Calibri" w:eastAsia="Calibri" w:hAnsi="Calibri" w:cs="Calibri"/>
          <w:noProof/>
          <w:sz w:val="22"/>
          <w:lang w:val="en-US"/>
        </w:rPr>
        <w:t xml:space="preserve">. Paper presented at the 14th National Rural Health Conference, Cairns, Queensland. </w:t>
      </w:r>
    </w:p>
    <w:p w14:paraId="4744F753"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Kalantar-Zadeh, K., Abbott, K. C., Salahudeen, A., Kilpatrick, R., &amp; Horwich, T. (2005). </w:t>
      </w:r>
      <w:r w:rsidRPr="009D683D">
        <w:rPr>
          <w:rFonts w:ascii="Calibri" w:eastAsia="Calibri" w:hAnsi="Calibri" w:cs="Calibri"/>
          <w:i/>
          <w:noProof/>
          <w:sz w:val="22"/>
          <w:lang w:val="en-US"/>
        </w:rPr>
        <w:t>Survival advantages of obesity in dialysis patients</w:t>
      </w:r>
      <w:r w:rsidRPr="009D683D">
        <w:rPr>
          <w:rFonts w:ascii="Calibri" w:eastAsia="Calibri" w:hAnsi="Calibri" w:cs="Calibri"/>
          <w:noProof/>
          <w:sz w:val="22"/>
          <w:lang w:val="en-US"/>
        </w:rPr>
        <w:t xml:space="preserve"> (Vol. 81).</w:t>
      </w:r>
    </w:p>
    <w:p w14:paraId="3BD11780"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Kalluri, H. V., &amp; Hardinger, K. L. (2012). Current state of renal transplant immunosuppression: Present and future. </w:t>
      </w:r>
      <w:r w:rsidRPr="009D683D">
        <w:rPr>
          <w:rFonts w:ascii="Calibri" w:eastAsia="Calibri" w:hAnsi="Calibri" w:cs="Calibri"/>
          <w:i/>
          <w:noProof/>
          <w:sz w:val="22"/>
          <w:lang w:val="en-US"/>
        </w:rPr>
        <w:t>World journal of transplantation, 2</w:t>
      </w:r>
      <w:r w:rsidRPr="009D683D">
        <w:rPr>
          <w:rFonts w:ascii="Calibri" w:eastAsia="Calibri" w:hAnsi="Calibri" w:cs="Calibri"/>
          <w:noProof/>
          <w:sz w:val="22"/>
          <w:lang w:val="en-US"/>
        </w:rPr>
        <w:t>(4), 51-68. doi:10.5500/wjt.v2.i4.51</w:t>
      </w:r>
    </w:p>
    <w:p w14:paraId="5F7F5600"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Katz, R., Pode, D., Gofrit, O. N., Shenfeld, O. Z., Landau, E. H., Golijanin, D., &amp; Shapiro, A. (2003). Transurethral incision of ureteroneocystostomy strictures in kidney transplant recipients. </w:t>
      </w:r>
      <w:r w:rsidRPr="009D683D">
        <w:rPr>
          <w:rFonts w:ascii="Calibri" w:eastAsia="Calibri" w:hAnsi="Calibri" w:cs="Calibri"/>
          <w:i/>
          <w:noProof/>
          <w:sz w:val="22"/>
          <w:lang w:val="en-US"/>
        </w:rPr>
        <w:t>BJU International, 92</w:t>
      </w:r>
      <w:r w:rsidRPr="009D683D">
        <w:rPr>
          <w:rFonts w:ascii="Calibri" w:eastAsia="Calibri" w:hAnsi="Calibri" w:cs="Calibri"/>
          <w:noProof/>
          <w:sz w:val="22"/>
          <w:lang w:val="en-US"/>
        </w:rPr>
        <w:t>(7), 769-771. doi:10.1046/j.1464-410X.2003.04455.x</w:t>
      </w:r>
    </w:p>
    <w:p w14:paraId="3313294C"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lastRenderedPageBreak/>
        <w:t xml:space="preserve">Kelly, J., Dwyer, J., Pekarsky, B., Mackean, T., Willis, E., de Crespigny, C., . . . Dixon, K. (2015). </w:t>
      </w:r>
      <w:r w:rsidRPr="009D683D">
        <w:rPr>
          <w:rFonts w:ascii="Calibri" w:eastAsia="Calibri" w:hAnsi="Calibri" w:cs="Calibri"/>
          <w:i/>
          <w:noProof/>
          <w:sz w:val="22"/>
          <w:lang w:val="en-US"/>
        </w:rPr>
        <w:t>Managing Two Worlds Together. Stage 3: Improving Aboriginal Patient Journeys - Study Report</w:t>
      </w:r>
      <w:r w:rsidRPr="009D683D">
        <w:rPr>
          <w:rFonts w:ascii="Calibri" w:eastAsia="Calibri" w:hAnsi="Calibri" w:cs="Calibri"/>
          <w:noProof/>
          <w:sz w:val="22"/>
          <w:lang w:val="en-US"/>
        </w:rPr>
        <w:t>. Melbourne: The Lowitja Institute.</w:t>
      </w:r>
    </w:p>
    <w:p w14:paraId="012426A6"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KHA. (2018a). </w:t>
      </w:r>
      <w:r w:rsidRPr="009D683D">
        <w:rPr>
          <w:rFonts w:ascii="Calibri" w:eastAsia="Calibri" w:hAnsi="Calibri" w:cs="Calibri"/>
          <w:i/>
          <w:noProof/>
          <w:sz w:val="22"/>
          <w:lang w:val="en-US"/>
        </w:rPr>
        <w:t>KHA-CARI Indigenous Guidelines: Australian Community Consultation Methodology</w:t>
      </w:r>
      <w:r w:rsidRPr="009D683D">
        <w:rPr>
          <w:rFonts w:ascii="Calibri" w:eastAsia="Calibri" w:hAnsi="Calibri" w:cs="Calibri"/>
          <w:noProof/>
          <w:sz w:val="22"/>
          <w:lang w:val="en-US"/>
        </w:rPr>
        <w:t xml:space="preserve">. Kidney Health Australia.  </w:t>
      </w:r>
    </w:p>
    <w:p w14:paraId="62EB6035"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KHA. (2018b). Kidney Health Australia - Indigenous Kidney Health Program. Retrieved from </w:t>
      </w:r>
      <w:hyperlink r:id="rId66" w:history="1">
        <w:r w:rsidRPr="009D683D">
          <w:rPr>
            <w:rFonts w:ascii="Calibri" w:eastAsia="Calibri" w:hAnsi="Calibri" w:cs="Calibri"/>
            <w:noProof/>
            <w:color w:val="0000FF"/>
            <w:sz w:val="22"/>
            <w:u w:val="single"/>
            <w:lang w:val="en-US"/>
          </w:rPr>
          <w:t>https://kidney.org.au/cms_uploads/docs/kidney-health-australia---indigenous-kidney-health-program-budget-submission.pdf</w:t>
        </w:r>
      </w:hyperlink>
    </w:p>
    <w:p w14:paraId="7AD6AA0B"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KHA. (2019). Kidney Transplant. Retrieved from </w:t>
      </w:r>
      <w:hyperlink r:id="rId67" w:history="1">
        <w:r w:rsidRPr="009D683D">
          <w:rPr>
            <w:rFonts w:ascii="Calibri" w:eastAsia="Calibri" w:hAnsi="Calibri" w:cs="Calibri"/>
            <w:noProof/>
            <w:color w:val="0000FF"/>
            <w:sz w:val="22"/>
            <w:u w:val="single"/>
            <w:lang w:val="en-US"/>
          </w:rPr>
          <w:t>https://kidney.org.au/your-kidneys/support/kidney-transplant</w:t>
        </w:r>
      </w:hyperlink>
    </w:p>
    <w:p w14:paraId="184656AB"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Khanal, N., Lawton, P. D., Cass, A., &amp; McDonald, S. P. (2018). Disparity of access to kidney transplantation by Indigenous and non-Indigenous Australians. </w:t>
      </w:r>
      <w:r w:rsidRPr="009D683D">
        <w:rPr>
          <w:rFonts w:ascii="Calibri" w:eastAsia="Calibri" w:hAnsi="Calibri" w:cs="Calibri"/>
          <w:i/>
          <w:noProof/>
          <w:sz w:val="22"/>
          <w:lang w:val="en-US"/>
        </w:rPr>
        <w:t>Med J Aust, 209</w:t>
      </w:r>
      <w:r w:rsidRPr="009D683D">
        <w:rPr>
          <w:rFonts w:ascii="Calibri" w:eastAsia="Calibri" w:hAnsi="Calibri" w:cs="Calibri"/>
          <w:noProof/>
          <w:sz w:val="22"/>
          <w:lang w:val="en-US"/>
        </w:rPr>
        <w:t xml:space="preserve">(6), 261-266. doi:10.5694/mja18.00304 </w:t>
      </w:r>
    </w:p>
    <w:p w14:paraId="5D779C89"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Kirkham, R., Maple-Brown, L. J., Freeman, N., Beaton, B., Lamilami, R., Hausin, M., . . . Hughes, J. T. (2018). Incorporating indigenous knowledge in health services: a consumer partnership framework. </w:t>
      </w:r>
      <w:r w:rsidRPr="009D683D">
        <w:rPr>
          <w:rFonts w:ascii="Calibri" w:eastAsia="Calibri" w:hAnsi="Calibri" w:cs="Calibri"/>
          <w:i/>
          <w:noProof/>
          <w:sz w:val="22"/>
          <w:lang w:val="en-US"/>
        </w:rPr>
        <w:t>Public Health</w:t>
      </w:r>
      <w:r w:rsidRPr="009D683D">
        <w:rPr>
          <w:rFonts w:ascii="Calibri" w:eastAsia="Calibri" w:hAnsi="Calibri" w:cs="Calibri"/>
          <w:noProof/>
          <w:sz w:val="22"/>
          <w:lang w:val="en-US"/>
        </w:rPr>
        <w:t>. doi:10.1016/j.puhe.2018.08.009</w:t>
      </w:r>
    </w:p>
    <w:p w14:paraId="50BD195F"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Korda, R. J., Joshy, G., Jorm, L. R., Butler, J., &amp; Banks, E. (2012). Inequalities in bariatric surgery in Australia: findings from 49 364 obese participants in a prospective cohort study. </w:t>
      </w:r>
      <w:r w:rsidRPr="009D683D">
        <w:rPr>
          <w:rFonts w:ascii="Calibri" w:eastAsia="Calibri" w:hAnsi="Calibri" w:cs="Calibri"/>
          <w:i/>
          <w:noProof/>
          <w:sz w:val="22"/>
          <w:lang w:val="en-US"/>
        </w:rPr>
        <w:t>Med J Aust, 197</w:t>
      </w:r>
      <w:r w:rsidRPr="009D683D">
        <w:rPr>
          <w:rFonts w:ascii="Calibri" w:eastAsia="Calibri" w:hAnsi="Calibri" w:cs="Calibri"/>
          <w:noProof/>
          <w:sz w:val="22"/>
          <w:lang w:val="en-US"/>
        </w:rPr>
        <w:t xml:space="preserve">(11), 631-636. doi:10.5694/mja12.11035 </w:t>
      </w:r>
    </w:p>
    <w:p w14:paraId="0183370B"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Kuypers, D. R. J., Peeters, P. C., Sennesael, J. J., Kianda, M. N., Vrijens, B., Kristanto, P., . . . Kanaan, N. (2013). Improved Adherence to Tacrolimus Once-Daily Formulation in Renal Recipients: A Randomized Controlled Trial Using Electronic Monitoring. </w:t>
      </w:r>
      <w:r w:rsidRPr="009D683D">
        <w:rPr>
          <w:rFonts w:ascii="Calibri" w:eastAsia="Calibri" w:hAnsi="Calibri" w:cs="Calibri"/>
          <w:i/>
          <w:noProof/>
          <w:sz w:val="22"/>
          <w:lang w:val="en-US"/>
        </w:rPr>
        <w:t>Transplantation, 95</w:t>
      </w:r>
      <w:r w:rsidRPr="009D683D">
        <w:rPr>
          <w:rFonts w:ascii="Calibri" w:eastAsia="Calibri" w:hAnsi="Calibri" w:cs="Calibri"/>
          <w:noProof/>
          <w:sz w:val="22"/>
          <w:lang w:val="en-US"/>
        </w:rPr>
        <w:t>(2), 333-340. doi:10.1097/TP.0b013e3182725532</w:t>
      </w:r>
    </w:p>
    <w:p w14:paraId="21E35932"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Lambert, K., Mullan, J., Mansfield, K., &amp; Lonergan, M. (2015). A Cross-Sectional Comparison of Health Literacy Deficits Among Patients With Chronic Kidney Disease. </w:t>
      </w:r>
      <w:r w:rsidRPr="009D683D">
        <w:rPr>
          <w:rFonts w:ascii="Calibri" w:eastAsia="Calibri" w:hAnsi="Calibri" w:cs="Calibri"/>
          <w:i/>
          <w:noProof/>
          <w:sz w:val="22"/>
          <w:lang w:val="en-US"/>
        </w:rPr>
        <w:t>Journal of Health Communication, 20</w:t>
      </w:r>
      <w:r w:rsidRPr="009D683D">
        <w:rPr>
          <w:rFonts w:ascii="Calibri" w:eastAsia="Calibri" w:hAnsi="Calibri" w:cs="Calibri"/>
          <w:noProof/>
          <w:sz w:val="22"/>
          <w:lang w:val="en-US"/>
        </w:rPr>
        <w:t>(sup2), 16-23. doi:10.1080/10810730.2015.1080329</w:t>
      </w:r>
    </w:p>
    <w:p w14:paraId="29E18F7C"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Lawton, P. D. (2015). </w:t>
      </w:r>
      <w:r w:rsidRPr="009D683D">
        <w:rPr>
          <w:rFonts w:ascii="Calibri" w:eastAsia="Calibri" w:hAnsi="Calibri" w:cs="Calibri"/>
          <w:i/>
          <w:noProof/>
          <w:sz w:val="22"/>
          <w:lang w:val="en-US"/>
        </w:rPr>
        <w:t>The Incidence and Outcomes of Chronic Kidney Disease amongst Indigenous Australians.</w:t>
      </w:r>
      <w:r w:rsidRPr="009D683D">
        <w:rPr>
          <w:rFonts w:ascii="Calibri" w:eastAsia="Calibri" w:hAnsi="Calibri" w:cs="Calibri"/>
          <w:noProof/>
          <w:sz w:val="22"/>
          <w:lang w:val="en-US"/>
        </w:rPr>
        <w:t xml:space="preserve"> (Doctor of Philosophy), Charles Darwin University, Darwin. </w:t>
      </w:r>
    </w:p>
    <w:p w14:paraId="4D4A4F7E"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Lawton, P. D., Cunningham, J., Zhao, Y., Gray, N. A., Chatfield, M. D., Baade, P. D., . . . Jose, M. D. (2015). Survival of Indigenous Australians receiving renal replacement therapy: closing the gap? </w:t>
      </w:r>
      <w:r w:rsidRPr="009D683D">
        <w:rPr>
          <w:rFonts w:ascii="Calibri" w:eastAsia="Calibri" w:hAnsi="Calibri" w:cs="Calibri"/>
          <w:i/>
          <w:noProof/>
          <w:sz w:val="22"/>
          <w:lang w:val="en-US"/>
        </w:rPr>
        <w:t>Med J Aust, 202</w:t>
      </w:r>
      <w:r w:rsidRPr="009D683D">
        <w:rPr>
          <w:rFonts w:ascii="Calibri" w:eastAsia="Calibri" w:hAnsi="Calibri" w:cs="Calibri"/>
          <w:noProof/>
          <w:sz w:val="22"/>
          <w:lang w:val="en-US"/>
        </w:rPr>
        <w:t>. doi:10.5694/mja14.00664</w:t>
      </w:r>
    </w:p>
    <w:p w14:paraId="36D862E3"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Lawton, P. D., McDonald, S. P., Snelling, P. L., Hughes, J., &amp; Cass, A. (2017). Organ Transplantation in Australia: Inequities in Access and Outcome for Indigenous Australians. </w:t>
      </w:r>
      <w:r w:rsidRPr="009D683D">
        <w:rPr>
          <w:rFonts w:ascii="Calibri" w:eastAsia="Calibri" w:hAnsi="Calibri" w:cs="Calibri"/>
          <w:i/>
          <w:noProof/>
          <w:sz w:val="22"/>
          <w:lang w:val="en-US"/>
        </w:rPr>
        <w:t>Transplantation, 101</w:t>
      </w:r>
      <w:r w:rsidRPr="009D683D">
        <w:rPr>
          <w:rFonts w:ascii="Calibri" w:eastAsia="Calibri" w:hAnsi="Calibri" w:cs="Calibri"/>
          <w:noProof/>
          <w:sz w:val="22"/>
          <w:lang w:val="en-US"/>
        </w:rPr>
        <w:t>(11), e345-e346. doi:10.1097/tp.0000000000001911</w:t>
      </w:r>
    </w:p>
    <w:p w14:paraId="265672FC"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Lehner, L. J., Reinke, P., Hörstrup, J. H., Rath, T., Suwelack, B., Krämer, B. K., . . . Banas, B. (2018). Evaluation of adherence and tolerability of prolonged-release tacrolimus (Advagraf™) in kidney transplant patients in Germany: A multicenter, noninterventional study. </w:t>
      </w:r>
      <w:r w:rsidRPr="009D683D">
        <w:rPr>
          <w:rFonts w:ascii="Calibri" w:eastAsia="Calibri" w:hAnsi="Calibri" w:cs="Calibri"/>
          <w:i/>
          <w:noProof/>
          <w:sz w:val="22"/>
          <w:lang w:val="en-US"/>
        </w:rPr>
        <w:t>Clinical Transplantation, 32</w:t>
      </w:r>
      <w:r w:rsidRPr="009D683D">
        <w:rPr>
          <w:rFonts w:ascii="Calibri" w:eastAsia="Calibri" w:hAnsi="Calibri" w:cs="Calibri"/>
          <w:noProof/>
          <w:sz w:val="22"/>
          <w:lang w:val="en-US"/>
        </w:rPr>
        <w:t>(1), e13142. doi:10.1111/ctr.13142</w:t>
      </w:r>
    </w:p>
    <w:p w14:paraId="5D860330"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Li, K., Zou, J., Ye, Z., Di, J., Han, X., Zhang, H., . . . Zhang, P. (2016). Effects of Bariatric Surgery on Renal Function in Obese Patients: A Systematic Review and Meta Analysis. </w:t>
      </w:r>
      <w:r w:rsidRPr="009D683D">
        <w:rPr>
          <w:rFonts w:ascii="Calibri" w:eastAsia="Calibri" w:hAnsi="Calibri" w:cs="Calibri"/>
          <w:i/>
          <w:noProof/>
          <w:sz w:val="22"/>
          <w:lang w:val="en-US"/>
        </w:rPr>
        <w:t>PloS one, 11</w:t>
      </w:r>
      <w:r w:rsidRPr="009D683D">
        <w:rPr>
          <w:rFonts w:ascii="Calibri" w:eastAsia="Calibri" w:hAnsi="Calibri" w:cs="Calibri"/>
          <w:noProof/>
          <w:sz w:val="22"/>
          <w:lang w:val="en-US"/>
        </w:rPr>
        <w:t>(10), e0163907. doi:10.1371/journal.pone.0163907</w:t>
      </w:r>
    </w:p>
    <w:p w14:paraId="793539E0"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Liaw, S. T., Lau, P., Pyett, P., Furler, J., Burchill, M., Rowley, K., &amp; Kelaher, M. (2011). Successful chronic disease care for Aboriginal Australians requires cultural competence. </w:t>
      </w:r>
      <w:r w:rsidRPr="009D683D">
        <w:rPr>
          <w:rFonts w:ascii="Calibri" w:eastAsia="Calibri" w:hAnsi="Calibri" w:cs="Calibri"/>
          <w:i/>
          <w:noProof/>
          <w:sz w:val="22"/>
          <w:lang w:val="en-US"/>
        </w:rPr>
        <w:t>Aust N Z J Public Health, 35</w:t>
      </w:r>
      <w:r w:rsidRPr="009D683D">
        <w:rPr>
          <w:rFonts w:ascii="Calibri" w:eastAsia="Calibri" w:hAnsi="Calibri" w:cs="Calibri"/>
          <w:noProof/>
          <w:sz w:val="22"/>
          <w:lang w:val="en-US"/>
        </w:rPr>
        <w:t>(3), 238-248. doi:10.1111/j.1753-6405.2011.00701.x</w:t>
      </w:r>
    </w:p>
    <w:p w14:paraId="09FA46BB"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Lowell, A., Maypilama, E., Yikaniwuy, S., Rrapa, E., Williams, R., &amp; Dunn, S. (2012). "Hiding the story": indigenous consumer concerns about communication related to chronic disease in one remote region of Australia. </w:t>
      </w:r>
      <w:r w:rsidRPr="009D683D">
        <w:rPr>
          <w:rFonts w:ascii="Calibri" w:eastAsia="Calibri" w:hAnsi="Calibri" w:cs="Calibri"/>
          <w:i/>
          <w:noProof/>
          <w:sz w:val="22"/>
          <w:lang w:val="en-US"/>
        </w:rPr>
        <w:t>International Journal of Speech-Language Pathology, 14</w:t>
      </w:r>
      <w:r w:rsidRPr="009D683D">
        <w:rPr>
          <w:rFonts w:ascii="Calibri" w:eastAsia="Calibri" w:hAnsi="Calibri" w:cs="Calibri"/>
          <w:noProof/>
          <w:sz w:val="22"/>
          <w:lang w:val="en-US"/>
        </w:rPr>
        <w:t>(3), 200-208. doi:10.3109/17549507.2012.663791</w:t>
      </w:r>
    </w:p>
    <w:p w14:paraId="61782D41"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Lukas, N., Franklin, J., Lee, C. M., Taylor, C. J., Martin, D. J., Kormas, N., . . . Markovic, T. P. (2014). The efficacy of bariatric surgery performed in the public sector for obese patients with comorbid conditions. </w:t>
      </w:r>
      <w:r w:rsidRPr="009D683D">
        <w:rPr>
          <w:rFonts w:ascii="Calibri" w:eastAsia="Calibri" w:hAnsi="Calibri" w:cs="Calibri"/>
          <w:i/>
          <w:noProof/>
          <w:sz w:val="22"/>
          <w:lang w:val="en-US"/>
        </w:rPr>
        <w:t>Med J Aust, 201</w:t>
      </w:r>
      <w:r w:rsidRPr="009D683D">
        <w:rPr>
          <w:rFonts w:ascii="Calibri" w:eastAsia="Calibri" w:hAnsi="Calibri" w:cs="Calibri"/>
          <w:noProof/>
          <w:sz w:val="22"/>
          <w:lang w:val="en-US"/>
        </w:rPr>
        <w:t>(4), 218-222. doi:10.5694/mja13.00046</w:t>
      </w:r>
    </w:p>
    <w:p w14:paraId="5A6CEEBA"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lastRenderedPageBreak/>
        <w:t xml:space="preserve">MacLaughlin, H. L., Cook, S. A., Kariyawasam, D., Roseke, M., van Niekerk, M., &amp; Macdougall, I. C. (2010). Nonrandomized trial of weight loss with orlistat, nutrition education, diet, and exercise in obese patients with CKD: 2-year follow-up. </w:t>
      </w:r>
      <w:r w:rsidRPr="009D683D">
        <w:rPr>
          <w:rFonts w:ascii="Calibri" w:eastAsia="Calibri" w:hAnsi="Calibri" w:cs="Calibri"/>
          <w:i/>
          <w:noProof/>
          <w:sz w:val="22"/>
          <w:lang w:val="en-US"/>
        </w:rPr>
        <w:t>Am J Kidney Dis, 55</w:t>
      </w:r>
      <w:r w:rsidRPr="009D683D">
        <w:rPr>
          <w:rFonts w:ascii="Calibri" w:eastAsia="Calibri" w:hAnsi="Calibri" w:cs="Calibri"/>
          <w:noProof/>
          <w:sz w:val="22"/>
          <w:lang w:val="en-US"/>
        </w:rPr>
        <w:t>(1), 69-76. doi:10.1053/j.ajkd.2009.09.011</w:t>
      </w:r>
    </w:p>
    <w:p w14:paraId="200F46CA"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Majoni, S. W., &amp; Abeyaratne, A. (2013). Renal transplantation in Indigenous Australians of the Northern Territory: closing the gap. </w:t>
      </w:r>
      <w:r w:rsidRPr="009D683D">
        <w:rPr>
          <w:rFonts w:ascii="Calibri" w:eastAsia="Calibri" w:hAnsi="Calibri" w:cs="Calibri"/>
          <w:i/>
          <w:noProof/>
          <w:sz w:val="22"/>
          <w:lang w:val="en-US"/>
        </w:rPr>
        <w:t>Intern Med J, 43</w:t>
      </w:r>
      <w:r w:rsidRPr="009D683D">
        <w:rPr>
          <w:rFonts w:ascii="Calibri" w:eastAsia="Calibri" w:hAnsi="Calibri" w:cs="Calibri"/>
          <w:noProof/>
          <w:sz w:val="22"/>
          <w:lang w:val="en-US"/>
        </w:rPr>
        <w:t>. doi:10.1111/imj.12274</w:t>
      </w:r>
    </w:p>
    <w:p w14:paraId="051B7878"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Majoni, S. W., Dole, K., Jabbar, Z., Sundram, M., &amp; Perry, G. (2012). Infections: The Achilles Heel of Immunosuppression for Renal Transplantation and Immunological Renal Disease Management in the Top End of Northern Australia: Case Reports. </w:t>
      </w:r>
      <w:r w:rsidRPr="009D683D">
        <w:rPr>
          <w:rFonts w:ascii="Calibri" w:eastAsia="Calibri" w:hAnsi="Calibri" w:cs="Calibri"/>
          <w:i/>
          <w:noProof/>
          <w:sz w:val="22"/>
          <w:lang w:val="en-US"/>
        </w:rPr>
        <w:t>Open Journal of Nephrology, 2</w:t>
      </w:r>
      <w:r w:rsidRPr="009D683D">
        <w:rPr>
          <w:rFonts w:ascii="Calibri" w:eastAsia="Calibri" w:hAnsi="Calibri" w:cs="Calibri"/>
          <w:noProof/>
          <w:sz w:val="22"/>
          <w:lang w:val="en-US"/>
        </w:rPr>
        <w:t>(4), 60-64. doi:10.4236/ojneph.2012.24010</w:t>
      </w:r>
    </w:p>
    <w:p w14:paraId="09E95935"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Maple-Brown, L. J., Hughes, J. T., Chatfield, M. D., Ward, L. C., Piers, L. S., Jones, G. R., . . . Jerums, G. (2015). Adding measures of body composition to the CKD-EPI GFR estimating equation in Indigenous Australians: the eGFR study. </w:t>
      </w:r>
      <w:r w:rsidRPr="009D683D">
        <w:rPr>
          <w:rFonts w:ascii="Calibri" w:eastAsia="Calibri" w:hAnsi="Calibri" w:cs="Calibri"/>
          <w:i/>
          <w:noProof/>
          <w:sz w:val="22"/>
          <w:lang w:val="en-US"/>
        </w:rPr>
        <w:t>Am J Kidney Dis, 65</w:t>
      </w:r>
      <w:r w:rsidRPr="009D683D">
        <w:rPr>
          <w:rFonts w:ascii="Calibri" w:eastAsia="Calibri" w:hAnsi="Calibri" w:cs="Calibri"/>
          <w:noProof/>
          <w:sz w:val="22"/>
          <w:lang w:val="en-US"/>
        </w:rPr>
        <w:t>(4), 632-634. doi:10.1053/j.ajkd.2014.11.015</w:t>
      </w:r>
    </w:p>
    <w:p w14:paraId="580FEFEA"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Matas, A. J., Smith, J. M., Skeans, M. A., Thompson, B., Gustafson, S. K., Stewart, D. E., . . . Kasiske, B. L. (2015). OPTN/SRTR 2013 Annual Data Report: Kidney. </w:t>
      </w:r>
      <w:r w:rsidRPr="009D683D">
        <w:rPr>
          <w:rFonts w:ascii="Calibri" w:eastAsia="Calibri" w:hAnsi="Calibri" w:cs="Calibri"/>
          <w:i/>
          <w:noProof/>
          <w:sz w:val="22"/>
          <w:lang w:val="en-US"/>
        </w:rPr>
        <w:t>American Journal of Transplantation, 15</w:t>
      </w:r>
      <w:r w:rsidRPr="009D683D">
        <w:rPr>
          <w:rFonts w:ascii="Calibri" w:eastAsia="Calibri" w:hAnsi="Calibri" w:cs="Calibri"/>
          <w:noProof/>
          <w:sz w:val="22"/>
          <w:lang w:val="en-US"/>
        </w:rPr>
        <w:t>(S2), 1-34. doi:10.1111/ajt.13195</w:t>
      </w:r>
    </w:p>
    <w:p w14:paraId="7673BD8B"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McDermott, R., Campbell, S., Li, M., &amp; McCulloch, B. (2009). The health and nutrition of young indigenous women in north Queensland - intergenerational implications of poor food quality, obesity, diabetes, tobacco smoking and alcohol use. </w:t>
      </w:r>
      <w:r w:rsidRPr="009D683D">
        <w:rPr>
          <w:rFonts w:ascii="Calibri" w:eastAsia="Calibri" w:hAnsi="Calibri" w:cs="Calibri"/>
          <w:i/>
          <w:noProof/>
          <w:sz w:val="22"/>
          <w:lang w:val="en-US"/>
        </w:rPr>
        <w:t>Public Health Nutr, 12</w:t>
      </w:r>
      <w:r w:rsidRPr="009D683D">
        <w:rPr>
          <w:rFonts w:ascii="Calibri" w:eastAsia="Calibri" w:hAnsi="Calibri" w:cs="Calibri"/>
          <w:noProof/>
          <w:sz w:val="22"/>
          <w:lang w:val="en-US"/>
        </w:rPr>
        <w:t>(11), 2143-2149. doi:10.1017/S1368980009005783</w:t>
      </w:r>
    </w:p>
    <w:p w14:paraId="513B8005"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McDonald, S. P. (2004). Indigenous transplant outcomes in Australia: what the ANZDATA Registry tells us. </w:t>
      </w:r>
      <w:r w:rsidRPr="009D683D">
        <w:rPr>
          <w:rFonts w:ascii="Calibri" w:eastAsia="Calibri" w:hAnsi="Calibri" w:cs="Calibri"/>
          <w:i/>
          <w:noProof/>
          <w:sz w:val="22"/>
          <w:lang w:val="en-US"/>
        </w:rPr>
        <w:t xml:space="preserve">Nephrology (Carlton), 9 </w:t>
      </w:r>
      <w:r w:rsidRPr="009D683D">
        <w:rPr>
          <w:rFonts w:ascii="Calibri" w:eastAsia="Calibri" w:hAnsi="Calibri" w:cs="Calibri"/>
          <w:noProof/>
          <w:sz w:val="22"/>
          <w:lang w:val="en-US"/>
        </w:rPr>
        <w:t>(Suppl 4), S138-143. doi:10.1111/j.1440-1797.2004.00350.x</w:t>
      </w:r>
    </w:p>
    <w:p w14:paraId="72AB29D6"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Mcdonald, S. P., Jose, M. D., Lawton, P., &amp; Cass, A. (2018).</w:t>
      </w:r>
      <w:r w:rsidRPr="009D683D">
        <w:rPr>
          <w:rFonts w:ascii="Calibri" w:eastAsia="Calibri" w:hAnsi="Calibri" w:cs="Calibri"/>
          <w:i/>
          <w:noProof/>
          <w:sz w:val="22"/>
          <w:lang w:val="en-US"/>
        </w:rPr>
        <w:t xml:space="preserve"> Kidney Transplant Outcomes among Indigenous compared to Non-Indigenous Australians</w:t>
      </w:r>
      <w:r w:rsidRPr="009D683D">
        <w:rPr>
          <w:rFonts w:ascii="Calibri" w:eastAsia="Calibri" w:hAnsi="Calibri" w:cs="Calibri"/>
          <w:noProof/>
          <w:sz w:val="22"/>
          <w:lang w:val="en-US"/>
        </w:rPr>
        <w:t>. Adelaide, Australia.</w:t>
      </w:r>
    </w:p>
    <w:p w14:paraId="2B70F7C5"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Merion, R. M., Goodrich, N. P., Johnson, R. J., McDonald, S. P., Russ, G. R., Gillespie, B. W., &amp; Collett, D. (2018). Kidney transplant graft outcomes in 379 257 recipients on 3 continents. </w:t>
      </w:r>
      <w:r w:rsidRPr="009D683D">
        <w:rPr>
          <w:rFonts w:ascii="Calibri" w:eastAsia="Calibri" w:hAnsi="Calibri" w:cs="Calibri"/>
          <w:i/>
          <w:noProof/>
          <w:sz w:val="22"/>
          <w:lang w:val="en-US"/>
        </w:rPr>
        <w:t>Am J Transplant, 18</w:t>
      </w:r>
      <w:r w:rsidRPr="009D683D">
        <w:rPr>
          <w:rFonts w:ascii="Calibri" w:eastAsia="Calibri" w:hAnsi="Calibri" w:cs="Calibri"/>
          <w:noProof/>
          <w:sz w:val="22"/>
          <w:lang w:val="en-US"/>
        </w:rPr>
        <w:t>(8), 1914-1923. doi:10.1111/ajt.14694</w:t>
      </w:r>
    </w:p>
    <w:p w14:paraId="27DE1251"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Modanlou, K. A., Muthyala, U., Xiao, H., Schnitzler, M. A., Salvalaggio, P. R., Brennan, D. C., . . . Lentine, K. L. (2009). Bariatric surgery among kidney transplant candidates and recipients: analysis of the United States renal data system and literature review. </w:t>
      </w:r>
      <w:r w:rsidRPr="009D683D">
        <w:rPr>
          <w:rFonts w:ascii="Calibri" w:eastAsia="Calibri" w:hAnsi="Calibri" w:cs="Calibri"/>
          <w:i/>
          <w:noProof/>
          <w:sz w:val="22"/>
          <w:lang w:val="en-US"/>
        </w:rPr>
        <w:t>Transplantation, 87</w:t>
      </w:r>
      <w:r w:rsidRPr="009D683D">
        <w:rPr>
          <w:rFonts w:ascii="Calibri" w:eastAsia="Calibri" w:hAnsi="Calibri" w:cs="Calibri"/>
          <w:noProof/>
          <w:sz w:val="22"/>
          <w:lang w:val="en-US"/>
        </w:rPr>
        <w:t>(8), 1167-1173. doi:10.1097/TP.0b013e31819e3f14</w:t>
      </w:r>
    </w:p>
    <w:p w14:paraId="0D71676C"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Morales, J. M., Varo, E., &amp; Lázaro, P. (2012). Immunosuppressant treatment adherence, barriers to adherence and quality of life in renal and liver transplant recipients in Spain. </w:t>
      </w:r>
      <w:r w:rsidRPr="009D683D">
        <w:rPr>
          <w:rFonts w:ascii="Calibri" w:eastAsia="Calibri" w:hAnsi="Calibri" w:cs="Calibri"/>
          <w:i/>
          <w:noProof/>
          <w:sz w:val="22"/>
          <w:lang w:val="en-US"/>
        </w:rPr>
        <w:t>Clinical Transplantation, 26</w:t>
      </w:r>
      <w:r w:rsidRPr="009D683D">
        <w:rPr>
          <w:rFonts w:ascii="Calibri" w:eastAsia="Calibri" w:hAnsi="Calibri" w:cs="Calibri"/>
          <w:noProof/>
          <w:sz w:val="22"/>
          <w:lang w:val="en-US"/>
        </w:rPr>
        <w:t>(2), 369-376. doi:10.1111/j.1399-0012.2011.01544.x</w:t>
      </w:r>
    </w:p>
    <w:p w14:paraId="52996456"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Moreso, F., Torres, I., Costa-Requena, G., &amp; Serón, D. (2015). Nonadherence to immunosuppression: Challenges and solutions. </w:t>
      </w:r>
      <w:r w:rsidRPr="009D683D">
        <w:rPr>
          <w:rFonts w:ascii="Calibri" w:eastAsia="Calibri" w:hAnsi="Calibri" w:cs="Calibri"/>
          <w:i/>
          <w:noProof/>
          <w:sz w:val="22"/>
          <w:lang w:val="en-US"/>
        </w:rPr>
        <w:t>Transplant Research and Risk Management, 7</w:t>
      </w:r>
      <w:r w:rsidRPr="009D683D">
        <w:rPr>
          <w:rFonts w:ascii="Calibri" w:eastAsia="Calibri" w:hAnsi="Calibri" w:cs="Calibri"/>
          <w:noProof/>
          <w:sz w:val="22"/>
          <w:lang w:val="en-US"/>
        </w:rPr>
        <w:t>. doi:10.2147/TRRM.S50796</w:t>
      </w:r>
    </w:p>
    <w:p w14:paraId="61AB29BB"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NHMRC. (2013). </w:t>
      </w:r>
      <w:r w:rsidRPr="009D683D">
        <w:rPr>
          <w:rFonts w:ascii="Calibri" w:eastAsia="Calibri" w:hAnsi="Calibri" w:cs="Calibri"/>
          <w:i/>
          <w:noProof/>
          <w:sz w:val="22"/>
          <w:lang w:val="en-US"/>
        </w:rPr>
        <w:t>Clinical practice guidelines for the management of overweight and obesity in adults, adolescents and children in Australia</w:t>
      </w:r>
      <w:r w:rsidRPr="009D683D">
        <w:rPr>
          <w:rFonts w:ascii="Calibri" w:eastAsia="Calibri" w:hAnsi="Calibri" w:cs="Calibri"/>
          <w:noProof/>
          <w:sz w:val="22"/>
          <w:lang w:val="en-US"/>
        </w:rPr>
        <w:t xml:space="preserve">. Canberra: Department of Health. Retrieved from </w:t>
      </w:r>
      <w:hyperlink r:id="rId68" w:history="1">
        <w:r w:rsidRPr="009D683D">
          <w:rPr>
            <w:rFonts w:ascii="Calibri" w:eastAsia="Calibri" w:hAnsi="Calibri" w:cs="Calibri"/>
            <w:noProof/>
            <w:color w:val="0000FF"/>
            <w:sz w:val="22"/>
            <w:u w:val="single"/>
            <w:lang w:val="en-US"/>
          </w:rPr>
          <w:t>https://nhmrc.gov.au/about-us/publications/clinical-practice-guidelines-management-overweight-and-obesity</w:t>
        </w:r>
      </w:hyperlink>
    </w:p>
    <w:p w14:paraId="7E6CD9C0"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NRHA. (2014). </w:t>
      </w:r>
      <w:r w:rsidRPr="009D683D">
        <w:rPr>
          <w:rFonts w:ascii="Calibri" w:eastAsia="Calibri" w:hAnsi="Calibri" w:cs="Calibri"/>
          <w:i/>
          <w:noProof/>
          <w:sz w:val="22"/>
          <w:lang w:val="en-US"/>
        </w:rPr>
        <w:t>Patient Assisted Travel Schemes.</w:t>
      </w:r>
      <w:r w:rsidRPr="009D683D">
        <w:rPr>
          <w:rFonts w:ascii="Calibri" w:eastAsia="Calibri" w:hAnsi="Calibri" w:cs="Calibri"/>
          <w:noProof/>
          <w:sz w:val="22"/>
          <w:lang w:val="en-US"/>
        </w:rPr>
        <w:t xml:space="preserve"> Canberra, Australia: National Rural Health Alliance. Retrieved from </w:t>
      </w:r>
      <w:r w:rsidRPr="009D683D">
        <w:rPr>
          <w:rFonts w:ascii="Calibri" w:eastAsia="Calibri" w:hAnsi="Calibri" w:cs="Calibri"/>
          <w:noProof/>
          <w:color w:val="0000FF"/>
          <w:sz w:val="22"/>
          <w:u w:val="single"/>
          <w:lang w:val="en-US"/>
        </w:rPr>
        <w:t>http://ruralhealth.org.au/sites/default/files/publications/nrha-factsheet-pats.pdf</w:t>
      </w:r>
    </w:p>
    <w:p w14:paraId="30EA8D64"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O'Brien, P. E., DeWitt, D. E., Laurie, C., Brennan, L., Wentworth, J. M., Anderson, M., . . . Dalton, D. P. (2016). The Effect of Weight Loss on Indigenous Australians with Diabetes: a study of Feasibility, Acceptability and Effectiveness of Laparoscopic Adjustable Gastric Banding. </w:t>
      </w:r>
      <w:r w:rsidRPr="009D683D">
        <w:rPr>
          <w:rFonts w:ascii="Calibri" w:eastAsia="Calibri" w:hAnsi="Calibri" w:cs="Calibri"/>
          <w:i/>
          <w:noProof/>
          <w:sz w:val="22"/>
          <w:lang w:val="en-US"/>
        </w:rPr>
        <w:t>Obes Surg, 26</w:t>
      </w:r>
      <w:r w:rsidRPr="009D683D">
        <w:rPr>
          <w:rFonts w:ascii="Calibri" w:eastAsia="Calibri" w:hAnsi="Calibri" w:cs="Calibri"/>
          <w:noProof/>
          <w:sz w:val="22"/>
          <w:lang w:val="en-US"/>
        </w:rPr>
        <w:t>(1), 45-53. doi:10.1007/s11695-015-1733-4</w:t>
      </w:r>
    </w:p>
    <w:p w14:paraId="313F0BDF"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Obi, Y., Ichimaru, N., Kato, T., Kaimori, J. Y., Okumi, M., Yazawa, K., . . . Takahara, S. (2013). A single daily dose enhances the adherence to immunosuppressive treatment in kidney transplant </w:t>
      </w:r>
      <w:r w:rsidRPr="009D683D">
        <w:rPr>
          <w:rFonts w:ascii="Calibri" w:eastAsia="Calibri" w:hAnsi="Calibri" w:cs="Calibri"/>
          <w:noProof/>
          <w:sz w:val="22"/>
          <w:lang w:val="en-US"/>
        </w:rPr>
        <w:lastRenderedPageBreak/>
        <w:t xml:space="preserve">recipients: a cross-sectional study. </w:t>
      </w:r>
      <w:r w:rsidRPr="009D683D">
        <w:rPr>
          <w:rFonts w:ascii="Calibri" w:eastAsia="Calibri" w:hAnsi="Calibri" w:cs="Calibri"/>
          <w:i/>
          <w:noProof/>
          <w:sz w:val="22"/>
          <w:lang w:val="en-US"/>
        </w:rPr>
        <w:t>Clin Exp Nephrol, 17</w:t>
      </w:r>
      <w:r w:rsidRPr="009D683D">
        <w:rPr>
          <w:rFonts w:ascii="Calibri" w:eastAsia="Calibri" w:hAnsi="Calibri" w:cs="Calibri"/>
          <w:noProof/>
          <w:sz w:val="22"/>
          <w:lang w:val="en-US"/>
        </w:rPr>
        <w:t>(2), 310-315. doi:10.1007/s10157-012-0713-4</w:t>
      </w:r>
    </w:p>
    <w:p w14:paraId="5AB73BFB"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Olafsdottir, S. (2013). Social construction and health. In W. C. Cockerham (Ed.), </w:t>
      </w:r>
      <w:r w:rsidRPr="009D683D">
        <w:rPr>
          <w:rFonts w:ascii="Calibri" w:eastAsia="Calibri" w:hAnsi="Calibri" w:cs="Calibri"/>
          <w:i/>
          <w:noProof/>
          <w:sz w:val="22"/>
          <w:lang w:val="en-US"/>
        </w:rPr>
        <w:t>Medical sociology on the move</w:t>
      </w:r>
      <w:r w:rsidRPr="009D683D">
        <w:rPr>
          <w:rFonts w:ascii="Calibri" w:eastAsia="Calibri" w:hAnsi="Calibri" w:cs="Calibri"/>
          <w:noProof/>
          <w:sz w:val="22"/>
          <w:lang w:val="en-US"/>
        </w:rPr>
        <w:t>. Dordrecht Heidelberg: Springer Science.</w:t>
      </w:r>
    </w:p>
    <w:p w14:paraId="42850172"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Panaretto, K. S., Wenitong, M., Button, S., &amp; Ring, I. T. (2014). Aboriginal community controlled health services: leading the way in primary care. </w:t>
      </w:r>
      <w:r w:rsidRPr="009D683D">
        <w:rPr>
          <w:rFonts w:ascii="Calibri" w:eastAsia="Calibri" w:hAnsi="Calibri" w:cs="Calibri"/>
          <w:i/>
          <w:noProof/>
          <w:sz w:val="22"/>
          <w:lang w:val="en-US"/>
        </w:rPr>
        <w:t>Med J Aust, 200</w:t>
      </w:r>
      <w:r w:rsidRPr="009D683D">
        <w:rPr>
          <w:rFonts w:ascii="Calibri" w:eastAsia="Calibri" w:hAnsi="Calibri" w:cs="Calibri"/>
          <w:noProof/>
          <w:sz w:val="22"/>
          <w:lang w:val="en-US"/>
        </w:rPr>
        <w:t xml:space="preserve">(11), 649-652. doi:10.5694/mja13.00005 </w:t>
      </w:r>
    </w:p>
    <w:p w14:paraId="03955686"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Park, J., Ahmadi, S. F., Streja, E., Molnar, M. Z., Flegal, K. M., Gillen, D., . . . Kalantar-Zadeh, K. (2014). Obesity paradox in end-stage kidney disease patients. </w:t>
      </w:r>
      <w:r w:rsidRPr="009D683D">
        <w:rPr>
          <w:rFonts w:ascii="Calibri" w:eastAsia="Calibri" w:hAnsi="Calibri" w:cs="Calibri"/>
          <w:i/>
          <w:noProof/>
          <w:sz w:val="22"/>
          <w:lang w:val="en-US"/>
        </w:rPr>
        <w:t>Prog Cardiovasc Dis, 56</w:t>
      </w:r>
      <w:r w:rsidRPr="009D683D">
        <w:rPr>
          <w:rFonts w:ascii="Calibri" w:eastAsia="Calibri" w:hAnsi="Calibri" w:cs="Calibri"/>
          <w:noProof/>
          <w:sz w:val="22"/>
          <w:lang w:val="en-US"/>
        </w:rPr>
        <w:t>(4), 415-425. doi:10.1016/j.pcad.2013.10.005</w:t>
      </w:r>
    </w:p>
    <w:p w14:paraId="1324F992"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Piers, L. S., Rowley, K. G., Soares, M., &amp; O'Dea, K. (2003). </w:t>
      </w:r>
      <w:r w:rsidRPr="009D683D">
        <w:rPr>
          <w:rFonts w:ascii="Calibri" w:eastAsia="Calibri" w:hAnsi="Calibri" w:cs="Calibri"/>
          <w:i/>
          <w:noProof/>
          <w:sz w:val="22"/>
          <w:lang w:val="en-US"/>
        </w:rPr>
        <w:t>Relation of adiposity and body fat distribution to body mass index in Australians of Aboriginal and European ancestry</w:t>
      </w:r>
      <w:r w:rsidRPr="009D683D">
        <w:rPr>
          <w:rFonts w:ascii="Calibri" w:eastAsia="Calibri" w:hAnsi="Calibri" w:cs="Calibri"/>
          <w:noProof/>
          <w:sz w:val="22"/>
          <w:lang w:val="en-US"/>
        </w:rPr>
        <w:t xml:space="preserve"> (Vol. 57).</w:t>
      </w:r>
    </w:p>
    <w:p w14:paraId="0C8713EF"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Pinsky, B. W., Takemoto, S. K., Lentine, K. L., Burroughs, T. E., Schnitzler, M. A., &amp; Salvalaggio, P. R. (2009). Transplant outcomes and economic costs associated with patient noncompliance to immunosuppression. </w:t>
      </w:r>
      <w:r w:rsidRPr="009D683D">
        <w:rPr>
          <w:rFonts w:ascii="Calibri" w:eastAsia="Calibri" w:hAnsi="Calibri" w:cs="Calibri"/>
          <w:i/>
          <w:noProof/>
          <w:sz w:val="22"/>
          <w:lang w:val="en-US"/>
        </w:rPr>
        <w:t>Am J Transplant, 9</w:t>
      </w:r>
      <w:r w:rsidRPr="009D683D">
        <w:rPr>
          <w:rFonts w:ascii="Calibri" w:eastAsia="Calibri" w:hAnsi="Calibri" w:cs="Calibri"/>
          <w:noProof/>
          <w:sz w:val="22"/>
          <w:lang w:val="en-US"/>
        </w:rPr>
        <w:t>(11), 2597-2606. doi:10.1111/j.1600-6143.2009.02798.x</w:t>
      </w:r>
    </w:p>
    <w:p w14:paraId="35146CA6"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The PK Study. (2018). Retrieved from </w:t>
      </w:r>
      <w:hyperlink r:id="rId69" w:history="1">
        <w:r w:rsidRPr="009D683D">
          <w:rPr>
            <w:rFonts w:ascii="Calibri" w:eastAsia="Calibri" w:hAnsi="Calibri" w:cs="Calibri"/>
            <w:noProof/>
            <w:color w:val="0000FF"/>
            <w:sz w:val="22"/>
            <w:u w:val="single"/>
            <w:lang w:val="en-US"/>
          </w:rPr>
          <w:t>https://www.menzies.edu.au/page/Research/Projects/Kidney/Comparison_of_Immunosuppressant_Drug_Pharmacokinetics_in_Aboriginal_versus_non-Aboriginal_Australian_Kidney_Transplant_Recipients/</w:t>
        </w:r>
      </w:hyperlink>
    </w:p>
    <w:p w14:paraId="6B98F850"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Poudel, A., &amp; Nissen, L. (2016). </w:t>
      </w:r>
      <w:r w:rsidRPr="009D683D">
        <w:rPr>
          <w:rFonts w:ascii="Calibri" w:eastAsia="Calibri" w:hAnsi="Calibri" w:cs="Calibri"/>
          <w:i/>
          <w:noProof/>
          <w:sz w:val="22"/>
          <w:lang w:val="en-US"/>
        </w:rPr>
        <w:t>Telepharmacy: a pharmacist’s perspective on the clinical benefits and challenges</w:t>
      </w:r>
      <w:r w:rsidRPr="009D683D">
        <w:rPr>
          <w:rFonts w:ascii="Calibri" w:eastAsia="Calibri" w:hAnsi="Calibri" w:cs="Calibri"/>
          <w:noProof/>
          <w:sz w:val="22"/>
          <w:lang w:val="en-US"/>
        </w:rPr>
        <w:t xml:space="preserve"> (Vol. 5).</w:t>
      </w:r>
    </w:p>
    <w:p w14:paraId="667B175C"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Poulson, L. K., Nissen, L., &amp; Coombes, I. (2010). Pharmaceutical review using telemedicine--a before and after feasibility study. </w:t>
      </w:r>
      <w:r w:rsidRPr="009D683D">
        <w:rPr>
          <w:rFonts w:ascii="Calibri" w:eastAsia="Calibri" w:hAnsi="Calibri" w:cs="Calibri"/>
          <w:i/>
          <w:noProof/>
          <w:sz w:val="22"/>
          <w:lang w:val="en-US"/>
        </w:rPr>
        <w:t>J Telemed Telecare, 16</w:t>
      </w:r>
      <w:r w:rsidRPr="009D683D">
        <w:rPr>
          <w:rFonts w:ascii="Calibri" w:eastAsia="Calibri" w:hAnsi="Calibri" w:cs="Calibri"/>
          <w:noProof/>
          <w:sz w:val="22"/>
          <w:lang w:val="en-US"/>
        </w:rPr>
        <w:t>(2), 95-99. doi:10.1258/jtt.2009.090716</w:t>
      </w:r>
    </w:p>
    <w:p w14:paraId="1B3C1FD5"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Pourmand, G. R., Dehghani, S., Saraji, A., Khaki, S., Mortazavi, S. H., Mehrsai, A., &amp; Sajadi, H. (2012). Relationship between Post-kidney Transplantation Antithymocyte Globulin Therapy and Wound Healing Complications. </w:t>
      </w:r>
      <w:r w:rsidRPr="009D683D">
        <w:rPr>
          <w:rFonts w:ascii="Calibri" w:eastAsia="Calibri" w:hAnsi="Calibri" w:cs="Calibri"/>
          <w:i/>
          <w:noProof/>
          <w:sz w:val="22"/>
          <w:lang w:val="en-US"/>
        </w:rPr>
        <w:t>Int J Organ Transplant Med, 3</w:t>
      </w:r>
      <w:r w:rsidRPr="009D683D">
        <w:rPr>
          <w:rFonts w:ascii="Calibri" w:eastAsia="Calibri" w:hAnsi="Calibri" w:cs="Calibri"/>
          <w:noProof/>
          <w:sz w:val="22"/>
          <w:lang w:val="en-US"/>
        </w:rPr>
        <w:t xml:space="preserve">(2), 79-84. </w:t>
      </w:r>
    </w:p>
    <w:p w14:paraId="6C9DE812"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Preston-Thomas, A., Cass, A., &amp; O'Rourke, P. (2007). Trends in the incidence of treated end-stage kidney disease among Indigenous Australians and access to treatment. </w:t>
      </w:r>
      <w:r w:rsidRPr="009D683D">
        <w:rPr>
          <w:rFonts w:ascii="Calibri" w:eastAsia="Calibri" w:hAnsi="Calibri" w:cs="Calibri"/>
          <w:i/>
          <w:noProof/>
          <w:sz w:val="22"/>
          <w:lang w:val="en-US"/>
        </w:rPr>
        <w:t>Aust N Z J Public Health, 31</w:t>
      </w:r>
      <w:r w:rsidRPr="009D683D">
        <w:rPr>
          <w:rFonts w:ascii="Calibri" w:eastAsia="Calibri" w:hAnsi="Calibri" w:cs="Calibri"/>
          <w:noProof/>
          <w:sz w:val="22"/>
          <w:lang w:val="en-US"/>
        </w:rPr>
        <w:t>. doi:10.1111/j.1753-6405.2007.00111.x</w:t>
      </w:r>
    </w:p>
    <w:p w14:paraId="00DCF580"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Puzziferri, N., Roshek, T. B., 3rd, Mayo, H. G., Gallagher, R., Belle, S. H., &amp; Livingston, E. H. (2014). Long-term follow-up after bariatric surgery: a systematic review. </w:t>
      </w:r>
      <w:r w:rsidRPr="009D683D">
        <w:rPr>
          <w:rFonts w:ascii="Calibri" w:eastAsia="Calibri" w:hAnsi="Calibri" w:cs="Calibri"/>
          <w:i/>
          <w:noProof/>
          <w:sz w:val="22"/>
          <w:lang w:val="en-US"/>
        </w:rPr>
        <w:t>JAMA, 312</w:t>
      </w:r>
      <w:r w:rsidRPr="009D683D">
        <w:rPr>
          <w:rFonts w:ascii="Calibri" w:eastAsia="Calibri" w:hAnsi="Calibri" w:cs="Calibri"/>
          <w:noProof/>
          <w:sz w:val="22"/>
          <w:lang w:val="en-US"/>
        </w:rPr>
        <w:t>(9), 934-942. doi:10.1001/jama.2014.10706</w:t>
      </w:r>
    </w:p>
    <w:p w14:paraId="37C2E5D3"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Ralph, A. P., Lowell, A., Murphy, J., Dias, T., Butler, D., Spain, B., . . . Cass, A. (2017). Low uptake of Aboriginal interpreters in healthcare: exploration of current use in Australia's Northern Territory. </w:t>
      </w:r>
      <w:r w:rsidRPr="009D683D">
        <w:rPr>
          <w:rFonts w:ascii="Calibri" w:eastAsia="Calibri" w:hAnsi="Calibri" w:cs="Calibri"/>
          <w:i/>
          <w:noProof/>
          <w:sz w:val="22"/>
          <w:lang w:val="en-US"/>
        </w:rPr>
        <w:t>BMC Health Serv Res, 17</w:t>
      </w:r>
      <w:r w:rsidRPr="009D683D">
        <w:rPr>
          <w:rFonts w:ascii="Calibri" w:eastAsia="Calibri" w:hAnsi="Calibri" w:cs="Calibri"/>
          <w:noProof/>
          <w:sz w:val="22"/>
          <w:lang w:val="en-US"/>
        </w:rPr>
        <w:t>(1), 733. doi:10.1186/s12913-017-2689-y</w:t>
      </w:r>
    </w:p>
    <w:p w14:paraId="4AF79D94"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Rix, E. F., Barclay, L., Stirling, J., Tong, A., &amp; Wilson, S. (2015). The perspectives of Aboriginal patients and their health care providers on improving the quality of hemodialysis services: a qualitative study. </w:t>
      </w:r>
      <w:r w:rsidRPr="009D683D">
        <w:rPr>
          <w:rFonts w:ascii="Calibri" w:eastAsia="Calibri" w:hAnsi="Calibri" w:cs="Calibri"/>
          <w:i/>
          <w:noProof/>
          <w:sz w:val="22"/>
          <w:lang w:val="en-US"/>
        </w:rPr>
        <w:t>Hemodial Int, 19</w:t>
      </w:r>
      <w:r w:rsidRPr="009D683D">
        <w:rPr>
          <w:rFonts w:ascii="Calibri" w:eastAsia="Calibri" w:hAnsi="Calibri" w:cs="Calibri"/>
          <w:noProof/>
          <w:sz w:val="22"/>
          <w:lang w:val="en-US"/>
        </w:rPr>
        <w:t>(1), 80-89. doi:10.1111/hdi.12201</w:t>
      </w:r>
    </w:p>
    <w:p w14:paraId="1865187A"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Rogers, N. M., Lawton, P. D., &amp; Jose, M. D. (2006). Kidney transplant outcomes in the Indigenous population in the Northern Territory of Australia. </w:t>
      </w:r>
      <w:r w:rsidRPr="009D683D">
        <w:rPr>
          <w:rFonts w:ascii="Calibri" w:eastAsia="Calibri" w:hAnsi="Calibri" w:cs="Calibri"/>
          <w:i/>
          <w:noProof/>
          <w:sz w:val="22"/>
          <w:lang w:val="en-US"/>
        </w:rPr>
        <w:t>Transplantation, 82</w:t>
      </w:r>
      <w:r w:rsidRPr="009D683D">
        <w:rPr>
          <w:rFonts w:ascii="Calibri" w:eastAsia="Calibri" w:hAnsi="Calibri" w:cs="Calibri"/>
          <w:noProof/>
          <w:sz w:val="22"/>
          <w:lang w:val="en-US"/>
        </w:rPr>
        <w:t>. doi:10.1097/01.tp.0000232439.88527.49</w:t>
      </w:r>
    </w:p>
    <w:p w14:paraId="7968AE66"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Rohatgi, R., Ross, M. J., &amp; Majoni, S. W. (2017). Telenephrology: current perspectives and future directions. </w:t>
      </w:r>
      <w:r w:rsidRPr="009D683D">
        <w:rPr>
          <w:rFonts w:ascii="Calibri" w:eastAsia="Calibri" w:hAnsi="Calibri" w:cs="Calibri"/>
          <w:i/>
          <w:noProof/>
          <w:sz w:val="22"/>
          <w:lang w:val="en-US"/>
        </w:rPr>
        <w:t>Kidney Int, 92</w:t>
      </w:r>
      <w:r w:rsidRPr="009D683D">
        <w:rPr>
          <w:rFonts w:ascii="Calibri" w:eastAsia="Calibri" w:hAnsi="Calibri" w:cs="Calibri"/>
          <w:noProof/>
          <w:sz w:val="22"/>
          <w:lang w:val="en-US"/>
        </w:rPr>
        <w:t>(6), 1328-1333. doi:10.1016/j.kint.2017.06.032</w:t>
      </w:r>
    </w:p>
    <w:p w14:paraId="3FF77418"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Sanson-Fisher, R., Campbell, E. M., Perkins, J., Blunden, S. V., &amp; Davis, B. B. (2006). </w:t>
      </w:r>
      <w:r w:rsidRPr="009D683D">
        <w:rPr>
          <w:rFonts w:ascii="Calibri" w:eastAsia="Calibri" w:hAnsi="Calibri" w:cs="Calibri"/>
          <w:i/>
          <w:noProof/>
          <w:sz w:val="22"/>
          <w:lang w:val="en-US"/>
        </w:rPr>
        <w:t>Indigenous health research: A critical review of outputs over time</w:t>
      </w:r>
      <w:r w:rsidRPr="009D683D">
        <w:rPr>
          <w:rFonts w:ascii="Calibri" w:eastAsia="Calibri" w:hAnsi="Calibri" w:cs="Calibri"/>
          <w:noProof/>
          <w:sz w:val="22"/>
          <w:lang w:val="en-US"/>
        </w:rPr>
        <w:t xml:space="preserve"> (Vol. 184).</w:t>
      </w:r>
    </w:p>
    <w:p w14:paraId="132D8C12"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Schauer, P. R., Mingrone, G., Ikramuddin, S., &amp; Wolfe, B. (2016). Clinical Outcomes of Metabolic Surgery: Efficacy of Glycemic Control, Weight Loss, and Remission of Diabetes. </w:t>
      </w:r>
      <w:r w:rsidRPr="009D683D">
        <w:rPr>
          <w:rFonts w:ascii="Calibri" w:eastAsia="Calibri" w:hAnsi="Calibri" w:cs="Calibri"/>
          <w:i/>
          <w:noProof/>
          <w:sz w:val="22"/>
          <w:lang w:val="en-US"/>
        </w:rPr>
        <w:t>Diabetes Care, 39</w:t>
      </w:r>
      <w:r w:rsidRPr="009D683D">
        <w:rPr>
          <w:rFonts w:ascii="Calibri" w:eastAsia="Calibri" w:hAnsi="Calibri" w:cs="Calibri"/>
          <w:noProof/>
          <w:sz w:val="22"/>
          <w:lang w:val="en-US"/>
        </w:rPr>
        <w:t>(6), 902-911. doi:10.2337/dc16-0382</w:t>
      </w:r>
    </w:p>
    <w:p w14:paraId="55634FBA"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Shephard, M. (2003). Point-of-care testing in the Aborginal community. </w:t>
      </w:r>
      <w:r w:rsidRPr="009D683D">
        <w:rPr>
          <w:rFonts w:ascii="Calibri" w:eastAsia="Calibri" w:hAnsi="Calibri" w:cs="Calibri"/>
          <w:i/>
          <w:noProof/>
          <w:sz w:val="22"/>
          <w:lang w:val="en-US"/>
        </w:rPr>
        <w:t>Australian Journal of Medical Science, 24</w:t>
      </w:r>
      <w:r w:rsidRPr="009D683D">
        <w:rPr>
          <w:rFonts w:ascii="Calibri" w:eastAsia="Calibri" w:hAnsi="Calibri" w:cs="Calibri"/>
          <w:noProof/>
          <w:sz w:val="22"/>
          <w:lang w:val="en-US"/>
        </w:rPr>
        <w:t xml:space="preserve">, 10-16. </w:t>
      </w:r>
    </w:p>
    <w:p w14:paraId="5DF66D75"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lastRenderedPageBreak/>
        <w:t xml:space="preserve">Shephard, M. (2010). Point-of-care testing comes of age in Australia. </w:t>
      </w:r>
      <w:r w:rsidRPr="009D683D">
        <w:rPr>
          <w:rFonts w:ascii="Calibri" w:eastAsia="Calibri" w:hAnsi="Calibri" w:cs="Calibri"/>
          <w:i/>
          <w:noProof/>
          <w:sz w:val="22"/>
          <w:lang w:val="en-US"/>
        </w:rPr>
        <w:t>Australian Prescriber, 33</w:t>
      </w:r>
      <w:r w:rsidRPr="009D683D">
        <w:rPr>
          <w:rFonts w:ascii="Calibri" w:eastAsia="Calibri" w:hAnsi="Calibri" w:cs="Calibri"/>
          <w:noProof/>
          <w:sz w:val="22"/>
          <w:lang w:val="en-US"/>
        </w:rPr>
        <w:t>(1), 6-9. doi:10.18773/austprescr.2010.003</w:t>
      </w:r>
    </w:p>
    <w:p w14:paraId="51D20801"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Shephard, M. (2013). Point-of-Care Testing in Australia: The Status, Practical Advantages, and Benefits of Community Resiliency Point of Care. </w:t>
      </w:r>
      <w:r w:rsidRPr="009D683D">
        <w:rPr>
          <w:rFonts w:ascii="Calibri" w:eastAsia="Calibri" w:hAnsi="Calibri" w:cs="Calibri"/>
          <w:i/>
          <w:noProof/>
          <w:sz w:val="22"/>
          <w:lang w:val="en-US"/>
        </w:rPr>
        <w:t>Point of Care, 12</w:t>
      </w:r>
      <w:r w:rsidRPr="009D683D">
        <w:rPr>
          <w:rFonts w:ascii="Calibri" w:eastAsia="Calibri" w:hAnsi="Calibri" w:cs="Calibri"/>
          <w:noProof/>
          <w:sz w:val="22"/>
          <w:lang w:val="en-US"/>
        </w:rPr>
        <w:t>(1), 41-45. doi:10.1097/POC.0b013e318265f79e</w:t>
      </w:r>
    </w:p>
    <w:p w14:paraId="0189FACA"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Siddiqui, Z., Tedesco-Silva, H., &amp; Riella, L. V. (2017). Belatacept in kidney transplantation - past and future perspectives. </w:t>
      </w:r>
      <w:r w:rsidRPr="009D683D">
        <w:rPr>
          <w:rFonts w:ascii="Calibri" w:eastAsia="Calibri" w:hAnsi="Calibri" w:cs="Calibri"/>
          <w:i/>
          <w:noProof/>
          <w:sz w:val="22"/>
          <w:lang w:val="en-US"/>
        </w:rPr>
        <w:t>J Bras Nefrol, 39</w:t>
      </w:r>
      <w:r w:rsidRPr="009D683D">
        <w:rPr>
          <w:rFonts w:ascii="Calibri" w:eastAsia="Calibri" w:hAnsi="Calibri" w:cs="Calibri"/>
          <w:noProof/>
          <w:sz w:val="22"/>
          <w:lang w:val="en-US"/>
        </w:rPr>
        <w:t>(2), 205-212. doi:10.5935/0101-2800.20170035</w:t>
      </w:r>
    </w:p>
    <w:p w14:paraId="2566C47E"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Stephens, D. (2007). Exploring pathways to improve indigenous organ donation. </w:t>
      </w:r>
      <w:r w:rsidRPr="009D683D">
        <w:rPr>
          <w:rFonts w:ascii="Calibri" w:eastAsia="Calibri" w:hAnsi="Calibri" w:cs="Calibri"/>
          <w:i/>
          <w:noProof/>
          <w:sz w:val="22"/>
          <w:lang w:val="en-US"/>
        </w:rPr>
        <w:t>Internal Medicine Journal, 37</w:t>
      </w:r>
      <w:r w:rsidRPr="009D683D">
        <w:rPr>
          <w:rFonts w:ascii="Calibri" w:eastAsia="Calibri" w:hAnsi="Calibri" w:cs="Calibri"/>
          <w:noProof/>
          <w:sz w:val="22"/>
          <w:lang w:val="en-US"/>
        </w:rPr>
        <w:t>(10), 713-716. doi:doi:10.1111/j.1445-5994.2007.01500.x</w:t>
      </w:r>
    </w:p>
    <w:p w14:paraId="728CD696"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Stevens, J. A., Egger, G., &amp; Morgan, B. (2018). A novel, culturally appropriate approach to weight management in Aboriginal and Torres Strait Islander people. </w:t>
      </w:r>
      <w:r w:rsidRPr="009D683D">
        <w:rPr>
          <w:rFonts w:ascii="Calibri" w:eastAsia="Calibri" w:hAnsi="Calibri" w:cs="Calibri"/>
          <w:i/>
          <w:noProof/>
          <w:sz w:val="22"/>
          <w:lang w:val="en-US"/>
        </w:rPr>
        <w:t>Med J Aust, 209</w:t>
      </w:r>
      <w:r w:rsidRPr="009D683D">
        <w:rPr>
          <w:rFonts w:ascii="Calibri" w:eastAsia="Calibri" w:hAnsi="Calibri" w:cs="Calibri"/>
          <w:noProof/>
          <w:sz w:val="22"/>
          <w:lang w:val="en-US"/>
        </w:rPr>
        <w:t xml:space="preserve">(1), 68. doi:10.5694/mja17.01240 </w:t>
      </w:r>
    </w:p>
    <w:p w14:paraId="20112268"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Subramani, P., Ullah, S., Majoni, S. W., Hughes, J. T., &amp; McDonald, S. (2018). </w:t>
      </w:r>
      <w:r w:rsidRPr="009D683D">
        <w:rPr>
          <w:rFonts w:ascii="Calibri" w:eastAsia="Calibri" w:hAnsi="Calibri" w:cs="Calibri"/>
          <w:i/>
          <w:noProof/>
          <w:sz w:val="22"/>
          <w:lang w:val="en-US"/>
        </w:rPr>
        <w:t>The association of body mass index change one year post kidney transplantation with graft and patient survival: a comparative study between Indigenous and non-Indigenous Australians</w:t>
      </w:r>
      <w:r w:rsidRPr="009D683D">
        <w:rPr>
          <w:rFonts w:ascii="Calibri" w:eastAsia="Calibri" w:hAnsi="Calibri" w:cs="Calibri"/>
          <w:noProof/>
          <w:sz w:val="22"/>
          <w:lang w:val="en-US"/>
        </w:rPr>
        <w:t xml:space="preserve">. Paper presented at the 54th Australian and New Zealand Society of Nephrology Annual Scientific Meeting, Sydney, Australia. </w:t>
      </w:r>
    </w:p>
    <w:p w14:paraId="4C61ACD9"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Swain, L., &amp; Barclay, L. (2013). They've given me that many tablets, I'm bushed. I don't know where I'm going: Aboriginal and Torres Strait Islander peoples' experiences with medicines. </w:t>
      </w:r>
      <w:r w:rsidRPr="009D683D">
        <w:rPr>
          <w:rFonts w:ascii="Calibri" w:eastAsia="Calibri" w:hAnsi="Calibri" w:cs="Calibri"/>
          <w:i/>
          <w:noProof/>
          <w:sz w:val="22"/>
          <w:lang w:val="en-US"/>
        </w:rPr>
        <w:t>Aust J Rural Health, 21</w:t>
      </w:r>
      <w:r w:rsidRPr="009D683D">
        <w:rPr>
          <w:rFonts w:ascii="Calibri" w:eastAsia="Calibri" w:hAnsi="Calibri" w:cs="Calibri"/>
          <w:noProof/>
          <w:sz w:val="22"/>
          <w:lang w:val="en-US"/>
        </w:rPr>
        <w:t>(4), 216-219. doi:10.1111/ajr.12053</w:t>
      </w:r>
    </w:p>
    <w:p w14:paraId="5A30DC18"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Sypek, M. P., Clayton, P. A., Lim, W., Hughes, P., Kanellis, J., Wright, J., . . . McDonald, S. P. (2018). Access to waitlisting for deceased donor kidney transplantation in Australia. </w:t>
      </w:r>
      <w:r w:rsidRPr="009D683D">
        <w:rPr>
          <w:rFonts w:ascii="Calibri" w:eastAsia="Calibri" w:hAnsi="Calibri" w:cs="Calibri"/>
          <w:i/>
          <w:noProof/>
          <w:sz w:val="22"/>
          <w:lang w:val="en-US"/>
        </w:rPr>
        <w:t>Nephrology (Carlton)</w:t>
      </w:r>
      <w:r w:rsidRPr="009D683D">
        <w:rPr>
          <w:rFonts w:ascii="Calibri" w:eastAsia="Calibri" w:hAnsi="Calibri" w:cs="Calibri"/>
          <w:noProof/>
          <w:sz w:val="22"/>
          <w:lang w:val="en-US"/>
        </w:rPr>
        <w:t>. doi:10.1111/nep.13484</w:t>
      </w:r>
    </w:p>
    <w:p w14:paraId="1F7867B4"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Togni, S., Nangala, I., Heffernan, M., Bonney, E., Smith, M., Nelson, A., . . . Gorham, G. (2017). </w:t>
      </w:r>
      <w:r w:rsidRPr="009D683D">
        <w:rPr>
          <w:rFonts w:ascii="Calibri" w:eastAsia="Calibri" w:hAnsi="Calibri" w:cs="Calibri"/>
          <w:i/>
          <w:noProof/>
          <w:sz w:val="22"/>
          <w:lang w:val="en-US"/>
        </w:rPr>
        <w:t>Final Report - Patient-led Participatory Action Research Project: Patient-led pathways to cultural understanding and better patient-nurse relationships in renal care</w:t>
      </w:r>
      <w:r w:rsidRPr="009D683D">
        <w:rPr>
          <w:rFonts w:ascii="Calibri" w:eastAsia="Calibri" w:hAnsi="Calibri" w:cs="Calibri"/>
          <w:noProof/>
          <w:sz w:val="22"/>
          <w:lang w:val="en-US"/>
        </w:rPr>
        <w:t xml:space="preserve">. Darwin: Menzies School of Health Research </w:t>
      </w:r>
    </w:p>
    <w:p w14:paraId="692F15D7"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Tonelli, M., Chou, S., Gourishankar, S., Jhangri, G. S., Bradley, J., &amp; Hemmelgarn, B. (2005). Wait-listing for kidney transplantation among aboriginal hemodialysis patients. </w:t>
      </w:r>
      <w:r w:rsidRPr="009D683D">
        <w:rPr>
          <w:rFonts w:ascii="Calibri" w:eastAsia="Calibri" w:hAnsi="Calibri" w:cs="Calibri"/>
          <w:i/>
          <w:noProof/>
          <w:sz w:val="22"/>
          <w:lang w:val="en-US"/>
        </w:rPr>
        <w:t>American Journal of Kidney Diseases, 46</w:t>
      </w:r>
      <w:r w:rsidRPr="009D683D">
        <w:rPr>
          <w:rFonts w:ascii="Calibri" w:eastAsia="Calibri" w:hAnsi="Calibri" w:cs="Calibri"/>
          <w:noProof/>
          <w:sz w:val="22"/>
          <w:lang w:val="en-US"/>
        </w:rPr>
        <w:t>(6), 1117-1123. doi:10.1053/j.ajkd.2005.09.005</w:t>
      </w:r>
    </w:p>
    <w:p w14:paraId="4E65D4D0"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Tonelli, M., Hemmelgarn, B., Manns, B., Pylypchuk, G., Bohm, C., Yeates, K., . . . Gill, J. S. (2004). Death and renal transplantation among Aboriginal people undergoing dialysis. </w:t>
      </w:r>
      <w:r w:rsidRPr="009D683D">
        <w:rPr>
          <w:rFonts w:ascii="Calibri" w:eastAsia="Calibri" w:hAnsi="Calibri" w:cs="Calibri"/>
          <w:i/>
          <w:noProof/>
          <w:sz w:val="22"/>
          <w:lang w:val="en-US"/>
        </w:rPr>
        <w:t>CMAJ, 171</w:t>
      </w:r>
      <w:r w:rsidRPr="009D683D">
        <w:rPr>
          <w:rFonts w:ascii="Calibri" w:eastAsia="Calibri" w:hAnsi="Calibri" w:cs="Calibri"/>
          <w:noProof/>
          <w:sz w:val="22"/>
          <w:lang w:val="en-US"/>
        </w:rPr>
        <w:t>(6), 577-582. doi:10.1503/cmaj.1031859</w:t>
      </w:r>
    </w:p>
    <w:p w14:paraId="33A20522"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Tong, A., Howard, K., Wong, G., Cass, A., Jan, S., Irving, M., &amp; Craig, J. C. (2011). Nephrologists' perspectives on waitlisting and allocation of deceased donor kidneys for transplant. </w:t>
      </w:r>
      <w:r w:rsidRPr="009D683D">
        <w:rPr>
          <w:rFonts w:ascii="Calibri" w:eastAsia="Calibri" w:hAnsi="Calibri" w:cs="Calibri"/>
          <w:i/>
          <w:noProof/>
          <w:sz w:val="22"/>
          <w:lang w:val="en-US"/>
        </w:rPr>
        <w:t>Am J Kidney Dis, 58</w:t>
      </w:r>
      <w:r w:rsidRPr="009D683D">
        <w:rPr>
          <w:rFonts w:ascii="Calibri" w:eastAsia="Calibri" w:hAnsi="Calibri" w:cs="Calibri"/>
          <w:noProof/>
          <w:sz w:val="22"/>
          <w:lang w:val="en-US"/>
        </w:rPr>
        <w:t>. doi:10.1053/j.ajkd.2011.05.029</w:t>
      </w:r>
    </w:p>
    <w:p w14:paraId="69ABAD76"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TSANZ. (2018). </w:t>
      </w:r>
      <w:r w:rsidRPr="009D683D">
        <w:rPr>
          <w:rFonts w:ascii="Calibri" w:eastAsia="Calibri" w:hAnsi="Calibri" w:cs="Calibri"/>
          <w:i/>
          <w:noProof/>
          <w:sz w:val="22"/>
          <w:lang w:val="en-US"/>
        </w:rPr>
        <w:t>Clinical Guidelines for Organ Transplantation from Deceased Donors</w:t>
      </w:r>
      <w:r w:rsidRPr="009D683D">
        <w:rPr>
          <w:rFonts w:ascii="Calibri" w:eastAsia="Calibri" w:hAnsi="Calibri" w:cs="Calibri"/>
          <w:noProof/>
          <w:sz w:val="22"/>
          <w:lang w:val="en-US"/>
        </w:rPr>
        <w:t xml:space="preserve">. Sydney, Australia: Transplant Society of Australia and New Zealand. Retrieved from </w:t>
      </w:r>
      <w:hyperlink r:id="rId70" w:history="1">
        <w:r w:rsidRPr="009D683D">
          <w:rPr>
            <w:rFonts w:ascii="Calibri" w:eastAsia="Calibri" w:hAnsi="Calibri" w:cs="Calibri"/>
            <w:noProof/>
            <w:color w:val="0000FF"/>
            <w:sz w:val="22"/>
            <w:u w:val="single"/>
            <w:lang w:val="en-US"/>
          </w:rPr>
          <w:t>https://www.tsanz.com.au/Clinical%20Guidelines%20-Dec%202018.pdf</w:t>
        </w:r>
      </w:hyperlink>
    </w:p>
    <w:p w14:paraId="7A2A65F9"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Tucci, J. D. (2011). Pharmacogenetic screening of Indigenous Australians. </w:t>
      </w:r>
      <w:r w:rsidRPr="009D683D">
        <w:rPr>
          <w:rFonts w:ascii="Calibri" w:eastAsia="Calibri" w:hAnsi="Calibri" w:cs="Calibri"/>
          <w:i/>
          <w:noProof/>
          <w:sz w:val="22"/>
          <w:lang w:val="en-US"/>
        </w:rPr>
        <w:t>Med J Aust, 195</w:t>
      </w:r>
      <w:r w:rsidRPr="009D683D">
        <w:rPr>
          <w:rFonts w:ascii="Calibri" w:eastAsia="Calibri" w:hAnsi="Calibri" w:cs="Calibri"/>
          <w:noProof/>
          <w:sz w:val="22"/>
          <w:lang w:val="en-US"/>
        </w:rPr>
        <w:t>(7), 386-387. doi:10.5694/mja11.10678</w:t>
      </w:r>
    </w:p>
    <w:p w14:paraId="4797070E"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Vincenti, F., Larsen, C. P., Alberu, J., Bresnahan, B., Garcia, V. D., Kothari, J., . . . Charpentier, B. (2012). Three-Year Outcomes from BENEFIT, a Randomized, Active-Controlled, Parallel-Group Study in Adult Kidney Transplant Recipients. </w:t>
      </w:r>
      <w:r w:rsidRPr="009D683D">
        <w:rPr>
          <w:rFonts w:ascii="Calibri" w:eastAsia="Calibri" w:hAnsi="Calibri" w:cs="Calibri"/>
          <w:i/>
          <w:noProof/>
          <w:sz w:val="22"/>
          <w:lang w:val="en-US"/>
        </w:rPr>
        <w:t>American Journal of Transplantation, 12</w:t>
      </w:r>
      <w:r w:rsidRPr="009D683D">
        <w:rPr>
          <w:rFonts w:ascii="Calibri" w:eastAsia="Calibri" w:hAnsi="Calibri" w:cs="Calibri"/>
          <w:noProof/>
          <w:sz w:val="22"/>
          <w:lang w:val="en-US"/>
        </w:rPr>
        <w:t>(1), 210-217. doi:10.1111/j.1600-6143.2011.03785.x</w:t>
      </w:r>
    </w:p>
    <w:p w14:paraId="07F678D5"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Vincenti, F., Rostaing, L., Grinyo, J., Rice, K., Steinberg, S., Gaite, L., . . . Larsen, C. P. (2016). Belatacept and Long-Term Outcomes in Kidney Transplantation. </w:t>
      </w:r>
      <w:r w:rsidRPr="009D683D">
        <w:rPr>
          <w:rFonts w:ascii="Calibri" w:eastAsia="Calibri" w:hAnsi="Calibri" w:cs="Calibri"/>
          <w:i/>
          <w:noProof/>
          <w:sz w:val="22"/>
          <w:lang w:val="en-US"/>
        </w:rPr>
        <w:t>N Engl J Med, 374</w:t>
      </w:r>
      <w:r w:rsidRPr="009D683D">
        <w:rPr>
          <w:rFonts w:ascii="Calibri" w:eastAsia="Calibri" w:hAnsi="Calibri" w:cs="Calibri"/>
          <w:noProof/>
          <w:sz w:val="22"/>
          <w:lang w:val="en-US"/>
        </w:rPr>
        <w:t>(4), 333-343. doi:10.1056/NEJMoa1506027</w:t>
      </w:r>
    </w:p>
    <w:p w14:paraId="15864791"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Weng, F. L., Israni, A. K., Joffe, M. M., Hoy, T., Gaughan, C. A., Newman, M., . . . Feldman, H. I. (2005). Race and Electronically Measured Adherence to Immunosuppressive Medications after </w:t>
      </w:r>
      <w:r w:rsidRPr="009D683D">
        <w:rPr>
          <w:rFonts w:ascii="Calibri" w:eastAsia="Calibri" w:hAnsi="Calibri" w:cs="Calibri"/>
          <w:noProof/>
          <w:sz w:val="22"/>
          <w:lang w:val="en-US"/>
        </w:rPr>
        <w:lastRenderedPageBreak/>
        <w:t xml:space="preserve">Deceased Donor Renal Transplantation. </w:t>
      </w:r>
      <w:r w:rsidRPr="009D683D">
        <w:rPr>
          <w:rFonts w:ascii="Calibri" w:eastAsia="Calibri" w:hAnsi="Calibri" w:cs="Calibri"/>
          <w:i/>
          <w:noProof/>
          <w:sz w:val="22"/>
          <w:lang w:val="en-US"/>
        </w:rPr>
        <w:t>Journal of the American Society of Nephrology, 16</w:t>
      </w:r>
      <w:r w:rsidRPr="009D683D">
        <w:rPr>
          <w:rFonts w:ascii="Calibri" w:eastAsia="Calibri" w:hAnsi="Calibri" w:cs="Calibri"/>
          <w:noProof/>
          <w:sz w:val="22"/>
          <w:lang w:val="en-US"/>
        </w:rPr>
        <w:t>(6), 1839-1848. doi:10.1681/asn.2004121059</w:t>
      </w:r>
    </w:p>
    <w:p w14:paraId="5B744464" w14:textId="77777777" w:rsidR="009D683D" w:rsidRPr="009D683D" w:rsidRDefault="009D683D" w:rsidP="009D683D">
      <w:pPr>
        <w:spacing w:after="0" w:line="240" w:lineRule="auto"/>
        <w:ind w:left="720" w:hanging="720"/>
        <w:rPr>
          <w:rFonts w:ascii="Calibri" w:eastAsia="Calibri" w:hAnsi="Calibri" w:cs="Calibri"/>
          <w:noProof/>
          <w:sz w:val="22"/>
          <w:lang w:val="en-US"/>
        </w:rPr>
      </w:pPr>
      <w:r w:rsidRPr="009D683D">
        <w:rPr>
          <w:rFonts w:ascii="Calibri" w:eastAsia="Calibri" w:hAnsi="Calibri" w:cs="Calibri"/>
          <w:noProof/>
          <w:sz w:val="22"/>
          <w:lang w:val="en-US"/>
        </w:rPr>
        <w:t xml:space="preserve">Whop, L. J., Valery, P. C., Beesley, V. L., Moore, S. P., Lokuge, K., Jacka, C., &amp; Garvey, G. (2012). Navigating the cancer journey: A review of patient navigator programs for Indigenous cancer patients. </w:t>
      </w:r>
      <w:r w:rsidRPr="009D683D">
        <w:rPr>
          <w:rFonts w:ascii="Calibri" w:eastAsia="Calibri" w:hAnsi="Calibri" w:cs="Calibri"/>
          <w:i/>
          <w:noProof/>
          <w:sz w:val="22"/>
          <w:lang w:val="en-US"/>
        </w:rPr>
        <w:t>Asia Pac J Clin Oncol, 8</w:t>
      </w:r>
      <w:r w:rsidRPr="009D683D">
        <w:rPr>
          <w:rFonts w:ascii="Calibri" w:eastAsia="Calibri" w:hAnsi="Calibri" w:cs="Calibri"/>
          <w:noProof/>
          <w:sz w:val="22"/>
          <w:lang w:val="en-US"/>
        </w:rPr>
        <w:t>. doi:10.1111/j.1743-7563.2012.01532.x</w:t>
      </w:r>
    </w:p>
    <w:p w14:paraId="32CD37AE" w14:textId="77777777" w:rsidR="00782640" w:rsidRDefault="009D683D" w:rsidP="00782640">
      <w:pPr>
        <w:spacing w:line="240" w:lineRule="auto"/>
        <w:ind w:left="720" w:hanging="720"/>
        <w:rPr>
          <w:rFonts w:ascii="Calibri" w:eastAsia="Calibri" w:hAnsi="Calibri" w:cs="Times New Roman"/>
          <w:sz w:val="22"/>
        </w:rPr>
        <w:sectPr w:rsidR="00782640" w:rsidSect="00E34DEA">
          <w:pgSz w:w="11906" w:h="16838"/>
          <w:pgMar w:top="1440" w:right="1440" w:bottom="1440" w:left="1440" w:header="708" w:footer="708" w:gutter="0"/>
          <w:cols w:space="708"/>
          <w:docGrid w:linePitch="360"/>
        </w:sectPr>
      </w:pPr>
      <w:r w:rsidRPr="009D683D">
        <w:rPr>
          <w:rFonts w:ascii="Calibri" w:eastAsia="Calibri" w:hAnsi="Calibri" w:cs="Calibri"/>
          <w:noProof/>
          <w:sz w:val="22"/>
          <w:lang w:val="en-US"/>
        </w:rPr>
        <w:t xml:space="preserve">Yeates, K. E., Cass, A., Sequist, T. D., McDonald, S. P., Jardine, M. J., Trpeski, L., &amp; Ayanian, J. Z. (2009). Indigenous people in Australia, Canada, New Zealand and the United States are less likely to receive renal transplantation. </w:t>
      </w:r>
      <w:r w:rsidRPr="009D683D">
        <w:rPr>
          <w:rFonts w:ascii="Calibri" w:eastAsia="Calibri" w:hAnsi="Calibri" w:cs="Calibri"/>
          <w:i/>
          <w:noProof/>
          <w:sz w:val="22"/>
          <w:lang w:val="en-US"/>
        </w:rPr>
        <w:t>Kidney Int, 76</w:t>
      </w:r>
      <w:r w:rsidR="00782640">
        <w:rPr>
          <w:rFonts w:ascii="Calibri" w:eastAsia="Calibri" w:hAnsi="Calibri" w:cs="Calibri"/>
          <w:noProof/>
          <w:sz w:val="22"/>
          <w:lang w:val="en-US"/>
        </w:rPr>
        <w:t>. doi:10.1038/ki.2009.23</w:t>
      </w:r>
      <w:r w:rsidRPr="009D683D">
        <w:rPr>
          <w:rFonts w:ascii="Calibri" w:eastAsia="Calibri" w:hAnsi="Calibri" w:cs="Times New Roman"/>
          <w:sz w:val="22"/>
        </w:rPr>
        <w:fldChar w:fldCharType="end"/>
      </w:r>
    </w:p>
    <w:p w14:paraId="6877F985" w14:textId="77777777" w:rsidR="00782640" w:rsidRPr="00EC7110" w:rsidRDefault="00782640" w:rsidP="00782640">
      <w:pPr>
        <w:rPr>
          <w:rFonts w:asciiTheme="majorHAnsi" w:hAnsiTheme="majorHAnsi" w:cstheme="minorHAnsi"/>
          <w:b/>
          <w:color w:val="C00000"/>
          <w:sz w:val="32"/>
          <w:szCs w:val="32"/>
        </w:rPr>
        <w:sectPr w:rsidR="00782640" w:rsidRPr="00EC7110" w:rsidSect="00D73CB0">
          <w:footerReference w:type="default" r:id="rId71"/>
          <w:footerReference w:type="first" r:id="rId72"/>
          <w:pgSz w:w="11901" w:h="16817"/>
          <w:pgMar w:top="1440" w:right="1080" w:bottom="1440" w:left="1080" w:header="709" w:footer="709" w:gutter="0"/>
          <w:pgNumType w:start="1"/>
          <w:cols w:space="708"/>
          <w:titlePg/>
          <w:docGrid w:linePitch="360"/>
        </w:sectPr>
      </w:pPr>
      <w:r w:rsidRPr="00EC7110">
        <w:rPr>
          <w:rFonts w:asciiTheme="majorHAnsi" w:hAnsiTheme="majorHAnsi" w:cstheme="minorHAnsi"/>
          <w:b/>
          <w:color w:val="C00000"/>
          <w:sz w:val="32"/>
          <w:szCs w:val="32"/>
        </w:rPr>
        <w:lastRenderedPageBreak/>
        <w:t>Appendix 4: Expert Clinician Panel Report for the Kidney Health Australia Caring for Australasians with Renal Impairment (KHA-CARI) Guidelines for the Management of Chronic Kidney Disease among Aboriginal and Torres Strait Islander Peoples</w:t>
      </w:r>
    </w:p>
    <w:p w14:paraId="4A688011" w14:textId="77777777" w:rsidR="00782640" w:rsidRDefault="00782640" w:rsidP="009B2280">
      <w:pPr>
        <w:spacing w:after="0" w:line="240" w:lineRule="auto"/>
        <w:rPr>
          <w:rFonts w:ascii="Adelle Sans ExtraBold" w:eastAsia="Calibri" w:hAnsi="Adelle Sans ExtraBold" w:cs="Times New Roman"/>
          <w:b/>
          <w:bCs/>
          <w:color w:val="FF0000"/>
          <w:sz w:val="80"/>
          <w:szCs w:val="80"/>
        </w:rPr>
      </w:pPr>
    </w:p>
    <w:p w14:paraId="49A4755B" w14:textId="77777777" w:rsidR="009B2280" w:rsidRDefault="00782640" w:rsidP="00782640">
      <w:pPr>
        <w:spacing w:after="0" w:line="240" w:lineRule="auto"/>
        <w:jc w:val="center"/>
        <w:rPr>
          <w:rFonts w:ascii="Adelle Sans ExtraBold" w:eastAsia="Calibri" w:hAnsi="Adelle Sans ExtraBold" w:cs="Times New Roman"/>
          <w:b/>
          <w:bCs/>
          <w:color w:val="FF0000"/>
          <w:sz w:val="80"/>
          <w:szCs w:val="80"/>
        </w:rPr>
      </w:pPr>
      <w:r w:rsidRPr="00F82A36">
        <w:rPr>
          <w:rFonts w:ascii="Adelle Sans Bold" w:hAnsi="Adelle Sans Bold"/>
          <w:noProof/>
          <w:szCs w:val="20"/>
          <w:lang w:eastAsia="en-AU"/>
        </w:rPr>
        <w:drawing>
          <wp:inline distT="0" distB="0" distL="0" distR="0" wp14:anchorId="6C6886C7" wp14:editId="3C6C6312">
            <wp:extent cx="1863090" cy="683895"/>
            <wp:effectExtent l="0" t="0" r="3810" b="1905"/>
            <wp:docPr id="60" name="Picture 60" descr="Kidney Heal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A_R_Stacked_RGB.jpg"/>
                    <pic:cNvPicPr/>
                  </pic:nvPicPr>
                  <pic:blipFill>
                    <a:blip r:embed="rId73" cstate="email">
                      <a:extLst>
                        <a:ext uri="{28A0092B-C50C-407E-A947-70E740481C1C}">
                          <a14:useLocalDpi xmlns:a14="http://schemas.microsoft.com/office/drawing/2010/main"/>
                        </a:ext>
                      </a:extLst>
                    </a:blip>
                    <a:stretch>
                      <a:fillRect/>
                    </a:stretch>
                  </pic:blipFill>
                  <pic:spPr>
                    <a:xfrm>
                      <a:off x="0" y="0"/>
                      <a:ext cx="1863090" cy="6838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BDD9A71" w14:textId="272821C6" w:rsidR="00782640" w:rsidRPr="00782640" w:rsidRDefault="00782640" w:rsidP="00782640">
      <w:pPr>
        <w:spacing w:after="0" w:line="240" w:lineRule="auto"/>
        <w:jc w:val="center"/>
        <w:rPr>
          <w:rFonts w:ascii="Adelle Sans ExtraBold" w:eastAsia="Calibri" w:hAnsi="Adelle Sans ExtraBold" w:cs="Times New Roman"/>
          <w:b/>
          <w:bCs/>
          <w:color w:val="FF0000"/>
          <w:sz w:val="80"/>
          <w:szCs w:val="80"/>
        </w:rPr>
      </w:pPr>
      <w:r w:rsidRPr="00782640">
        <w:rPr>
          <w:rFonts w:ascii="Adelle Sans ExtraBold" w:eastAsia="Calibri" w:hAnsi="Adelle Sans ExtraBold" w:cs="Times New Roman"/>
          <w:b/>
          <w:bCs/>
          <w:color w:val="FF0000"/>
          <w:sz w:val="80"/>
          <w:szCs w:val="80"/>
        </w:rPr>
        <w:t>Expert Clinician Panel Consultation Report</w:t>
      </w:r>
    </w:p>
    <w:p w14:paraId="0F7AC65B" w14:textId="77777777" w:rsidR="00782640" w:rsidRPr="00782640" w:rsidRDefault="00782640" w:rsidP="00782640">
      <w:pPr>
        <w:spacing w:after="0" w:line="240" w:lineRule="auto"/>
        <w:jc w:val="both"/>
        <w:rPr>
          <w:rFonts w:ascii="Calibri" w:eastAsia="Calibri" w:hAnsi="Calibri" w:cs="Times New Roman"/>
          <w:b/>
          <w:sz w:val="28"/>
          <w:szCs w:val="28"/>
        </w:rPr>
      </w:pPr>
    </w:p>
    <w:p w14:paraId="74185AB6" w14:textId="77777777" w:rsidR="00782640" w:rsidRPr="00782640" w:rsidRDefault="00782640" w:rsidP="00782640">
      <w:pPr>
        <w:spacing w:after="0" w:line="276" w:lineRule="auto"/>
        <w:jc w:val="center"/>
        <w:rPr>
          <w:rFonts w:ascii="Adelle Sans Light" w:eastAsia="Calibri" w:hAnsi="Adelle Sans Light" w:cs="Times New Roman"/>
          <w:b/>
          <w:sz w:val="32"/>
          <w:szCs w:val="32"/>
        </w:rPr>
      </w:pPr>
      <w:r w:rsidRPr="00782640">
        <w:rPr>
          <w:rFonts w:ascii="Adelle Sans Light" w:eastAsia="Calibri" w:hAnsi="Adelle Sans Light" w:cs="Times New Roman"/>
          <w:b/>
          <w:sz w:val="32"/>
          <w:szCs w:val="32"/>
        </w:rPr>
        <w:t xml:space="preserve">Consultation to inform the development of the Inaugural </w:t>
      </w:r>
      <w:r w:rsidRPr="00782640">
        <w:rPr>
          <w:rFonts w:ascii="Adelle Sans Light" w:eastAsia="Calibri" w:hAnsi="Adelle Sans Light" w:cs="Times New Roman"/>
          <w:b/>
          <w:sz w:val="32"/>
          <w:szCs w:val="32"/>
        </w:rPr>
        <w:br/>
        <w:t>KHA-CARI Guidelines for Management of Chronic Kidney Disease for Aboriginal and Torres Strait Islander Peoples</w:t>
      </w:r>
    </w:p>
    <w:p w14:paraId="655CE729" w14:textId="43180845" w:rsidR="00782640" w:rsidRPr="00782640" w:rsidRDefault="009B2280" w:rsidP="00782640">
      <w:pPr>
        <w:spacing w:after="0" w:line="240" w:lineRule="auto"/>
        <w:jc w:val="both"/>
        <w:rPr>
          <w:rFonts w:ascii="Calibri" w:eastAsia="Calibri" w:hAnsi="Calibri" w:cs="Times New Roman"/>
          <w:sz w:val="22"/>
        </w:rPr>
      </w:pPr>
      <w:r w:rsidRPr="00782640">
        <w:rPr>
          <w:rFonts w:ascii="Adelle Sans" w:eastAsia="Calibri" w:hAnsi="Adelle Sans" w:cs="Times New Roman"/>
          <w:noProof/>
          <w:sz w:val="22"/>
          <w:lang w:eastAsia="en-AU"/>
        </w:rPr>
        <w:drawing>
          <wp:inline distT="0" distB="0" distL="0" distR="0" wp14:anchorId="708CAEA7" wp14:editId="7636ADEC">
            <wp:extent cx="5716351" cy="4389543"/>
            <wp:effectExtent l="0" t="0" r="0" b="0"/>
            <wp:docPr id="261" name="Picture 261" descr="Indigenous ar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linical Directorate\Alliances and Clinical Committees\3.Clinical Committees\1. ANZSN Committees\CARI Indigenous\Site Consultations\South Australia\Photos\Artwork.pn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742390" cy="4409538"/>
                    </a:xfrm>
                    <a:prstGeom prst="rect">
                      <a:avLst/>
                    </a:prstGeom>
                    <a:noFill/>
                    <a:ln>
                      <a:noFill/>
                    </a:ln>
                  </pic:spPr>
                </pic:pic>
              </a:graphicData>
            </a:graphic>
          </wp:inline>
        </w:drawing>
      </w:r>
    </w:p>
    <w:p w14:paraId="381CF13A" w14:textId="1588FB29" w:rsidR="00782640" w:rsidRPr="00782640" w:rsidRDefault="00782640" w:rsidP="00782640">
      <w:pPr>
        <w:spacing w:after="0" w:line="240" w:lineRule="auto"/>
        <w:jc w:val="center"/>
        <w:rPr>
          <w:rFonts w:ascii="Calibri" w:eastAsia="Calibri" w:hAnsi="Calibri" w:cs="Times New Roman"/>
          <w:sz w:val="22"/>
        </w:rPr>
      </w:pPr>
    </w:p>
    <w:p w14:paraId="495F1609" w14:textId="77777777" w:rsidR="00782640" w:rsidRPr="00782640" w:rsidRDefault="00782640" w:rsidP="00782640">
      <w:pPr>
        <w:spacing w:after="0" w:line="240" w:lineRule="auto"/>
        <w:jc w:val="center"/>
        <w:rPr>
          <w:rFonts w:ascii="Adelle Sans SemiBold" w:eastAsia="Calibri" w:hAnsi="Adelle Sans SemiBold" w:cs="Times New Roman"/>
          <w:b/>
          <w:bCs/>
          <w:szCs w:val="20"/>
          <w:shd w:val="clear" w:color="auto" w:fill="FFFFFF"/>
        </w:rPr>
      </w:pPr>
      <w:r w:rsidRPr="00782640">
        <w:rPr>
          <w:rFonts w:ascii="Adelle Sans SemiBold" w:eastAsia="Calibri" w:hAnsi="Adelle Sans SemiBold" w:cs="Times New Roman"/>
          <w:b/>
          <w:bCs/>
          <w:i/>
          <w:iCs/>
          <w:szCs w:val="20"/>
          <w:shd w:val="clear" w:color="auto" w:fill="FFFFFF"/>
        </w:rPr>
        <w:t>Cover</w:t>
      </w:r>
      <w:proofErr w:type="gramStart"/>
      <w:r w:rsidRPr="00782640">
        <w:rPr>
          <w:rFonts w:ascii="Adelle Sans SemiBold" w:eastAsia="Calibri" w:hAnsi="Adelle Sans SemiBold" w:cs="Times New Roman"/>
          <w:b/>
          <w:bCs/>
          <w:i/>
          <w:iCs/>
          <w:szCs w:val="20"/>
          <w:shd w:val="clear" w:color="auto" w:fill="FFFFFF"/>
        </w:rPr>
        <w:t>:  ‘</w:t>
      </w:r>
      <w:proofErr w:type="gramEnd"/>
      <w:r w:rsidRPr="00782640">
        <w:rPr>
          <w:rFonts w:ascii="Adelle Sans SemiBold" w:eastAsia="Calibri" w:hAnsi="Adelle Sans SemiBold" w:cs="Times New Roman"/>
          <w:b/>
          <w:bCs/>
          <w:i/>
          <w:iCs/>
          <w:szCs w:val="20"/>
          <w:shd w:val="clear" w:color="auto" w:fill="FFFFFF"/>
        </w:rPr>
        <w:t>My Kidney Journey’ by</w:t>
      </w:r>
      <w:r w:rsidRPr="00782640">
        <w:rPr>
          <w:rFonts w:ascii="Adelle Sans SemiBold" w:eastAsia="Calibri" w:hAnsi="Adelle Sans SemiBold" w:cs="Times New Roman"/>
          <w:b/>
          <w:bCs/>
          <w:szCs w:val="20"/>
          <w:shd w:val="clear" w:color="auto" w:fill="FFFFFF"/>
        </w:rPr>
        <w:t xml:space="preserve"> </w:t>
      </w:r>
      <w:proofErr w:type="spellStart"/>
      <w:r w:rsidRPr="00782640">
        <w:rPr>
          <w:rFonts w:ascii="Adelle Sans SemiBold" w:eastAsia="Calibri" w:hAnsi="Adelle Sans SemiBold" w:cs="Times New Roman"/>
          <w:b/>
          <w:bCs/>
          <w:szCs w:val="20"/>
          <w:shd w:val="clear" w:color="auto" w:fill="FFFFFF"/>
        </w:rPr>
        <w:t>Inawinytji</w:t>
      </w:r>
      <w:proofErr w:type="spellEnd"/>
      <w:r w:rsidRPr="00782640">
        <w:rPr>
          <w:rFonts w:ascii="Adelle Sans SemiBold" w:eastAsia="Calibri" w:hAnsi="Adelle Sans SemiBold" w:cs="Times New Roman"/>
          <w:b/>
          <w:bCs/>
          <w:szCs w:val="20"/>
          <w:shd w:val="clear" w:color="auto" w:fill="FFFFFF"/>
        </w:rPr>
        <w:t xml:space="preserve"> Williamson</w:t>
      </w:r>
    </w:p>
    <w:p w14:paraId="5FDD3A8C" w14:textId="77777777" w:rsidR="00782640" w:rsidRPr="00782640" w:rsidRDefault="00782640" w:rsidP="00782640">
      <w:pPr>
        <w:spacing w:after="0" w:line="240" w:lineRule="auto"/>
        <w:jc w:val="both"/>
        <w:rPr>
          <w:rFonts w:ascii="Adelle Sans SemiBold" w:eastAsia="Calibri" w:hAnsi="Adelle Sans SemiBold" w:cs="Times New Roman"/>
          <w:b/>
          <w:bCs/>
          <w:szCs w:val="20"/>
          <w:shd w:val="clear" w:color="auto" w:fill="FFFFFF"/>
        </w:rPr>
      </w:pPr>
    </w:p>
    <w:p w14:paraId="451C008C" w14:textId="77777777" w:rsidR="00782640" w:rsidRPr="00782640" w:rsidRDefault="00782640" w:rsidP="00782640">
      <w:pPr>
        <w:spacing w:after="0" w:line="240" w:lineRule="auto"/>
        <w:jc w:val="both"/>
        <w:rPr>
          <w:rFonts w:ascii="Adelle Sans SemiBold" w:eastAsia="Calibri" w:hAnsi="Adelle Sans SemiBold" w:cs="Times New Roman"/>
          <w:b/>
          <w:bCs/>
          <w:szCs w:val="20"/>
          <w:shd w:val="clear" w:color="auto" w:fill="FFFFFF"/>
        </w:rPr>
      </w:pPr>
    </w:p>
    <w:p w14:paraId="5E4DE615" w14:textId="77777777" w:rsidR="00782640" w:rsidRPr="00782640" w:rsidRDefault="00782640" w:rsidP="00782640">
      <w:pPr>
        <w:spacing w:after="0" w:line="240" w:lineRule="auto"/>
        <w:jc w:val="both"/>
        <w:rPr>
          <w:rFonts w:ascii="Adelle Sans SemiBold" w:eastAsia="Calibri" w:hAnsi="Adelle Sans SemiBold" w:cs="Times New Roman"/>
          <w:b/>
          <w:bCs/>
          <w:szCs w:val="20"/>
          <w:shd w:val="clear" w:color="auto" w:fill="FFFFFF"/>
        </w:rPr>
      </w:pPr>
    </w:p>
    <w:sdt>
      <w:sdtPr>
        <w:rPr>
          <w:rFonts w:ascii="Calibri" w:eastAsia="Times New Roman" w:hAnsi="Calibri" w:cs="Times New Roman"/>
          <w:sz w:val="22"/>
          <w:lang w:val="en-US"/>
        </w:rPr>
        <w:id w:val="152807939"/>
        <w:docPartObj>
          <w:docPartGallery w:val="Table of Contents"/>
          <w:docPartUnique/>
        </w:docPartObj>
      </w:sdtPr>
      <w:sdtEndPr/>
      <w:sdtContent>
        <w:p w14:paraId="7313EB88" w14:textId="77777777" w:rsidR="00782640" w:rsidRPr="00782640" w:rsidRDefault="00782640" w:rsidP="00782640">
          <w:pPr>
            <w:keepNext/>
            <w:keepLines/>
            <w:spacing w:before="240" w:after="0"/>
            <w:jc w:val="both"/>
            <w:rPr>
              <w:rFonts w:ascii="Adelle Sans ExtraBold" w:eastAsia="Calibri" w:hAnsi="Adelle Sans ExtraBold" w:cs="Times New Roman"/>
              <w:b/>
              <w:bCs/>
              <w:color w:val="FF0000"/>
              <w:sz w:val="40"/>
              <w:szCs w:val="40"/>
            </w:rPr>
          </w:pPr>
          <w:r w:rsidRPr="00782640">
            <w:rPr>
              <w:rFonts w:ascii="Adelle Sans ExtraBold" w:eastAsia="Calibri" w:hAnsi="Adelle Sans ExtraBold" w:cs="Times New Roman"/>
              <w:b/>
              <w:bCs/>
              <w:color w:val="FF0000"/>
              <w:sz w:val="40"/>
              <w:szCs w:val="40"/>
            </w:rPr>
            <w:t>Table of Contents</w:t>
          </w:r>
        </w:p>
        <w:p w14:paraId="5E3FBE82" w14:textId="77777777" w:rsidR="00782640" w:rsidRPr="00782640" w:rsidRDefault="00782640" w:rsidP="00782640">
          <w:pPr>
            <w:spacing w:after="100"/>
            <w:jc w:val="both"/>
            <w:rPr>
              <w:rFonts w:ascii="Calibri" w:eastAsia="Times New Roman" w:hAnsi="Calibri" w:cs="Times New Roman"/>
              <w:b/>
              <w:bCs/>
              <w:szCs w:val="20"/>
              <w:lang w:val="en-US"/>
            </w:rPr>
          </w:pPr>
          <w:r w:rsidRPr="00782640">
            <w:rPr>
              <w:rFonts w:ascii="Calibri" w:eastAsia="Times New Roman" w:hAnsi="Calibri" w:cs="Times New Roman"/>
              <w:b/>
              <w:bCs/>
              <w:szCs w:val="20"/>
              <w:lang w:val="en-US"/>
            </w:rPr>
            <w:t>Acknowledgements</w:t>
          </w:r>
          <w:r w:rsidRPr="00782640">
            <w:rPr>
              <w:rFonts w:ascii="Calibri" w:eastAsia="Times New Roman" w:hAnsi="Calibri" w:cs="Times New Roman"/>
              <w:szCs w:val="20"/>
              <w:lang w:val="en-US"/>
            </w:rPr>
            <w:ptab w:relativeTo="margin" w:alignment="right" w:leader="dot"/>
          </w:r>
          <w:r w:rsidRPr="00782640">
            <w:rPr>
              <w:rFonts w:ascii="Calibri" w:eastAsia="Times New Roman" w:hAnsi="Calibri" w:cs="Times New Roman"/>
              <w:b/>
              <w:bCs/>
              <w:szCs w:val="20"/>
              <w:lang w:val="en-US"/>
            </w:rPr>
            <w:t>3</w:t>
          </w:r>
        </w:p>
        <w:p w14:paraId="4E7C760A" w14:textId="77777777" w:rsidR="00782640" w:rsidRPr="00782640" w:rsidRDefault="00782640" w:rsidP="00782640">
          <w:pPr>
            <w:spacing w:after="100"/>
            <w:jc w:val="both"/>
            <w:rPr>
              <w:rFonts w:ascii="Calibri" w:eastAsia="Times New Roman" w:hAnsi="Calibri" w:cs="Times New Roman"/>
              <w:szCs w:val="20"/>
              <w:lang w:val="en-US"/>
            </w:rPr>
          </w:pPr>
          <w:r w:rsidRPr="00782640">
            <w:rPr>
              <w:rFonts w:ascii="Calibri" w:eastAsia="Times New Roman" w:hAnsi="Calibri" w:cs="Times New Roman"/>
              <w:b/>
              <w:bCs/>
              <w:szCs w:val="20"/>
              <w:lang w:val="en-US"/>
            </w:rPr>
            <w:t>Abbreviations</w:t>
          </w:r>
          <w:r w:rsidRPr="00782640">
            <w:rPr>
              <w:rFonts w:ascii="Calibri" w:eastAsia="Times New Roman" w:hAnsi="Calibri" w:cs="Times New Roman"/>
              <w:szCs w:val="20"/>
              <w:lang w:val="en-US"/>
            </w:rPr>
            <w:ptab w:relativeTo="margin" w:alignment="right" w:leader="dot"/>
          </w:r>
          <w:r w:rsidRPr="00782640">
            <w:rPr>
              <w:rFonts w:ascii="Calibri" w:eastAsia="Times New Roman" w:hAnsi="Calibri" w:cs="Times New Roman"/>
              <w:b/>
              <w:bCs/>
              <w:szCs w:val="20"/>
              <w:lang w:val="en-US"/>
            </w:rPr>
            <w:t>4</w:t>
          </w:r>
        </w:p>
        <w:p w14:paraId="17C93E4B" w14:textId="77777777" w:rsidR="00782640" w:rsidRPr="00782640" w:rsidRDefault="00782640" w:rsidP="00782640">
          <w:pPr>
            <w:spacing w:after="100"/>
            <w:jc w:val="both"/>
            <w:rPr>
              <w:rFonts w:ascii="Calibri" w:eastAsia="Times New Roman" w:hAnsi="Calibri" w:cs="Times New Roman"/>
              <w:szCs w:val="20"/>
              <w:lang w:val="en-US"/>
            </w:rPr>
          </w:pPr>
          <w:r w:rsidRPr="00782640">
            <w:rPr>
              <w:rFonts w:ascii="Calibri" w:eastAsia="Times New Roman" w:hAnsi="Calibri" w:cs="Times New Roman"/>
              <w:b/>
              <w:bCs/>
              <w:szCs w:val="20"/>
              <w:lang w:val="en-US"/>
            </w:rPr>
            <w:t>Executive Summary and Key Recommendations</w:t>
          </w:r>
          <w:r w:rsidRPr="00782640">
            <w:rPr>
              <w:rFonts w:ascii="Calibri" w:eastAsia="Times New Roman" w:hAnsi="Calibri" w:cs="Times New Roman"/>
              <w:szCs w:val="20"/>
              <w:lang w:val="en-US"/>
            </w:rPr>
            <w:ptab w:relativeTo="margin" w:alignment="right" w:leader="dot"/>
          </w:r>
          <w:r w:rsidRPr="00782640">
            <w:rPr>
              <w:rFonts w:ascii="Calibri" w:eastAsia="Times New Roman" w:hAnsi="Calibri" w:cs="Times New Roman"/>
              <w:b/>
              <w:bCs/>
              <w:szCs w:val="20"/>
              <w:lang w:val="en-US"/>
            </w:rPr>
            <w:t>5</w:t>
          </w:r>
        </w:p>
        <w:p w14:paraId="1E6782DD" w14:textId="77777777" w:rsidR="00782640" w:rsidRPr="00782640" w:rsidRDefault="00782640" w:rsidP="00782640">
          <w:pPr>
            <w:spacing w:after="100"/>
            <w:jc w:val="both"/>
            <w:rPr>
              <w:rFonts w:ascii="Calibri" w:eastAsia="Times New Roman" w:hAnsi="Calibri" w:cs="Times New Roman"/>
              <w:b/>
              <w:bCs/>
              <w:szCs w:val="20"/>
              <w:lang w:val="en-US"/>
            </w:rPr>
          </w:pPr>
          <w:r w:rsidRPr="00782640">
            <w:rPr>
              <w:rFonts w:ascii="Calibri" w:eastAsia="Times New Roman" w:hAnsi="Calibri" w:cs="Times New Roman"/>
              <w:b/>
              <w:bCs/>
              <w:szCs w:val="20"/>
              <w:lang w:val="en-US"/>
            </w:rPr>
            <w:t>A. Background</w:t>
          </w:r>
          <w:r w:rsidRPr="00782640">
            <w:rPr>
              <w:rFonts w:ascii="Calibri" w:eastAsia="Times New Roman" w:hAnsi="Calibri" w:cs="Times New Roman"/>
              <w:szCs w:val="20"/>
              <w:lang w:val="en-US"/>
            </w:rPr>
            <w:ptab w:relativeTo="margin" w:alignment="right" w:leader="dot"/>
          </w:r>
          <w:r w:rsidRPr="00782640">
            <w:rPr>
              <w:rFonts w:ascii="Calibri" w:eastAsia="Times New Roman" w:hAnsi="Calibri" w:cs="Times New Roman"/>
              <w:b/>
              <w:bCs/>
              <w:szCs w:val="20"/>
              <w:lang w:val="en-US"/>
            </w:rPr>
            <w:t>7</w:t>
          </w:r>
        </w:p>
        <w:p w14:paraId="041413EF" w14:textId="77777777" w:rsidR="00782640" w:rsidRPr="00782640" w:rsidRDefault="00782640" w:rsidP="00782640">
          <w:pPr>
            <w:spacing w:after="100"/>
            <w:jc w:val="both"/>
            <w:rPr>
              <w:rFonts w:ascii="Calibri" w:eastAsia="Times New Roman" w:hAnsi="Calibri" w:cs="Times New Roman"/>
              <w:szCs w:val="20"/>
              <w:lang w:val="en-US"/>
            </w:rPr>
          </w:pPr>
          <w:r w:rsidRPr="00782640">
            <w:rPr>
              <w:rFonts w:ascii="Calibri" w:eastAsia="Times New Roman" w:hAnsi="Calibri" w:cs="Times New Roman"/>
              <w:b/>
              <w:bCs/>
              <w:szCs w:val="20"/>
              <w:lang w:val="en-US"/>
            </w:rPr>
            <w:t>B. Kidney Health Australia Community Consultation Methodology</w:t>
          </w:r>
          <w:r w:rsidRPr="00782640">
            <w:rPr>
              <w:rFonts w:ascii="Calibri" w:eastAsia="Times New Roman" w:hAnsi="Calibri" w:cs="Times New Roman"/>
              <w:szCs w:val="20"/>
              <w:lang w:val="en-US"/>
            </w:rPr>
            <w:ptab w:relativeTo="margin" w:alignment="right" w:leader="dot"/>
          </w:r>
          <w:r w:rsidRPr="00782640">
            <w:rPr>
              <w:rFonts w:ascii="Calibri" w:eastAsia="Times New Roman" w:hAnsi="Calibri" w:cs="Times New Roman"/>
              <w:b/>
              <w:bCs/>
              <w:szCs w:val="20"/>
              <w:lang w:val="en-US"/>
            </w:rPr>
            <w:t>9</w:t>
          </w:r>
        </w:p>
        <w:p w14:paraId="114D5B6B" w14:textId="77777777" w:rsidR="00782640" w:rsidRPr="00782640" w:rsidRDefault="00782640" w:rsidP="00782640">
          <w:pPr>
            <w:spacing w:after="100"/>
            <w:jc w:val="both"/>
            <w:rPr>
              <w:rFonts w:ascii="Calibri" w:eastAsia="Times New Roman" w:hAnsi="Calibri" w:cs="Times New Roman"/>
              <w:szCs w:val="20"/>
              <w:lang w:val="en-US"/>
            </w:rPr>
          </w:pPr>
          <w:r w:rsidRPr="00782640">
            <w:rPr>
              <w:rFonts w:ascii="Calibri" w:eastAsia="Times New Roman" w:hAnsi="Calibri" w:cs="Times New Roman"/>
              <w:b/>
              <w:bCs/>
              <w:szCs w:val="20"/>
              <w:lang w:val="en-US"/>
            </w:rPr>
            <w:t>C. Methodology for the Expert Clinician Consultation</w:t>
          </w:r>
          <w:r w:rsidRPr="00782640">
            <w:rPr>
              <w:rFonts w:ascii="Calibri" w:eastAsia="Times New Roman" w:hAnsi="Calibri" w:cs="Times New Roman"/>
              <w:szCs w:val="20"/>
              <w:lang w:val="en-US"/>
            </w:rPr>
            <w:ptab w:relativeTo="margin" w:alignment="right" w:leader="dot"/>
          </w:r>
          <w:r w:rsidRPr="00782640">
            <w:rPr>
              <w:rFonts w:ascii="Calibri" w:eastAsia="Times New Roman" w:hAnsi="Calibri" w:cs="Times New Roman"/>
              <w:b/>
              <w:bCs/>
              <w:szCs w:val="20"/>
              <w:lang w:val="en-US"/>
            </w:rPr>
            <w:t>10</w:t>
          </w:r>
        </w:p>
        <w:p w14:paraId="5FB8D60F" w14:textId="77777777" w:rsidR="00782640" w:rsidRPr="00782640" w:rsidRDefault="00782640" w:rsidP="00782640">
          <w:pPr>
            <w:spacing w:after="100"/>
            <w:jc w:val="both"/>
            <w:rPr>
              <w:rFonts w:ascii="Calibri" w:eastAsia="Times New Roman" w:hAnsi="Calibri" w:cs="Times New Roman"/>
              <w:szCs w:val="20"/>
              <w:lang w:val="en-US"/>
            </w:rPr>
          </w:pPr>
          <w:r w:rsidRPr="00782640">
            <w:rPr>
              <w:rFonts w:ascii="Calibri" w:eastAsia="Times New Roman" w:hAnsi="Calibri" w:cs="Times New Roman"/>
              <w:b/>
              <w:bCs/>
              <w:szCs w:val="20"/>
              <w:lang w:val="en-US"/>
            </w:rPr>
            <w:t>D. Chronic Kidney Disease Management Guidelines Used in Current Practice</w:t>
          </w:r>
          <w:r w:rsidRPr="00782640">
            <w:rPr>
              <w:rFonts w:ascii="Calibri" w:eastAsia="Times New Roman" w:hAnsi="Calibri" w:cs="Times New Roman"/>
              <w:szCs w:val="20"/>
              <w:lang w:val="en-US"/>
            </w:rPr>
            <w:ptab w:relativeTo="margin" w:alignment="right" w:leader="dot"/>
          </w:r>
          <w:r w:rsidRPr="00782640">
            <w:rPr>
              <w:rFonts w:ascii="Calibri" w:eastAsia="Times New Roman" w:hAnsi="Calibri" w:cs="Times New Roman"/>
              <w:b/>
              <w:bCs/>
              <w:szCs w:val="20"/>
              <w:lang w:val="en-US"/>
            </w:rPr>
            <w:t>12</w:t>
          </w:r>
        </w:p>
        <w:p w14:paraId="50F8F482" w14:textId="77777777" w:rsidR="00782640" w:rsidRPr="00782640" w:rsidRDefault="00782640" w:rsidP="00782640">
          <w:pPr>
            <w:spacing w:after="100"/>
            <w:ind w:left="216"/>
            <w:jc w:val="both"/>
            <w:rPr>
              <w:rFonts w:ascii="Calibri" w:eastAsia="Times New Roman" w:hAnsi="Calibri" w:cs="Times New Roman"/>
              <w:szCs w:val="20"/>
              <w:lang w:val="en-US"/>
            </w:rPr>
          </w:pPr>
          <w:r w:rsidRPr="00782640">
            <w:rPr>
              <w:rFonts w:ascii="Calibri" w:eastAsia="Times New Roman" w:hAnsi="Calibri" w:cs="Times New Roman"/>
              <w:szCs w:val="20"/>
              <w:lang w:val="en-US"/>
            </w:rPr>
            <w:t>1. KHA-CARI Guidelines</w:t>
          </w:r>
          <w:r w:rsidRPr="00782640">
            <w:rPr>
              <w:rFonts w:ascii="Calibri" w:eastAsia="Times New Roman" w:hAnsi="Calibri" w:cs="Times New Roman"/>
              <w:szCs w:val="20"/>
              <w:lang w:val="en-US"/>
            </w:rPr>
            <w:ptab w:relativeTo="margin" w:alignment="right" w:leader="dot"/>
          </w:r>
          <w:r w:rsidRPr="00782640">
            <w:rPr>
              <w:rFonts w:ascii="Calibri" w:eastAsia="Times New Roman" w:hAnsi="Calibri" w:cs="Times New Roman"/>
              <w:szCs w:val="20"/>
              <w:lang w:val="en-US"/>
            </w:rPr>
            <w:t>12</w:t>
          </w:r>
        </w:p>
        <w:p w14:paraId="79C9111D" w14:textId="77777777" w:rsidR="00782640" w:rsidRPr="00782640" w:rsidRDefault="00782640" w:rsidP="00782640">
          <w:pPr>
            <w:spacing w:after="100"/>
            <w:ind w:left="216"/>
            <w:jc w:val="both"/>
            <w:rPr>
              <w:rFonts w:ascii="Calibri" w:eastAsia="Times New Roman" w:hAnsi="Calibri" w:cs="Times New Roman"/>
              <w:szCs w:val="20"/>
              <w:lang w:val="en-US"/>
            </w:rPr>
          </w:pPr>
          <w:r w:rsidRPr="00782640">
            <w:rPr>
              <w:rFonts w:ascii="Calibri" w:eastAsia="Times New Roman" w:hAnsi="Calibri" w:cs="Times New Roman"/>
              <w:szCs w:val="20"/>
              <w:lang w:val="en-US"/>
            </w:rPr>
            <w:t>2. Kidney Health Australia Chronic Kidney Disease Management in General Practice Handbook</w:t>
          </w:r>
          <w:r w:rsidRPr="00782640">
            <w:rPr>
              <w:rFonts w:ascii="Calibri" w:eastAsia="Times New Roman" w:hAnsi="Calibri" w:cs="Times New Roman"/>
              <w:szCs w:val="20"/>
              <w:lang w:val="en-US"/>
            </w:rPr>
            <w:ptab w:relativeTo="margin" w:alignment="right" w:leader="dot"/>
          </w:r>
          <w:r w:rsidRPr="00782640">
            <w:rPr>
              <w:rFonts w:ascii="Calibri" w:eastAsia="Times New Roman" w:hAnsi="Calibri" w:cs="Times New Roman"/>
              <w:szCs w:val="20"/>
              <w:lang w:val="en-US"/>
            </w:rPr>
            <w:t>13</w:t>
          </w:r>
        </w:p>
        <w:p w14:paraId="31A28956" w14:textId="77777777" w:rsidR="00782640" w:rsidRPr="00782640" w:rsidRDefault="00782640" w:rsidP="00782640">
          <w:pPr>
            <w:spacing w:after="100"/>
            <w:ind w:left="216"/>
            <w:jc w:val="both"/>
            <w:rPr>
              <w:rFonts w:ascii="Calibri" w:eastAsia="Times New Roman" w:hAnsi="Calibri" w:cs="Times New Roman"/>
              <w:szCs w:val="20"/>
              <w:lang w:val="en-US"/>
            </w:rPr>
          </w:pPr>
          <w:r w:rsidRPr="00782640">
            <w:rPr>
              <w:rFonts w:ascii="Calibri" w:eastAsia="Times New Roman" w:hAnsi="Calibri" w:cs="Times New Roman"/>
              <w:szCs w:val="20"/>
              <w:lang w:val="en-US"/>
            </w:rPr>
            <w:t>3. RACGP/NACCHO National Guide to a Preventative Health Assessment for Aboriginal and Torres Strait Islander People</w:t>
          </w:r>
          <w:r w:rsidRPr="00782640">
            <w:rPr>
              <w:rFonts w:ascii="Calibri" w:eastAsia="Times New Roman" w:hAnsi="Calibri" w:cs="Times New Roman"/>
              <w:szCs w:val="20"/>
              <w:lang w:val="en-US"/>
            </w:rPr>
            <w:ptab w:relativeTo="margin" w:alignment="right" w:leader="dot"/>
          </w:r>
          <w:r w:rsidRPr="00782640">
            <w:rPr>
              <w:rFonts w:ascii="Calibri" w:eastAsia="Times New Roman" w:hAnsi="Calibri" w:cs="Times New Roman"/>
              <w:szCs w:val="20"/>
              <w:lang w:val="en-US"/>
            </w:rPr>
            <w:t>14</w:t>
          </w:r>
        </w:p>
        <w:p w14:paraId="437B6F33" w14:textId="3F45FE05" w:rsidR="00782640" w:rsidRPr="00782640" w:rsidRDefault="00782640" w:rsidP="00782640">
          <w:pPr>
            <w:spacing w:after="100"/>
            <w:ind w:left="216"/>
            <w:jc w:val="both"/>
            <w:rPr>
              <w:rFonts w:ascii="Calibri" w:eastAsia="Times New Roman" w:hAnsi="Calibri" w:cs="Times New Roman"/>
              <w:szCs w:val="20"/>
              <w:lang w:val="en-US"/>
            </w:rPr>
          </w:pPr>
          <w:r w:rsidRPr="00782640">
            <w:rPr>
              <w:rFonts w:ascii="Calibri" w:eastAsia="Times New Roman" w:hAnsi="Calibri" w:cs="Times New Roman"/>
              <w:szCs w:val="20"/>
              <w:lang w:val="en-US"/>
            </w:rPr>
            <w:t>4. CARPA Standard Treatment Manual – 7</w:t>
          </w:r>
          <w:r w:rsidRPr="00782640">
            <w:rPr>
              <w:rFonts w:ascii="Calibri" w:eastAsia="Times New Roman" w:hAnsi="Calibri" w:cs="Times New Roman"/>
              <w:szCs w:val="20"/>
              <w:vertAlign w:val="superscript"/>
              <w:lang w:val="en-US"/>
            </w:rPr>
            <w:t>th</w:t>
          </w:r>
          <w:r w:rsidRPr="00782640">
            <w:rPr>
              <w:rFonts w:ascii="Calibri" w:eastAsia="Times New Roman" w:hAnsi="Calibri" w:cs="Times New Roman"/>
              <w:szCs w:val="20"/>
              <w:lang w:val="en-US"/>
            </w:rPr>
            <w:t xml:space="preserve"> Edition</w:t>
          </w:r>
          <w:r w:rsidRPr="00782640">
            <w:rPr>
              <w:rFonts w:ascii="Calibri" w:eastAsia="Times New Roman" w:hAnsi="Calibri" w:cs="Times New Roman"/>
              <w:szCs w:val="20"/>
              <w:lang w:val="en-US"/>
            </w:rPr>
            <w:ptab w:relativeTo="margin" w:alignment="right" w:leader="dot"/>
          </w:r>
          <w:r w:rsidRPr="00782640">
            <w:rPr>
              <w:rFonts w:ascii="Calibri" w:eastAsia="Times New Roman" w:hAnsi="Calibri" w:cs="Times New Roman"/>
              <w:szCs w:val="20"/>
              <w:lang w:val="en-US"/>
            </w:rPr>
            <w:t>1</w:t>
          </w:r>
          <w:r w:rsidR="0016723C">
            <w:rPr>
              <w:rFonts w:ascii="Calibri" w:eastAsia="Times New Roman" w:hAnsi="Calibri" w:cs="Times New Roman"/>
              <w:szCs w:val="20"/>
              <w:lang w:val="en-US"/>
            </w:rPr>
            <w:t>5</w:t>
          </w:r>
        </w:p>
        <w:p w14:paraId="7165D1E3" w14:textId="77777777" w:rsidR="00782640" w:rsidRPr="00782640" w:rsidRDefault="00782640" w:rsidP="00782640">
          <w:pPr>
            <w:spacing w:after="100"/>
            <w:ind w:left="216"/>
            <w:jc w:val="both"/>
            <w:rPr>
              <w:rFonts w:ascii="Calibri" w:eastAsia="Times New Roman" w:hAnsi="Calibri" w:cs="Times New Roman"/>
              <w:szCs w:val="20"/>
              <w:lang w:val="en-US"/>
            </w:rPr>
          </w:pPr>
          <w:r w:rsidRPr="00782640">
            <w:rPr>
              <w:rFonts w:ascii="Calibri" w:eastAsia="Times New Roman" w:hAnsi="Calibri" w:cs="Times New Roman"/>
              <w:szCs w:val="20"/>
              <w:lang w:val="en-US"/>
            </w:rPr>
            <w:t xml:space="preserve">5. The </w:t>
          </w:r>
          <w:proofErr w:type="spellStart"/>
          <w:r w:rsidRPr="00782640">
            <w:rPr>
              <w:rFonts w:ascii="Calibri" w:eastAsia="Times New Roman" w:hAnsi="Calibri" w:cs="Times New Roman"/>
              <w:szCs w:val="20"/>
              <w:lang w:val="en-US"/>
            </w:rPr>
            <w:t>HealthPathways</w:t>
          </w:r>
          <w:proofErr w:type="spellEnd"/>
          <w:r w:rsidRPr="00782640">
            <w:rPr>
              <w:rFonts w:ascii="Calibri" w:eastAsia="Times New Roman" w:hAnsi="Calibri" w:cs="Times New Roman"/>
              <w:szCs w:val="20"/>
              <w:lang w:val="en-US"/>
            </w:rPr>
            <w:t xml:space="preserve"> Community Care Plans</w:t>
          </w:r>
          <w:r w:rsidRPr="00782640">
            <w:rPr>
              <w:rFonts w:ascii="Calibri" w:eastAsia="Times New Roman" w:hAnsi="Calibri" w:cs="Times New Roman"/>
              <w:szCs w:val="20"/>
              <w:lang w:val="en-US"/>
            </w:rPr>
            <w:ptab w:relativeTo="margin" w:alignment="right" w:leader="dot"/>
          </w:r>
          <w:r w:rsidRPr="00782640">
            <w:rPr>
              <w:rFonts w:ascii="Calibri" w:eastAsia="Times New Roman" w:hAnsi="Calibri" w:cs="Times New Roman"/>
              <w:szCs w:val="20"/>
              <w:lang w:val="en-US"/>
            </w:rPr>
            <w:t>15</w:t>
          </w:r>
        </w:p>
        <w:p w14:paraId="6A31F3EA" w14:textId="2A468539" w:rsidR="00782640" w:rsidRPr="00782640" w:rsidRDefault="00782640" w:rsidP="00782640">
          <w:pPr>
            <w:spacing w:after="100"/>
            <w:ind w:left="216"/>
            <w:jc w:val="both"/>
            <w:rPr>
              <w:rFonts w:ascii="Calibri" w:eastAsia="Times New Roman" w:hAnsi="Calibri" w:cs="Times New Roman"/>
              <w:szCs w:val="20"/>
              <w:lang w:val="en-US"/>
            </w:rPr>
          </w:pPr>
          <w:r w:rsidRPr="00782640">
            <w:rPr>
              <w:rFonts w:ascii="Calibri" w:eastAsia="Times New Roman" w:hAnsi="Calibri" w:cs="Times New Roman"/>
              <w:szCs w:val="20"/>
              <w:lang w:val="en-US"/>
            </w:rPr>
            <w:t>6. Local Protocols for CKD Care</w:t>
          </w:r>
          <w:r w:rsidRPr="00782640">
            <w:rPr>
              <w:rFonts w:ascii="Calibri" w:eastAsia="Times New Roman" w:hAnsi="Calibri" w:cs="Times New Roman"/>
              <w:szCs w:val="20"/>
              <w:lang w:val="en-US"/>
            </w:rPr>
            <w:ptab w:relativeTo="margin" w:alignment="right" w:leader="dot"/>
          </w:r>
          <w:r w:rsidRPr="00782640">
            <w:rPr>
              <w:rFonts w:ascii="Calibri" w:eastAsia="Times New Roman" w:hAnsi="Calibri" w:cs="Times New Roman"/>
              <w:szCs w:val="20"/>
              <w:lang w:val="en-US"/>
            </w:rPr>
            <w:t>1</w:t>
          </w:r>
          <w:r w:rsidR="0016723C">
            <w:rPr>
              <w:rFonts w:ascii="Calibri" w:eastAsia="Times New Roman" w:hAnsi="Calibri" w:cs="Times New Roman"/>
              <w:szCs w:val="20"/>
              <w:lang w:val="en-US"/>
            </w:rPr>
            <w:t>7</w:t>
          </w:r>
        </w:p>
        <w:p w14:paraId="19673AFE" w14:textId="77777777" w:rsidR="00782640" w:rsidRPr="00782640" w:rsidRDefault="00782640" w:rsidP="00782640">
          <w:pPr>
            <w:spacing w:after="0" w:line="240" w:lineRule="auto"/>
            <w:rPr>
              <w:rFonts w:ascii="Calibri" w:eastAsia="Calibri" w:hAnsi="Calibri" w:cs="Times New Roman"/>
              <w:szCs w:val="20"/>
            </w:rPr>
          </w:pPr>
          <w:r w:rsidRPr="00782640">
            <w:rPr>
              <w:rFonts w:ascii="Calibri" w:eastAsia="Calibri" w:hAnsi="Calibri" w:cs="Times New Roman"/>
              <w:b/>
              <w:szCs w:val="20"/>
            </w:rPr>
            <w:t>Box 1:  Summary of Existing Guidelines for CKD Management</w:t>
          </w:r>
          <w:r w:rsidRPr="00782640">
            <w:rPr>
              <w:rFonts w:ascii="Calibri" w:eastAsia="Calibri" w:hAnsi="Calibri" w:cs="Times New Roman"/>
              <w:szCs w:val="20"/>
            </w:rPr>
            <w:t xml:space="preserve"> </w:t>
          </w:r>
          <w:r w:rsidRPr="00782640">
            <w:rPr>
              <w:rFonts w:ascii="Calibri" w:eastAsia="Calibri" w:hAnsi="Calibri" w:cs="Times New Roman"/>
              <w:szCs w:val="20"/>
            </w:rPr>
            <w:ptab w:relativeTo="margin" w:alignment="right" w:leader="dot"/>
          </w:r>
          <w:r w:rsidRPr="00782640">
            <w:rPr>
              <w:rFonts w:ascii="Calibri" w:eastAsia="Calibri" w:hAnsi="Calibri" w:cs="Times New Roman"/>
              <w:b/>
              <w:szCs w:val="20"/>
            </w:rPr>
            <w:t>16</w:t>
          </w:r>
        </w:p>
        <w:p w14:paraId="284ED3BA" w14:textId="77777777" w:rsidR="00782640" w:rsidRPr="00782640" w:rsidRDefault="00782640" w:rsidP="00782640">
          <w:pPr>
            <w:spacing w:after="0" w:line="240" w:lineRule="auto"/>
            <w:rPr>
              <w:rFonts w:ascii="Calibri" w:eastAsia="Calibri" w:hAnsi="Calibri" w:cs="Times New Roman"/>
              <w:szCs w:val="20"/>
            </w:rPr>
          </w:pPr>
        </w:p>
        <w:p w14:paraId="731D5BE9" w14:textId="78054509" w:rsidR="00782640" w:rsidRPr="00782640" w:rsidRDefault="00782640" w:rsidP="00782640">
          <w:pPr>
            <w:spacing w:after="100"/>
            <w:jc w:val="both"/>
            <w:rPr>
              <w:rFonts w:ascii="Calibri" w:eastAsia="Times New Roman" w:hAnsi="Calibri" w:cs="Times New Roman"/>
              <w:szCs w:val="20"/>
              <w:lang w:val="en-US"/>
            </w:rPr>
          </w:pPr>
          <w:r w:rsidRPr="00782640">
            <w:rPr>
              <w:rFonts w:ascii="Calibri" w:eastAsia="Times New Roman" w:hAnsi="Calibri" w:cs="Times New Roman"/>
              <w:b/>
              <w:bCs/>
              <w:szCs w:val="20"/>
              <w:lang w:val="en-US"/>
            </w:rPr>
            <w:t>E. Barriers to the Use of Guidelines for Managing CKD in Aboriginal and Torres Strait Islander Patients</w:t>
          </w:r>
          <w:r w:rsidRPr="00782640">
            <w:rPr>
              <w:rFonts w:ascii="Calibri" w:eastAsia="Times New Roman" w:hAnsi="Calibri" w:cs="Times New Roman"/>
              <w:szCs w:val="20"/>
              <w:lang w:val="en-US"/>
            </w:rPr>
            <w:ptab w:relativeTo="margin" w:alignment="right" w:leader="dot"/>
          </w:r>
          <w:r w:rsidRPr="00782640">
            <w:rPr>
              <w:rFonts w:ascii="Calibri" w:eastAsia="Times New Roman" w:hAnsi="Calibri" w:cs="Times New Roman"/>
              <w:b/>
              <w:bCs/>
              <w:szCs w:val="20"/>
              <w:lang w:val="en-US"/>
            </w:rPr>
            <w:t>1</w:t>
          </w:r>
          <w:r w:rsidR="0016723C">
            <w:rPr>
              <w:rFonts w:ascii="Calibri" w:eastAsia="Times New Roman" w:hAnsi="Calibri" w:cs="Times New Roman"/>
              <w:b/>
              <w:bCs/>
              <w:szCs w:val="20"/>
              <w:lang w:val="en-US"/>
            </w:rPr>
            <w:t>8</w:t>
          </w:r>
        </w:p>
        <w:p w14:paraId="485BF593" w14:textId="1BAA8965" w:rsidR="00782640" w:rsidRPr="00782640" w:rsidRDefault="00782640" w:rsidP="00782640">
          <w:pPr>
            <w:spacing w:after="100"/>
            <w:ind w:left="216"/>
            <w:jc w:val="both"/>
            <w:rPr>
              <w:rFonts w:ascii="Calibri" w:eastAsia="Times New Roman" w:hAnsi="Calibri" w:cs="Times New Roman"/>
              <w:szCs w:val="20"/>
              <w:lang w:val="en-US"/>
            </w:rPr>
          </w:pPr>
          <w:r w:rsidRPr="00782640">
            <w:rPr>
              <w:rFonts w:ascii="Calibri" w:eastAsia="Times New Roman" w:hAnsi="Calibri" w:cs="Times New Roman"/>
              <w:szCs w:val="20"/>
              <w:lang w:val="en-US"/>
            </w:rPr>
            <w:t>1. Patient-related Factors</w:t>
          </w:r>
          <w:r w:rsidRPr="00782640">
            <w:rPr>
              <w:rFonts w:ascii="Calibri" w:eastAsia="Times New Roman" w:hAnsi="Calibri" w:cs="Times New Roman"/>
              <w:szCs w:val="20"/>
              <w:lang w:val="en-US"/>
            </w:rPr>
            <w:ptab w:relativeTo="margin" w:alignment="right" w:leader="dot"/>
          </w:r>
          <w:r w:rsidRPr="00782640">
            <w:rPr>
              <w:rFonts w:ascii="Calibri" w:eastAsia="Times New Roman" w:hAnsi="Calibri" w:cs="Times New Roman"/>
              <w:szCs w:val="20"/>
              <w:lang w:val="en-US"/>
            </w:rPr>
            <w:t>1</w:t>
          </w:r>
          <w:r w:rsidR="0016723C">
            <w:rPr>
              <w:rFonts w:ascii="Calibri" w:eastAsia="Times New Roman" w:hAnsi="Calibri" w:cs="Times New Roman"/>
              <w:szCs w:val="20"/>
              <w:lang w:val="en-US"/>
            </w:rPr>
            <w:t>8</w:t>
          </w:r>
        </w:p>
        <w:p w14:paraId="0AE8F307" w14:textId="228294D8" w:rsidR="00782640" w:rsidRPr="00782640" w:rsidRDefault="00782640" w:rsidP="00782640">
          <w:pPr>
            <w:spacing w:after="100"/>
            <w:ind w:left="216"/>
            <w:jc w:val="both"/>
            <w:rPr>
              <w:rFonts w:ascii="Calibri" w:eastAsia="Times New Roman" w:hAnsi="Calibri" w:cs="Times New Roman"/>
              <w:szCs w:val="20"/>
              <w:lang w:val="en-US"/>
            </w:rPr>
          </w:pPr>
          <w:r w:rsidRPr="00782640">
            <w:rPr>
              <w:rFonts w:ascii="Calibri" w:eastAsia="Times New Roman" w:hAnsi="Calibri" w:cs="Times New Roman"/>
              <w:szCs w:val="20"/>
              <w:lang w:val="en-US"/>
            </w:rPr>
            <w:t>2. Health Professional-related Factors</w:t>
          </w:r>
          <w:r w:rsidRPr="00782640">
            <w:rPr>
              <w:rFonts w:ascii="Calibri" w:eastAsia="Times New Roman" w:hAnsi="Calibri" w:cs="Times New Roman"/>
              <w:szCs w:val="20"/>
              <w:lang w:val="en-US"/>
            </w:rPr>
            <w:ptab w:relativeTo="margin" w:alignment="right" w:leader="dot"/>
          </w:r>
          <w:r w:rsidR="0016723C">
            <w:rPr>
              <w:rFonts w:ascii="Calibri" w:eastAsia="Times New Roman" w:hAnsi="Calibri" w:cs="Times New Roman"/>
              <w:szCs w:val="20"/>
              <w:lang w:val="en-US"/>
            </w:rPr>
            <w:t>20</w:t>
          </w:r>
        </w:p>
        <w:p w14:paraId="25C0193A" w14:textId="19EB738B" w:rsidR="00782640" w:rsidRPr="00782640" w:rsidRDefault="00782640" w:rsidP="00782640">
          <w:pPr>
            <w:spacing w:after="100"/>
            <w:ind w:left="216"/>
            <w:jc w:val="both"/>
            <w:rPr>
              <w:rFonts w:ascii="Calibri" w:eastAsia="Times New Roman" w:hAnsi="Calibri" w:cs="Times New Roman"/>
              <w:szCs w:val="20"/>
              <w:lang w:val="en-US"/>
            </w:rPr>
          </w:pPr>
          <w:r w:rsidRPr="00782640">
            <w:rPr>
              <w:rFonts w:ascii="Calibri" w:eastAsia="Times New Roman" w:hAnsi="Calibri" w:cs="Times New Roman"/>
              <w:szCs w:val="20"/>
              <w:lang w:val="en-US"/>
            </w:rPr>
            <w:t>3. Guideline Factors</w:t>
          </w:r>
          <w:r w:rsidRPr="00782640">
            <w:rPr>
              <w:rFonts w:ascii="Calibri" w:eastAsia="Times New Roman" w:hAnsi="Calibri" w:cs="Times New Roman"/>
              <w:szCs w:val="20"/>
              <w:lang w:val="en-US"/>
            </w:rPr>
            <w:ptab w:relativeTo="margin" w:alignment="right" w:leader="dot"/>
          </w:r>
          <w:r w:rsidRPr="00782640">
            <w:rPr>
              <w:rFonts w:ascii="Calibri" w:eastAsia="Times New Roman" w:hAnsi="Calibri" w:cs="Times New Roman"/>
              <w:szCs w:val="20"/>
              <w:lang w:val="en-US"/>
            </w:rPr>
            <w:t>2</w:t>
          </w:r>
          <w:r w:rsidR="0016723C">
            <w:rPr>
              <w:rFonts w:ascii="Calibri" w:eastAsia="Times New Roman" w:hAnsi="Calibri" w:cs="Times New Roman"/>
              <w:szCs w:val="20"/>
              <w:lang w:val="en-US"/>
            </w:rPr>
            <w:t>2</w:t>
          </w:r>
        </w:p>
        <w:p w14:paraId="55949D10" w14:textId="6A796046" w:rsidR="00782640" w:rsidRPr="00782640" w:rsidRDefault="00782640" w:rsidP="00782640">
          <w:pPr>
            <w:spacing w:after="100"/>
            <w:jc w:val="both"/>
            <w:rPr>
              <w:rFonts w:ascii="Calibri" w:eastAsia="Times New Roman" w:hAnsi="Calibri" w:cs="Times New Roman"/>
              <w:szCs w:val="20"/>
              <w:lang w:val="en-US"/>
            </w:rPr>
          </w:pPr>
          <w:r w:rsidRPr="00782640">
            <w:rPr>
              <w:rFonts w:ascii="Calibri" w:eastAsia="Times New Roman" w:hAnsi="Calibri" w:cs="Times New Roman"/>
              <w:b/>
              <w:bCs/>
              <w:szCs w:val="20"/>
              <w:lang w:val="en-US"/>
            </w:rPr>
            <w:t>F. Recommendations to Improve Usefulness and Implementation of Guidelines</w:t>
          </w:r>
          <w:r w:rsidRPr="00782640">
            <w:rPr>
              <w:rFonts w:ascii="Calibri" w:eastAsia="Times New Roman" w:hAnsi="Calibri" w:cs="Times New Roman"/>
              <w:szCs w:val="20"/>
              <w:lang w:val="en-US"/>
            </w:rPr>
            <w:ptab w:relativeTo="margin" w:alignment="right" w:leader="dot"/>
          </w:r>
          <w:r w:rsidRPr="00782640">
            <w:rPr>
              <w:rFonts w:ascii="Calibri" w:eastAsia="Times New Roman" w:hAnsi="Calibri" w:cs="Times New Roman"/>
              <w:b/>
              <w:bCs/>
              <w:szCs w:val="20"/>
              <w:lang w:val="en-US"/>
            </w:rPr>
            <w:t>2</w:t>
          </w:r>
          <w:r w:rsidR="0016723C">
            <w:rPr>
              <w:rFonts w:ascii="Calibri" w:eastAsia="Times New Roman" w:hAnsi="Calibri" w:cs="Times New Roman"/>
              <w:b/>
              <w:bCs/>
              <w:szCs w:val="20"/>
              <w:lang w:val="en-US"/>
            </w:rPr>
            <w:t>4</w:t>
          </w:r>
        </w:p>
        <w:p w14:paraId="415A443B" w14:textId="4303718F" w:rsidR="00782640" w:rsidRPr="00782640" w:rsidRDefault="00782640" w:rsidP="00782640">
          <w:pPr>
            <w:spacing w:after="100"/>
            <w:ind w:left="216"/>
            <w:jc w:val="both"/>
            <w:rPr>
              <w:rFonts w:ascii="Calibri" w:eastAsia="Times New Roman" w:hAnsi="Calibri" w:cs="Times New Roman"/>
              <w:szCs w:val="20"/>
              <w:lang w:val="en-US"/>
            </w:rPr>
          </w:pPr>
          <w:r w:rsidRPr="00782640">
            <w:rPr>
              <w:rFonts w:ascii="Calibri" w:eastAsia="Times New Roman" w:hAnsi="Calibri" w:cs="Times New Roman"/>
              <w:szCs w:val="20"/>
              <w:lang w:val="en-US"/>
            </w:rPr>
            <w:t>1. Format and Delivery</w:t>
          </w:r>
          <w:r w:rsidRPr="00782640">
            <w:rPr>
              <w:rFonts w:ascii="Calibri" w:eastAsia="Times New Roman" w:hAnsi="Calibri" w:cs="Times New Roman"/>
              <w:szCs w:val="20"/>
              <w:lang w:val="en-US"/>
            </w:rPr>
            <w:ptab w:relativeTo="margin" w:alignment="right" w:leader="dot"/>
          </w:r>
          <w:r w:rsidRPr="00782640">
            <w:rPr>
              <w:rFonts w:ascii="Calibri" w:eastAsia="Times New Roman" w:hAnsi="Calibri" w:cs="Times New Roman"/>
              <w:szCs w:val="20"/>
              <w:lang w:val="en-US"/>
            </w:rPr>
            <w:t>2</w:t>
          </w:r>
          <w:r w:rsidR="0016723C">
            <w:rPr>
              <w:rFonts w:ascii="Calibri" w:eastAsia="Times New Roman" w:hAnsi="Calibri" w:cs="Times New Roman"/>
              <w:szCs w:val="20"/>
              <w:lang w:val="en-US"/>
            </w:rPr>
            <w:t>4</w:t>
          </w:r>
        </w:p>
        <w:p w14:paraId="3EF867F8" w14:textId="060FC6A0" w:rsidR="00782640" w:rsidRPr="00782640" w:rsidRDefault="00782640" w:rsidP="00782640">
          <w:pPr>
            <w:spacing w:after="100"/>
            <w:ind w:left="216"/>
            <w:jc w:val="both"/>
            <w:rPr>
              <w:rFonts w:ascii="Calibri" w:eastAsia="Times New Roman" w:hAnsi="Calibri" w:cs="Times New Roman"/>
              <w:szCs w:val="20"/>
              <w:lang w:val="en-US"/>
            </w:rPr>
          </w:pPr>
          <w:r w:rsidRPr="00782640">
            <w:rPr>
              <w:rFonts w:ascii="Calibri" w:eastAsia="Times New Roman" w:hAnsi="Calibri" w:cs="Times New Roman"/>
              <w:szCs w:val="20"/>
              <w:lang w:val="en-US"/>
            </w:rPr>
            <w:t>2. Patient Resources, Education and Engagement of Aboriginal and Torres Strait Islander Patients and Communities</w:t>
          </w:r>
          <w:r w:rsidRPr="00782640">
            <w:rPr>
              <w:rFonts w:ascii="Calibri" w:eastAsia="Times New Roman" w:hAnsi="Calibri" w:cs="Times New Roman"/>
              <w:szCs w:val="20"/>
              <w:lang w:val="en-US"/>
            </w:rPr>
            <w:ptab w:relativeTo="margin" w:alignment="right" w:leader="dot"/>
          </w:r>
          <w:r w:rsidRPr="00782640">
            <w:rPr>
              <w:rFonts w:ascii="Calibri" w:eastAsia="Times New Roman" w:hAnsi="Calibri" w:cs="Times New Roman"/>
              <w:szCs w:val="20"/>
              <w:lang w:val="en-US"/>
            </w:rPr>
            <w:t>2</w:t>
          </w:r>
          <w:r w:rsidR="0016723C">
            <w:rPr>
              <w:rFonts w:ascii="Calibri" w:eastAsia="Times New Roman" w:hAnsi="Calibri" w:cs="Times New Roman"/>
              <w:szCs w:val="20"/>
              <w:lang w:val="en-US"/>
            </w:rPr>
            <w:t>4</w:t>
          </w:r>
        </w:p>
        <w:p w14:paraId="5AB97B72" w14:textId="0ACC3396" w:rsidR="00782640" w:rsidRPr="00782640" w:rsidRDefault="00782640" w:rsidP="00782640">
          <w:pPr>
            <w:spacing w:after="100"/>
            <w:ind w:left="216"/>
            <w:jc w:val="both"/>
            <w:rPr>
              <w:rFonts w:ascii="Calibri" w:eastAsia="Times New Roman" w:hAnsi="Calibri" w:cs="Times New Roman"/>
              <w:szCs w:val="20"/>
              <w:lang w:val="en-US"/>
            </w:rPr>
          </w:pPr>
          <w:r w:rsidRPr="00782640">
            <w:rPr>
              <w:rFonts w:ascii="Calibri" w:eastAsia="Times New Roman" w:hAnsi="Calibri" w:cs="Times New Roman"/>
              <w:szCs w:val="20"/>
              <w:lang w:val="en-US"/>
            </w:rPr>
            <w:t>3. Facilitating Health Care Professional Use and Engagement</w:t>
          </w:r>
          <w:r w:rsidRPr="00782640">
            <w:rPr>
              <w:rFonts w:ascii="Calibri" w:eastAsia="Times New Roman" w:hAnsi="Calibri" w:cs="Times New Roman"/>
              <w:szCs w:val="20"/>
              <w:lang w:val="en-US"/>
            </w:rPr>
            <w:ptab w:relativeTo="margin" w:alignment="right" w:leader="dot"/>
          </w:r>
          <w:r w:rsidRPr="00782640">
            <w:rPr>
              <w:rFonts w:ascii="Calibri" w:eastAsia="Times New Roman" w:hAnsi="Calibri" w:cs="Times New Roman"/>
              <w:szCs w:val="20"/>
              <w:lang w:val="en-US"/>
            </w:rPr>
            <w:t>2</w:t>
          </w:r>
          <w:r w:rsidR="0016723C">
            <w:rPr>
              <w:rFonts w:ascii="Calibri" w:eastAsia="Times New Roman" w:hAnsi="Calibri" w:cs="Times New Roman"/>
              <w:szCs w:val="20"/>
              <w:lang w:val="en-US"/>
            </w:rPr>
            <w:t>7</w:t>
          </w:r>
        </w:p>
        <w:p w14:paraId="18C1A2E7" w14:textId="7960173A" w:rsidR="00782640" w:rsidRPr="00782640" w:rsidRDefault="00782640" w:rsidP="00782640">
          <w:pPr>
            <w:spacing w:after="100"/>
            <w:ind w:left="216"/>
            <w:jc w:val="both"/>
            <w:rPr>
              <w:rFonts w:ascii="Calibri" w:eastAsia="Times New Roman" w:hAnsi="Calibri" w:cs="Times New Roman"/>
              <w:szCs w:val="20"/>
              <w:lang w:val="en-US"/>
            </w:rPr>
          </w:pPr>
          <w:r w:rsidRPr="00782640">
            <w:rPr>
              <w:rFonts w:ascii="Calibri" w:eastAsia="Times New Roman" w:hAnsi="Calibri" w:cs="Times New Roman"/>
              <w:szCs w:val="20"/>
              <w:lang w:val="en-US"/>
            </w:rPr>
            <w:t>4. Use of Technology to Support Guidelines</w:t>
          </w:r>
          <w:r w:rsidRPr="00782640">
            <w:rPr>
              <w:rFonts w:ascii="Calibri" w:eastAsia="Times New Roman" w:hAnsi="Calibri" w:cs="Times New Roman"/>
              <w:szCs w:val="20"/>
              <w:lang w:val="en-US"/>
            </w:rPr>
            <w:ptab w:relativeTo="margin" w:alignment="right" w:leader="dot"/>
          </w:r>
          <w:r w:rsidRPr="00782640">
            <w:rPr>
              <w:rFonts w:ascii="Calibri" w:eastAsia="Times New Roman" w:hAnsi="Calibri" w:cs="Times New Roman"/>
              <w:szCs w:val="20"/>
              <w:lang w:val="en-US"/>
            </w:rPr>
            <w:t>2</w:t>
          </w:r>
          <w:r w:rsidR="0016723C">
            <w:rPr>
              <w:rFonts w:ascii="Calibri" w:eastAsia="Times New Roman" w:hAnsi="Calibri" w:cs="Times New Roman"/>
              <w:szCs w:val="20"/>
              <w:lang w:val="en-US"/>
            </w:rPr>
            <w:t>9</w:t>
          </w:r>
        </w:p>
        <w:p w14:paraId="57932D44" w14:textId="101631E8" w:rsidR="00782640" w:rsidRPr="00782640" w:rsidRDefault="00782640" w:rsidP="00782640">
          <w:pPr>
            <w:spacing w:after="100"/>
            <w:jc w:val="both"/>
            <w:rPr>
              <w:rFonts w:ascii="Calibri" w:eastAsia="Times New Roman" w:hAnsi="Calibri" w:cs="Times New Roman"/>
              <w:b/>
              <w:bCs/>
              <w:szCs w:val="20"/>
              <w:lang w:val="en-US"/>
            </w:rPr>
          </w:pPr>
          <w:r w:rsidRPr="00782640">
            <w:rPr>
              <w:rFonts w:ascii="Calibri" w:eastAsia="Times New Roman" w:hAnsi="Calibri" w:cs="Times New Roman"/>
              <w:b/>
              <w:bCs/>
              <w:szCs w:val="20"/>
              <w:lang w:val="en-US"/>
            </w:rPr>
            <w:t>G. Gaps in Existing Knowledge – Strengthening the Evidence-base</w:t>
          </w:r>
          <w:r w:rsidRPr="00782640">
            <w:rPr>
              <w:rFonts w:ascii="Calibri" w:eastAsia="Times New Roman" w:hAnsi="Calibri" w:cs="Times New Roman"/>
              <w:szCs w:val="20"/>
              <w:lang w:val="en-US"/>
            </w:rPr>
            <w:ptab w:relativeTo="margin" w:alignment="right" w:leader="dot"/>
          </w:r>
          <w:r w:rsidRPr="00782640">
            <w:rPr>
              <w:rFonts w:ascii="Calibri" w:eastAsia="Times New Roman" w:hAnsi="Calibri" w:cs="Times New Roman"/>
              <w:b/>
              <w:bCs/>
              <w:szCs w:val="20"/>
              <w:lang w:val="en-US"/>
            </w:rPr>
            <w:t>3</w:t>
          </w:r>
          <w:r w:rsidR="0016723C">
            <w:rPr>
              <w:rFonts w:ascii="Calibri" w:eastAsia="Times New Roman" w:hAnsi="Calibri" w:cs="Times New Roman"/>
              <w:b/>
              <w:bCs/>
              <w:szCs w:val="20"/>
              <w:lang w:val="en-US"/>
            </w:rPr>
            <w:t>1</w:t>
          </w:r>
        </w:p>
        <w:p w14:paraId="443C7021" w14:textId="18472830" w:rsidR="00782640" w:rsidRPr="00782640" w:rsidRDefault="00782640" w:rsidP="00782640">
          <w:pPr>
            <w:spacing w:after="100" w:line="360" w:lineRule="auto"/>
            <w:jc w:val="both"/>
            <w:rPr>
              <w:rFonts w:ascii="Calibri" w:eastAsia="Times New Roman" w:hAnsi="Calibri" w:cs="Times New Roman"/>
              <w:szCs w:val="20"/>
              <w:lang w:val="en-US"/>
            </w:rPr>
          </w:pPr>
          <w:r w:rsidRPr="00782640">
            <w:rPr>
              <w:rFonts w:ascii="Calibri" w:eastAsia="Times New Roman" w:hAnsi="Calibri" w:cs="Times New Roman"/>
              <w:szCs w:val="20"/>
              <w:lang w:val="en-US"/>
            </w:rPr>
            <w:t xml:space="preserve">     1. Evidence-base for Workforce Education and Support</w:t>
          </w:r>
          <w:r w:rsidRPr="00782640">
            <w:rPr>
              <w:rFonts w:ascii="Calibri" w:eastAsia="Times New Roman" w:hAnsi="Calibri" w:cs="Times New Roman"/>
              <w:szCs w:val="20"/>
              <w:lang w:val="en-US"/>
            </w:rPr>
            <w:ptab w:relativeTo="margin" w:alignment="right" w:leader="dot"/>
          </w:r>
          <w:r w:rsidRPr="00782640">
            <w:rPr>
              <w:rFonts w:ascii="Calibri" w:eastAsia="Times New Roman" w:hAnsi="Calibri" w:cs="Times New Roman"/>
              <w:szCs w:val="20"/>
              <w:lang w:val="en-US"/>
            </w:rPr>
            <w:t>3</w:t>
          </w:r>
          <w:r w:rsidR="0016723C">
            <w:rPr>
              <w:rFonts w:ascii="Calibri" w:eastAsia="Times New Roman" w:hAnsi="Calibri" w:cs="Times New Roman"/>
              <w:szCs w:val="20"/>
              <w:lang w:val="en-US"/>
            </w:rPr>
            <w:t>1</w:t>
          </w:r>
        </w:p>
        <w:p w14:paraId="5DA68771" w14:textId="576E4A3F" w:rsidR="00782640" w:rsidRPr="00782640" w:rsidRDefault="00782640" w:rsidP="00782640">
          <w:pPr>
            <w:spacing w:after="0" w:line="360" w:lineRule="auto"/>
            <w:rPr>
              <w:rFonts w:ascii="Calibri" w:eastAsia="Calibri" w:hAnsi="Calibri" w:cs="Times New Roman"/>
              <w:szCs w:val="20"/>
            </w:rPr>
          </w:pPr>
          <w:r w:rsidRPr="00782640">
            <w:rPr>
              <w:rFonts w:ascii="Calibri" w:eastAsia="Calibri" w:hAnsi="Calibri" w:cs="Times New Roman"/>
              <w:szCs w:val="20"/>
            </w:rPr>
            <w:t xml:space="preserve">     2. Evidence-base for Geographical Variation in CKD Risk and Care</w:t>
          </w:r>
          <w:r w:rsidRPr="00782640">
            <w:rPr>
              <w:rFonts w:ascii="Calibri" w:eastAsia="Calibri" w:hAnsi="Calibri" w:cs="Times New Roman"/>
              <w:sz w:val="24"/>
              <w:szCs w:val="24"/>
            </w:rPr>
            <w:ptab w:relativeTo="margin" w:alignment="right" w:leader="dot"/>
          </w:r>
          <w:r w:rsidRPr="00782640">
            <w:rPr>
              <w:rFonts w:ascii="Calibri" w:eastAsia="Calibri" w:hAnsi="Calibri" w:cs="Times New Roman"/>
              <w:szCs w:val="20"/>
            </w:rPr>
            <w:t>3</w:t>
          </w:r>
          <w:r w:rsidR="0016723C">
            <w:rPr>
              <w:rFonts w:ascii="Calibri" w:eastAsia="Calibri" w:hAnsi="Calibri" w:cs="Times New Roman"/>
              <w:szCs w:val="20"/>
            </w:rPr>
            <w:t>1</w:t>
          </w:r>
        </w:p>
        <w:p w14:paraId="58A6D1A4" w14:textId="098EAC36" w:rsidR="00782640" w:rsidRPr="00782640" w:rsidRDefault="00782640" w:rsidP="00782640">
          <w:pPr>
            <w:spacing w:after="0" w:line="360" w:lineRule="auto"/>
            <w:rPr>
              <w:rFonts w:ascii="Calibri" w:eastAsia="Calibri" w:hAnsi="Calibri" w:cs="Times New Roman"/>
              <w:szCs w:val="20"/>
            </w:rPr>
          </w:pPr>
          <w:r w:rsidRPr="00782640">
            <w:rPr>
              <w:rFonts w:ascii="Calibri" w:eastAsia="Calibri" w:hAnsi="Calibri" w:cs="Times New Roman"/>
              <w:szCs w:val="20"/>
            </w:rPr>
            <w:t xml:space="preserve">     3. Evidence-base for Patient and Community Education Strategies</w:t>
          </w:r>
          <w:r w:rsidRPr="00782640">
            <w:rPr>
              <w:rFonts w:ascii="Calibri" w:eastAsia="Calibri" w:hAnsi="Calibri" w:cs="Times New Roman"/>
              <w:sz w:val="24"/>
              <w:szCs w:val="24"/>
            </w:rPr>
            <w:ptab w:relativeTo="margin" w:alignment="right" w:leader="dot"/>
          </w:r>
          <w:r w:rsidRPr="00782640">
            <w:rPr>
              <w:rFonts w:ascii="Calibri" w:eastAsia="Calibri" w:hAnsi="Calibri" w:cs="Times New Roman"/>
              <w:szCs w:val="20"/>
            </w:rPr>
            <w:t>3</w:t>
          </w:r>
          <w:r w:rsidR="0016723C">
            <w:rPr>
              <w:rFonts w:ascii="Calibri" w:eastAsia="Calibri" w:hAnsi="Calibri" w:cs="Times New Roman"/>
              <w:szCs w:val="20"/>
            </w:rPr>
            <w:t>2</w:t>
          </w:r>
        </w:p>
        <w:p w14:paraId="12C56762" w14:textId="327EECDB" w:rsidR="00782640" w:rsidRPr="00782640" w:rsidRDefault="00782640" w:rsidP="00782640">
          <w:pPr>
            <w:spacing w:after="0" w:line="360" w:lineRule="auto"/>
            <w:rPr>
              <w:rFonts w:ascii="Calibri" w:eastAsia="Calibri" w:hAnsi="Calibri" w:cs="Times New Roman"/>
              <w:szCs w:val="20"/>
            </w:rPr>
          </w:pPr>
          <w:r w:rsidRPr="00782640">
            <w:rPr>
              <w:rFonts w:ascii="Calibri" w:eastAsia="Calibri" w:hAnsi="Calibri" w:cs="Times New Roman"/>
              <w:szCs w:val="20"/>
            </w:rPr>
            <w:t xml:space="preserve">     4. Evidence-base for Prevention Strategies in Aboriginal and Torres Strait Islander peoples</w:t>
          </w:r>
          <w:r w:rsidRPr="00782640">
            <w:rPr>
              <w:rFonts w:ascii="Calibri" w:eastAsia="Calibri" w:hAnsi="Calibri" w:cs="Times New Roman"/>
              <w:sz w:val="24"/>
              <w:szCs w:val="24"/>
            </w:rPr>
            <w:ptab w:relativeTo="margin" w:alignment="right" w:leader="dot"/>
          </w:r>
          <w:r w:rsidRPr="00782640">
            <w:rPr>
              <w:rFonts w:ascii="Calibri" w:eastAsia="Calibri" w:hAnsi="Calibri" w:cs="Times New Roman"/>
              <w:szCs w:val="20"/>
            </w:rPr>
            <w:t>3</w:t>
          </w:r>
          <w:r w:rsidR="0016723C">
            <w:rPr>
              <w:rFonts w:ascii="Calibri" w:eastAsia="Calibri" w:hAnsi="Calibri" w:cs="Times New Roman"/>
              <w:szCs w:val="20"/>
            </w:rPr>
            <w:t>2</w:t>
          </w:r>
        </w:p>
        <w:p w14:paraId="3A1BD62C" w14:textId="2F630C74" w:rsidR="00782640" w:rsidRPr="00782640" w:rsidRDefault="00782640" w:rsidP="00782640">
          <w:pPr>
            <w:spacing w:after="0" w:line="360" w:lineRule="auto"/>
            <w:rPr>
              <w:rFonts w:ascii="Calibri" w:eastAsia="Calibri" w:hAnsi="Calibri" w:cs="Times New Roman"/>
              <w:szCs w:val="20"/>
            </w:rPr>
          </w:pPr>
          <w:r w:rsidRPr="00782640">
            <w:rPr>
              <w:rFonts w:ascii="Calibri" w:eastAsia="Calibri" w:hAnsi="Calibri" w:cs="Times New Roman"/>
              <w:szCs w:val="20"/>
            </w:rPr>
            <w:t xml:space="preserve">     5. Evidence-base for Managing CKD Stages 1-5 in Aboriginal and Torres Strait Islander peoples</w:t>
          </w:r>
          <w:r w:rsidRPr="00782640">
            <w:rPr>
              <w:rFonts w:ascii="Calibri" w:eastAsia="Calibri" w:hAnsi="Calibri" w:cs="Times New Roman"/>
              <w:sz w:val="24"/>
              <w:szCs w:val="24"/>
            </w:rPr>
            <w:ptab w:relativeTo="margin" w:alignment="right" w:leader="dot"/>
          </w:r>
          <w:r w:rsidRPr="00782640">
            <w:rPr>
              <w:rFonts w:ascii="Calibri" w:eastAsia="Calibri" w:hAnsi="Calibri" w:cs="Times New Roman"/>
              <w:szCs w:val="20"/>
            </w:rPr>
            <w:t>3</w:t>
          </w:r>
          <w:r w:rsidR="0016723C">
            <w:rPr>
              <w:rFonts w:ascii="Calibri" w:eastAsia="Calibri" w:hAnsi="Calibri" w:cs="Times New Roman"/>
              <w:szCs w:val="20"/>
            </w:rPr>
            <w:t>3</w:t>
          </w:r>
        </w:p>
        <w:p w14:paraId="58F418F8" w14:textId="381DA60D" w:rsidR="00782640" w:rsidRPr="00782640" w:rsidRDefault="00782640" w:rsidP="00782640">
          <w:pPr>
            <w:spacing w:after="100"/>
            <w:jc w:val="both"/>
            <w:rPr>
              <w:rFonts w:ascii="Calibri" w:eastAsia="Times New Roman" w:hAnsi="Calibri" w:cs="Times New Roman"/>
              <w:b/>
              <w:bCs/>
              <w:szCs w:val="20"/>
              <w:lang w:val="en-US"/>
            </w:rPr>
          </w:pPr>
          <w:r w:rsidRPr="00782640">
            <w:rPr>
              <w:rFonts w:ascii="Calibri" w:eastAsia="Times New Roman" w:hAnsi="Calibri" w:cs="Times New Roman"/>
              <w:b/>
              <w:bCs/>
              <w:szCs w:val="20"/>
              <w:lang w:val="en-US"/>
            </w:rPr>
            <w:t>H. Suggested Guidelines Scope and Content</w:t>
          </w:r>
          <w:r w:rsidRPr="00782640">
            <w:rPr>
              <w:rFonts w:ascii="Calibri" w:eastAsia="Times New Roman" w:hAnsi="Calibri" w:cs="Times New Roman"/>
              <w:szCs w:val="20"/>
              <w:lang w:val="en-US"/>
            </w:rPr>
            <w:ptab w:relativeTo="margin" w:alignment="right" w:leader="dot"/>
          </w:r>
          <w:r w:rsidRPr="00782640">
            <w:rPr>
              <w:rFonts w:ascii="Calibri" w:eastAsia="Times New Roman" w:hAnsi="Calibri" w:cs="Times New Roman"/>
              <w:b/>
              <w:bCs/>
              <w:szCs w:val="20"/>
              <w:lang w:val="en-US"/>
            </w:rPr>
            <w:t>3</w:t>
          </w:r>
          <w:r w:rsidR="0016723C">
            <w:rPr>
              <w:rFonts w:ascii="Calibri" w:eastAsia="Times New Roman" w:hAnsi="Calibri" w:cs="Times New Roman"/>
              <w:b/>
              <w:bCs/>
              <w:szCs w:val="20"/>
              <w:lang w:val="en-US"/>
            </w:rPr>
            <w:t>5</w:t>
          </w:r>
        </w:p>
        <w:p w14:paraId="276ECAC5" w14:textId="6B35FF4C" w:rsidR="00782640" w:rsidRPr="00782640" w:rsidRDefault="00782640" w:rsidP="00782640">
          <w:pPr>
            <w:spacing w:after="100"/>
            <w:jc w:val="both"/>
            <w:rPr>
              <w:rFonts w:ascii="Calibri" w:eastAsia="Times New Roman" w:hAnsi="Calibri" w:cs="Times New Roman"/>
              <w:szCs w:val="20"/>
              <w:lang w:val="en-US"/>
            </w:rPr>
          </w:pPr>
          <w:r w:rsidRPr="00782640">
            <w:rPr>
              <w:rFonts w:ascii="Calibri" w:eastAsia="Times New Roman" w:hAnsi="Calibri" w:cs="Times New Roman"/>
              <w:b/>
              <w:bCs/>
              <w:szCs w:val="20"/>
              <w:lang w:val="en-US"/>
            </w:rPr>
            <w:t>Appendix A:  RSA Journal</w:t>
          </w:r>
          <w:r w:rsidRPr="00782640">
            <w:rPr>
              <w:rFonts w:ascii="Calibri" w:eastAsia="Times New Roman" w:hAnsi="Calibri" w:cs="Times New Roman"/>
              <w:szCs w:val="20"/>
              <w:lang w:val="en-US"/>
            </w:rPr>
            <w:ptab w:relativeTo="margin" w:alignment="right" w:leader="dot"/>
          </w:r>
          <w:r w:rsidRPr="00782640">
            <w:rPr>
              <w:rFonts w:ascii="Calibri" w:eastAsia="Times New Roman" w:hAnsi="Calibri" w:cs="Times New Roman"/>
              <w:b/>
              <w:bCs/>
              <w:szCs w:val="20"/>
              <w:lang w:val="en-US"/>
            </w:rPr>
            <w:t>3</w:t>
          </w:r>
          <w:r w:rsidR="0016723C">
            <w:rPr>
              <w:rFonts w:ascii="Calibri" w:eastAsia="Times New Roman" w:hAnsi="Calibri" w:cs="Times New Roman"/>
              <w:b/>
              <w:bCs/>
              <w:szCs w:val="20"/>
              <w:lang w:val="en-US"/>
            </w:rPr>
            <w:t>7</w:t>
          </w:r>
        </w:p>
        <w:p w14:paraId="6065B7E3" w14:textId="5B5702D8" w:rsidR="00782640" w:rsidRPr="00782640" w:rsidRDefault="00782640" w:rsidP="00782640">
          <w:pPr>
            <w:spacing w:after="100"/>
            <w:jc w:val="both"/>
            <w:rPr>
              <w:rFonts w:ascii="Calibri" w:eastAsia="Times New Roman" w:hAnsi="Calibri" w:cs="Times New Roman"/>
              <w:b/>
              <w:bCs/>
              <w:szCs w:val="20"/>
              <w:lang w:val="en-US"/>
            </w:rPr>
          </w:pPr>
          <w:r w:rsidRPr="00782640">
            <w:rPr>
              <w:rFonts w:ascii="Calibri" w:eastAsia="Times New Roman" w:hAnsi="Calibri" w:cs="Times New Roman"/>
              <w:b/>
              <w:bCs/>
              <w:szCs w:val="20"/>
              <w:lang w:val="en-US"/>
            </w:rPr>
            <w:t>Appendix B:  Contributing Health Professionals</w:t>
          </w:r>
          <w:r w:rsidRPr="00782640">
            <w:rPr>
              <w:rFonts w:ascii="Calibri" w:eastAsia="Times New Roman" w:hAnsi="Calibri" w:cs="Times New Roman"/>
              <w:szCs w:val="20"/>
              <w:lang w:val="en-US"/>
            </w:rPr>
            <w:ptab w:relativeTo="margin" w:alignment="right" w:leader="dot"/>
          </w:r>
          <w:r w:rsidRPr="00782640">
            <w:rPr>
              <w:rFonts w:ascii="Calibri" w:eastAsia="Times New Roman" w:hAnsi="Calibri" w:cs="Times New Roman"/>
              <w:b/>
              <w:bCs/>
              <w:szCs w:val="20"/>
              <w:lang w:val="en-US"/>
            </w:rPr>
            <w:t>4</w:t>
          </w:r>
          <w:r w:rsidR="0016723C">
            <w:rPr>
              <w:rFonts w:ascii="Calibri" w:eastAsia="Times New Roman" w:hAnsi="Calibri" w:cs="Times New Roman"/>
              <w:b/>
              <w:bCs/>
              <w:szCs w:val="20"/>
              <w:lang w:val="en-US"/>
            </w:rPr>
            <w:t>2</w:t>
          </w:r>
        </w:p>
        <w:p w14:paraId="394C74E1" w14:textId="26C542A7" w:rsidR="00782640" w:rsidRPr="00782640" w:rsidRDefault="00782640" w:rsidP="00782640">
          <w:pPr>
            <w:spacing w:after="100"/>
            <w:jc w:val="both"/>
            <w:rPr>
              <w:rFonts w:ascii="Calibri" w:eastAsia="Times New Roman" w:hAnsi="Calibri" w:cs="Times New Roman"/>
              <w:szCs w:val="20"/>
              <w:lang w:val="en-US"/>
            </w:rPr>
          </w:pPr>
          <w:r w:rsidRPr="00782640">
            <w:rPr>
              <w:rFonts w:ascii="Calibri" w:eastAsia="Times New Roman" w:hAnsi="Calibri" w:cs="Times New Roman"/>
              <w:b/>
              <w:bCs/>
              <w:szCs w:val="20"/>
              <w:lang w:val="en-US"/>
            </w:rPr>
            <w:t>Appendix C:  Framework of Questions for Discussion:  Expert Panel tele/video Conferences</w:t>
          </w:r>
          <w:r w:rsidRPr="00782640">
            <w:rPr>
              <w:rFonts w:ascii="Calibri" w:eastAsia="Times New Roman" w:hAnsi="Calibri" w:cs="Times New Roman"/>
              <w:szCs w:val="20"/>
              <w:lang w:val="en-US"/>
            </w:rPr>
            <w:ptab w:relativeTo="margin" w:alignment="right" w:leader="dot"/>
          </w:r>
          <w:r w:rsidRPr="00782640">
            <w:rPr>
              <w:rFonts w:ascii="Calibri" w:eastAsia="Times New Roman" w:hAnsi="Calibri" w:cs="Times New Roman"/>
              <w:b/>
              <w:bCs/>
              <w:szCs w:val="20"/>
              <w:lang w:val="en-US"/>
            </w:rPr>
            <w:t>4</w:t>
          </w:r>
          <w:r w:rsidR="0016723C">
            <w:rPr>
              <w:rFonts w:ascii="Calibri" w:eastAsia="Times New Roman" w:hAnsi="Calibri" w:cs="Times New Roman"/>
              <w:b/>
              <w:bCs/>
              <w:szCs w:val="20"/>
              <w:lang w:val="en-US"/>
            </w:rPr>
            <w:t>5</w:t>
          </w:r>
        </w:p>
        <w:p w14:paraId="452CA76A" w14:textId="77777777" w:rsidR="00782640" w:rsidRPr="00782640" w:rsidRDefault="00D32AD3" w:rsidP="00782640">
          <w:pPr>
            <w:spacing w:after="100"/>
            <w:ind w:left="446"/>
            <w:jc w:val="both"/>
            <w:rPr>
              <w:rFonts w:ascii="Calibri" w:eastAsia="Times New Roman" w:hAnsi="Calibri" w:cs="Times New Roman"/>
              <w:sz w:val="22"/>
              <w:lang w:val="en-US"/>
            </w:rPr>
          </w:pPr>
        </w:p>
      </w:sdtContent>
    </w:sdt>
    <w:p w14:paraId="5D1F78E1" w14:textId="77777777" w:rsidR="00782640" w:rsidRPr="00EC7110" w:rsidRDefault="00782640" w:rsidP="00782640">
      <w:pPr>
        <w:spacing w:after="0" w:line="240" w:lineRule="auto"/>
        <w:jc w:val="both"/>
        <w:rPr>
          <w:rFonts w:ascii="Adelle Sans ExtraBold" w:eastAsia="Calibri" w:hAnsi="Adelle Sans ExtraBold" w:cs="Times New Roman"/>
          <w:b/>
          <w:bCs/>
          <w:color w:val="C00000"/>
          <w:sz w:val="40"/>
          <w:szCs w:val="40"/>
        </w:rPr>
      </w:pPr>
      <w:bookmarkStart w:id="102" w:name="_Hlk3549476"/>
      <w:r w:rsidRPr="00EC7110">
        <w:rPr>
          <w:rFonts w:ascii="Adelle Sans ExtraBold" w:eastAsia="Calibri" w:hAnsi="Adelle Sans ExtraBold" w:cs="Times New Roman"/>
          <w:b/>
          <w:bCs/>
          <w:color w:val="C00000"/>
          <w:sz w:val="40"/>
          <w:szCs w:val="40"/>
        </w:rPr>
        <w:lastRenderedPageBreak/>
        <w:t>Acknowledgements</w:t>
      </w:r>
    </w:p>
    <w:p w14:paraId="1B6D34BF" w14:textId="77777777" w:rsidR="00782640" w:rsidRPr="00782640" w:rsidRDefault="00782640" w:rsidP="00782640">
      <w:pPr>
        <w:spacing w:after="0" w:line="240" w:lineRule="auto"/>
        <w:jc w:val="both"/>
        <w:rPr>
          <w:rFonts w:ascii="Calibri" w:eastAsia="Calibri" w:hAnsi="Calibri" w:cs="Times New Roman"/>
          <w:sz w:val="24"/>
          <w:szCs w:val="24"/>
        </w:rPr>
      </w:pPr>
    </w:p>
    <w:p w14:paraId="478D312B"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 xml:space="preserve">In 2018, the Minister for Indigenous Health, the Hon. Ken Wyatt AM, MP, commissioned Kidney Health Australia to undertake consultations with Aboriginal and Torres Strait Islander community members around Australia, as well as health experts, service providers and peak bodies to inform the development of the inaugural Kidney Health Australia Caring for Australasians with Renal Impairment (KHA-CARI) Guidelines for the Management of Chronic Kidney Disease among Aboriginal and Torres Strait Islander Peoples. </w:t>
      </w:r>
    </w:p>
    <w:p w14:paraId="0EA417CA" w14:textId="77777777" w:rsidR="00782640" w:rsidRPr="00782640" w:rsidRDefault="00782640" w:rsidP="00782640">
      <w:pPr>
        <w:spacing w:after="0" w:line="240" w:lineRule="auto"/>
        <w:jc w:val="both"/>
        <w:rPr>
          <w:rFonts w:ascii="Calibri" w:eastAsia="Calibri" w:hAnsi="Calibri" w:cs="Times New Roman"/>
          <w:sz w:val="24"/>
          <w:szCs w:val="24"/>
        </w:rPr>
      </w:pPr>
    </w:p>
    <w:p w14:paraId="483159B4"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 xml:space="preserve">The authors would like to acknowledge and thank the generous grant awarded by the Government of Australia for the implementation of this consultation process. </w:t>
      </w:r>
    </w:p>
    <w:p w14:paraId="284B2682" w14:textId="77777777" w:rsidR="00782640" w:rsidRPr="00782640" w:rsidRDefault="00782640" w:rsidP="00782640">
      <w:pPr>
        <w:spacing w:after="0" w:line="240" w:lineRule="auto"/>
        <w:jc w:val="both"/>
        <w:rPr>
          <w:rFonts w:ascii="Calibri" w:eastAsia="Calibri" w:hAnsi="Calibri" w:cs="Times New Roman"/>
          <w:sz w:val="24"/>
          <w:szCs w:val="24"/>
        </w:rPr>
      </w:pPr>
    </w:p>
    <w:p w14:paraId="66111414"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 xml:space="preserve">The members of the Panel of Expert Clinicians provided expert input and recommendations via video and teleconferences, and written commentary.  Kidney Health Australia thank the valuable contribution of the health professionals who donated their time to contribute to this report.  </w:t>
      </w:r>
    </w:p>
    <w:p w14:paraId="383C2EB7" w14:textId="77777777" w:rsidR="00782640" w:rsidRPr="00782640" w:rsidRDefault="00782640" w:rsidP="00782640">
      <w:pPr>
        <w:spacing w:after="0" w:line="240" w:lineRule="auto"/>
        <w:jc w:val="both"/>
        <w:rPr>
          <w:rFonts w:ascii="Calibri" w:eastAsia="Calibri" w:hAnsi="Calibri" w:cs="Times New Roman"/>
          <w:sz w:val="24"/>
          <w:szCs w:val="24"/>
        </w:rPr>
      </w:pPr>
    </w:p>
    <w:p w14:paraId="77D8E816" w14:textId="77777777" w:rsidR="00782640" w:rsidRPr="00782640" w:rsidRDefault="00782640" w:rsidP="00782640">
      <w:pPr>
        <w:spacing w:after="0" w:line="240" w:lineRule="auto"/>
        <w:jc w:val="both"/>
        <w:rPr>
          <w:rFonts w:ascii="Calibri" w:eastAsia="Calibri" w:hAnsi="Calibri" w:cs="Times New Roman"/>
          <w:sz w:val="24"/>
          <w:szCs w:val="24"/>
        </w:rPr>
      </w:pPr>
    </w:p>
    <w:p w14:paraId="574C8A61" w14:textId="77777777" w:rsidR="00782640" w:rsidRPr="00782640" w:rsidRDefault="00782640" w:rsidP="00782640">
      <w:pPr>
        <w:spacing w:after="0" w:line="240" w:lineRule="auto"/>
        <w:jc w:val="both"/>
        <w:rPr>
          <w:rFonts w:ascii="Calibri" w:eastAsia="Calibri" w:hAnsi="Calibri" w:cs="Times New Roman"/>
          <w:sz w:val="24"/>
          <w:szCs w:val="24"/>
        </w:rPr>
      </w:pPr>
    </w:p>
    <w:p w14:paraId="2E6584C7" w14:textId="77777777" w:rsidR="00782640" w:rsidRPr="00782640" w:rsidRDefault="00782640" w:rsidP="00782640">
      <w:pPr>
        <w:spacing w:after="0" w:line="240" w:lineRule="auto"/>
        <w:jc w:val="both"/>
        <w:rPr>
          <w:rFonts w:ascii="Calibri" w:eastAsia="Calibri" w:hAnsi="Calibri" w:cs="Times New Roman"/>
          <w:sz w:val="24"/>
          <w:szCs w:val="24"/>
        </w:rPr>
      </w:pPr>
    </w:p>
    <w:p w14:paraId="07A3A275" w14:textId="77777777" w:rsidR="00782640" w:rsidRPr="00EC7110" w:rsidRDefault="00782640" w:rsidP="00782640">
      <w:pPr>
        <w:spacing w:after="0" w:line="240" w:lineRule="auto"/>
        <w:jc w:val="both"/>
        <w:rPr>
          <w:rFonts w:ascii="Adelle Sans Light" w:eastAsia="Calibri" w:hAnsi="Adelle Sans Light" w:cs="Times New Roman"/>
          <w:color w:val="C00000"/>
          <w:sz w:val="40"/>
          <w:szCs w:val="40"/>
        </w:rPr>
      </w:pPr>
      <w:r w:rsidRPr="00EC7110">
        <w:rPr>
          <w:rFonts w:ascii="Adelle Sans Light" w:eastAsia="Calibri" w:hAnsi="Adelle Sans Light" w:cs="Times New Roman"/>
          <w:color w:val="C00000"/>
          <w:sz w:val="40"/>
          <w:szCs w:val="40"/>
        </w:rPr>
        <w:t xml:space="preserve">Authors: </w:t>
      </w:r>
    </w:p>
    <w:p w14:paraId="2B9C2604"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 xml:space="preserve">A/Prof </w:t>
      </w:r>
      <w:proofErr w:type="spellStart"/>
      <w:r w:rsidRPr="00782640">
        <w:rPr>
          <w:rFonts w:ascii="Calibri" w:eastAsia="Calibri" w:hAnsi="Calibri" w:cs="Times New Roman"/>
          <w:sz w:val="24"/>
          <w:szCs w:val="24"/>
        </w:rPr>
        <w:t>Shilpanjali</w:t>
      </w:r>
      <w:proofErr w:type="spellEnd"/>
      <w:r w:rsidRPr="00782640">
        <w:rPr>
          <w:rFonts w:ascii="Calibri" w:eastAsia="Calibri" w:hAnsi="Calibri" w:cs="Times New Roman"/>
          <w:sz w:val="24"/>
          <w:szCs w:val="24"/>
        </w:rPr>
        <w:t xml:space="preserve"> Jesudason (Clinical Director Kidney Health Australia)</w:t>
      </w:r>
    </w:p>
    <w:p w14:paraId="206B342F"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Dora Oliva (</w:t>
      </w:r>
      <w:r w:rsidRPr="00782640">
        <w:rPr>
          <w:rFonts w:ascii="Verdana" w:eastAsia="Calibri" w:hAnsi="Verdana" w:cs="Times New Roman"/>
          <w:color w:val="000000"/>
          <w:szCs w:val="20"/>
        </w:rPr>
        <w:t>National Manager Indigenous Kidney Health)</w:t>
      </w:r>
    </w:p>
    <w:p w14:paraId="4BBDA28D"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Karen Barfoot (Project Support Kidney Health Australia)</w:t>
      </w:r>
    </w:p>
    <w:p w14:paraId="4511CCE5"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Joanna Stoic (</w:t>
      </w:r>
      <w:r w:rsidRPr="00782640">
        <w:rPr>
          <w:rFonts w:ascii="Verdana" w:eastAsia="Calibri" w:hAnsi="Verdana" w:cs="Times New Roman"/>
          <w:color w:val="000000"/>
          <w:szCs w:val="20"/>
        </w:rPr>
        <w:t>Executive Support Officer Kidney Health Australia)</w:t>
      </w:r>
    </w:p>
    <w:p w14:paraId="56EE4694" w14:textId="77777777" w:rsidR="00782640" w:rsidRPr="00782640" w:rsidRDefault="00782640" w:rsidP="00782640">
      <w:pPr>
        <w:spacing w:after="0" w:line="240" w:lineRule="auto"/>
        <w:jc w:val="both"/>
        <w:rPr>
          <w:rFonts w:ascii="Calibri" w:eastAsia="Calibri" w:hAnsi="Calibri" w:cs="Times New Roman"/>
          <w:sz w:val="24"/>
          <w:szCs w:val="24"/>
        </w:rPr>
      </w:pPr>
    </w:p>
    <w:p w14:paraId="0E16905B" w14:textId="77777777" w:rsidR="00782640" w:rsidRPr="00EC7110" w:rsidRDefault="00782640" w:rsidP="00782640">
      <w:pPr>
        <w:spacing w:after="0" w:line="240" w:lineRule="auto"/>
        <w:jc w:val="both"/>
        <w:rPr>
          <w:rFonts w:ascii="Adelle Sans ExtraBold" w:eastAsia="Calibri" w:hAnsi="Adelle Sans ExtraBold" w:cs="Times New Roman"/>
          <w:b/>
          <w:bCs/>
          <w:color w:val="C00000"/>
          <w:sz w:val="40"/>
          <w:szCs w:val="40"/>
        </w:rPr>
      </w:pPr>
    </w:p>
    <w:p w14:paraId="12ACBED0" w14:textId="77777777" w:rsidR="00782640" w:rsidRPr="00EC7110" w:rsidRDefault="00782640" w:rsidP="00782640">
      <w:pPr>
        <w:spacing w:after="0" w:line="240" w:lineRule="auto"/>
        <w:jc w:val="both"/>
        <w:rPr>
          <w:rFonts w:ascii="Adelle Sans Light" w:eastAsia="Calibri" w:hAnsi="Adelle Sans Light" w:cs="Times New Roman"/>
          <w:color w:val="C00000"/>
          <w:sz w:val="40"/>
          <w:szCs w:val="40"/>
        </w:rPr>
      </w:pPr>
      <w:r w:rsidRPr="00EC7110">
        <w:rPr>
          <w:rFonts w:ascii="Adelle Sans Light" w:eastAsia="Calibri" w:hAnsi="Adelle Sans Light" w:cs="Times New Roman"/>
          <w:color w:val="C00000"/>
          <w:sz w:val="40"/>
          <w:szCs w:val="40"/>
        </w:rPr>
        <w:t xml:space="preserve">Citation: </w:t>
      </w:r>
    </w:p>
    <w:p w14:paraId="0820FD8B" w14:textId="77777777" w:rsidR="00782640" w:rsidRPr="00EC7110" w:rsidRDefault="00782640" w:rsidP="00782640">
      <w:pPr>
        <w:spacing w:after="0" w:line="240" w:lineRule="auto"/>
        <w:jc w:val="both"/>
        <w:rPr>
          <w:rFonts w:ascii="Calibri" w:eastAsia="Calibri" w:hAnsi="Calibri" w:cs="Times New Roman"/>
          <w:color w:val="C00000"/>
          <w:sz w:val="24"/>
          <w:szCs w:val="24"/>
        </w:rPr>
      </w:pPr>
      <w:r w:rsidRPr="00782640">
        <w:rPr>
          <w:rFonts w:ascii="Calibri" w:eastAsia="Calibri" w:hAnsi="Calibri" w:cs="Times New Roman"/>
          <w:sz w:val="24"/>
          <w:szCs w:val="24"/>
        </w:rPr>
        <w:t xml:space="preserve">Jesudason S, Oliva D, Barfoot K, Stoic J. (2019). Expert Clinician Panel Report for the KHA-CARI Guidelines for the Management of Chronic Kidney Disease among Aboriginal and Torres Strait Islander Peoples. Available from </w:t>
      </w:r>
      <w:hyperlink r:id="rId75" w:history="1">
        <w:r w:rsidRPr="00EC7110">
          <w:rPr>
            <w:rFonts w:ascii="Adelle Sans SemiBold" w:eastAsia="Calibri" w:hAnsi="Adelle Sans SemiBold" w:cs="Times New Roman"/>
            <w:b/>
            <w:bCs/>
            <w:color w:val="C00000"/>
            <w:sz w:val="28"/>
            <w:szCs w:val="28"/>
          </w:rPr>
          <w:t>www.kidney.org.au</w:t>
        </w:r>
      </w:hyperlink>
    </w:p>
    <w:p w14:paraId="74AB7803" w14:textId="77777777" w:rsidR="00782640" w:rsidRPr="00782640" w:rsidRDefault="00782640" w:rsidP="00782640">
      <w:pPr>
        <w:spacing w:after="0" w:line="240" w:lineRule="auto"/>
        <w:jc w:val="both"/>
        <w:rPr>
          <w:rFonts w:ascii="Calibri" w:eastAsia="Calibri" w:hAnsi="Calibri" w:cs="Times New Roman"/>
          <w:sz w:val="24"/>
          <w:szCs w:val="24"/>
        </w:rPr>
      </w:pPr>
    </w:p>
    <w:p w14:paraId="712805F8"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 xml:space="preserve"> </w:t>
      </w:r>
    </w:p>
    <w:p w14:paraId="2779F71A" w14:textId="77777777" w:rsidR="00782640" w:rsidRPr="00782640" w:rsidRDefault="00782640" w:rsidP="00782640">
      <w:pPr>
        <w:spacing w:after="0" w:line="240" w:lineRule="auto"/>
        <w:jc w:val="both"/>
        <w:rPr>
          <w:rFonts w:ascii="Calibri" w:eastAsia="Calibri" w:hAnsi="Calibri" w:cs="Times New Roman"/>
          <w:sz w:val="24"/>
          <w:szCs w:val="24"/>
        </w:rPr>
      </w:pPr>
    </w:p>
    <w:p w14:paraId="0D096B9A" w14:textId="77777777" w:rsidR="00782640" w:rsidRPr="00782640" w:rsidRDefault="00782640" w:rsidP="00782640">
      <w:pPr>
        <w:spacing w:after="0" w:line="240" w:lineRule="auto"/>
        <w:jc w:val="both"/>
        <w:rPr>
          <w:rFonts w:ascii="Calibri" w:eastAsia="Calibri" w:hAnsi="Calibri" w:cs="Times New Roman"/>
          <w:sz w:val="24"/>
          <w:szCs w:val="24"/>
        </w:rPr>
      </w:pPr>
    </w:p>
    <w:p w14:paraId="3D71AD8A"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The Australian Kidney Foundation</w:t>
      </w:r>
    </w:p>
    <w:p w14:paraId="4D1B629F"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Trading as Kidney Health Australia</w:t>
      </w:r>
    </w:p>
    <w:p w14:paraId="2EA33F49"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ABN 37 008 464 426 | Charity No. CH 0614</w:t>
      </w:r>
    </w:p>
    <w:p w14:paraId="47BF9EF9" w14:textId="77777777" w:rsidR="00782640" w:rsidRPr="00782640" w:rsidRDefault="00782640" w:rsidP="00782640">
      <w:pPr>
        <w:spacing w:after="0" w:line="240" w:lineRule="auto"/>
        <w:jc w:val="both"/>
        <w:rPr>
          <w:rFonts w:ascii="Calibri" w:eastAsia="Calibri" w:hAnsi="Calibri" w:cs="Times New Roman"/>
          <w:sz w:val="24"/>
          <w:szCs w:val="24"/>
        </w:rPr>
      </w:pPr>
    </w:p>
    <w:p w14:paraId="1D428CED" w14:textId="77777777" w:rsidR="00782640" w:rsidRPr="00782640" w:rsidRDefault="00782640" w:rsidP="00782640">
      <w:pPr>
        <w:spacing w:after="0" w:line="240" w:lineRule="auto"/>
        <w:jc w:val="both"/>
        <w:rPr>
          <w:rFonts w:ascii="Calibri" w:eastAsia="Calibri" w:hAnsi="Calibri" w:cs="Times New Roman"/>
          <w:sz w:val="24"/>
          <w:szCs w:val="24"/>
        </w:rPr>
      </w:pPr>
    </w:p>
    <w:p w14:paraId="1D252B1A" w14:textId="77777777" w:rsidR="00782640" w:rsidRPr="00782640" w:rsidRDefault="00782640" w:rsidP="00782640">
      <w:pPr>
        <w:spacing w:after="0" w:line="240" w:lineRule="auto"/>
        <w:jc w:val="both"/>
        <w:rPr>
          <w:rFonts w:ascii="Calibri" w:eastAsia="Calibri" w:hAnsi="Calibri" w:cs="Times New Roman"/>
          <w:sz w:val="24"/>
          <w:szCs w:val="24"/>
        </w:rPr>
      </w:pPr>
    </w:p>
    <w:p w14:paraId="35F35778" w14:textId="77777777" w:rsidR="00782640" w:rsidRPr="00EC7110" w:rsidRDefault="00782640" w:rsidP="00782640">
      <w:pPr>
        <w:spacing w:after="0" w:line="240" w:lineRule="auto"/>
        <w:jc w:val="both"/>
        <w:rPr>
          <w:rFonts w:ascii="Adelle Sans Light" w:eastAsia="Calibri" w:hAnsi="Adelle Sans Light" w:cs="Times New Roman"/>
          <w:color w:val="C00000"/>
          <w:sz w:val="40"/>
          <w:szCs w:val="40"/>
        </w:rPr>
      </w:pPr>
      <w:r w:rsidRPr="00EC7110">
        <w:rPr>
          <w:rFonts w:ascii="Adelle Sans Light" w:eastAsia="Calibri" w:hAnsi="Adelle Sans Light" w:cs="Times New Roman"/>
          <w:color w:val="C00000"/>
          <w:sz w:val="40"/>
          <w:szCs w:val="40"/>
        </w:rPr>
        <w:t>Connect with us:</w:t>
      </w:r>
    </w:p>
    <w:p w14:paraId="536F53F6" w14:textId="77777777" w:rsidR="00782640" w:rsidRPr="00782640" w:rsidRDefault="00782640" w:rsidP="00782640">
      <w:pPr>
        <w:spacing w:after="0" w:line="240" w:lineRule="auto"/>
        <w:jc w:val="both"/>
        <w:rPr>
          <w:rFonts w:ascii="Calibri" w:eastAsia="Calibri" w:hAnsi="Calibri" w:cs="Times New Roman"/>
          <w:sz w:val="24"/>
          <w:szCs w:val="24"/>
        </w:rPr>
      </w:pPr>
      <w:proofErr w:type="spellStart"/>
      <w:r w:rsidRPr="00782640">
        <w:rPr>
          <w:rFonts w:ascii="Calibri" w:eastAsia="Calibri" w:hAnsi="Calibri" w:cs="Times New Roman"/>
          <w:sz w:val="24"/>
          <w:szCs w:val="24"/>
        </w:rPr>
        <w:t>Freecall</w:t>
      </w:r>
      <w:proofErr w:type="spellEnd"/>
      <w:r w:rsidRPr="00782640">
        <w:rPr>
          <w:rFonts w:ascii="Calibri" w:eastAsia="Calibri" w:hAnsi="Calibri" w:cs="Times New Roman"/>
          <w:sz w:val="24"/>
          <w:szCs w:val="24"/>
        </w:rPr>
        <w:t xml:space="preserve"> 1800 454 363</w:t>
      </w:r>
    </w:p>
    <w:p w14:paraId="70F4D523"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www.kidney.org.au</w:t>
      </w:r>
    </w:p>
    <w:p w14:paraId="7BA19892" w14:textId="77777777" w:rsidR="00782640" w:rsidRPr="00EC7110" w:rsidRDefault="00782640" w:rsidP="00782640">
      <w:pPr>
        <w:spacing w:after="0" w:line="240" w:lineRule="auto"/>
        <w:jc w:val="both"/>
        <w:rPr>
          <w:rFonts w:ascii="Adelle Sans ExtraBold" w:eastAsia="Calibri" w:hAnsi="Adelle Sans ExtraBold" w:cs="Times New Roman"/>
          <w:b/>
          <w:bCs/>
          <w:color w:val="C00000"/>
          <w:sz w:val="40"/>
          <w:szCs w:val="40"/>
        </w:rPr>
      </w:pPr>
      <w:r w:rsidRPr="00EC7110">
        <w:rPr>
          <w:rFonts w:ascii="Adelle Sans ExtraBold" w:eastAsia="Calibri" w:hAnsi="Adelle Sans ExtraBold" w:cs="Times New Roman"/>
          <w:b/>
          <w:bCs/>
          <w:color w:val="C00000"/>
          <w:sz w:val="40"/>
          <w:szCs w:val="40"/>
        </w:rPr>
        <w:lastRenderedPageBreak/>
        <w:t>Abbreviations</w:t>
      </w:r>
    </w:p>
    <w:p w14:paraId="016718CC" w14:textId="77777777" w:rsidR="00782640" w:rsidRPr="00782640" w:rsidRDefault="00782640" w:rsidP="00782640">
      <w:pPr>
        <w:spacing w:after="0" w:line="240" w:lineRule="auto"/>
        <w:jc w:val="both"/>
        <w:rPr>
          <w:rFonts w:ascii="Calibri" w:eastAsia="Calibri" w:hAnsi="Calibri" w:cs="Times New Roman"/>
          <w:color w:val="FF0000"/>
          <w:sz w:val="24"/>
          <w:szCs w:val="24"/>
        </w:rPr>
      </w:pPr>
    </w:p>
    <w:p w14:paraId="6B2EF20B" w14:textId="77777777" w:rsidR="00782640" w:rsidRPr="00782640" w:rsidRDefault="00782640" w:rsidP="00782640">
      <w:pPr>
        <w:spacing w:after="0" w:line="240" w:lineRule="auto"/>
        <w:jc w:val="both"/>
        <w:rPr>
          <w:rFonts w:ascii="Calibri" w:eastAsia="Calibri" w:hAnsi="Calibri" w:cs="Times New Roman"/>
          <w:sz w:val="24"/>
          <w:szCs w:val="24"/>
          <w:u w:val="single"/>
        </w:rPr>
      </w:pPr>
      <w:r w:rsidRPr="00E1017A">
        <w:rPr>
          <w:rFonts w:ascii="Calibri" w:eastAsia="Calibri" w:hAnsi="Calibri" w:cs="Times New Roman"/>
          <w:b/>
          <w:color w:val="C00000"/>
          <w:sz w:val="24"/>
          <w:szCs w:val="24"/>
        </w:rPr>
        <w:t>CARPA</w:t>
      </w:r>
      <w:r w:rsidRPr="00782640">
        <w:rPr>
          <w:rFonts w:ascii="Calibri" w:eastAsia="Calibri" w:hAnsi="Calibri" w:cs="Times New Roman"/>
          <w:color w:val="FF0000"/>
          <w:sz w:val="24"/>
          <w:szCs w:val="24"/>
        </w:rPr>
        <w:tab/>
      </w:r>
      <w:r w:rsidRPr="00782640">
        <w:rPr>
          <w:rFonts w:ascii="Calibri" w:eastAsia="Calibri" w:hAnsi="Calibri" w:cs="Times New Roman"/>
          <w:sz w:val="24"/>
          <w:szCs w:val="24"/>
        </w:rPr>
        <w:tab/>
        <w:t xml:space="preserve">Central Australia Rural Practitioners Association </w:t>
      </w:r>
    </w:p>
    <w:p w14:paraId="03088916" w14:textId="77777777" w:rsidR="00782640" w:rsidRPr="00782640" w:rsidRDefault="00782640" w:rsidP="00782640">
      <w:pPr>
        <w:spacing w:after="0" w:line="240" w:lineRule="auto"/>
        <w:jc w:val="both"/>
        <w:rPr>
          <w:rFonts w:ascii="Calibri" w:eastAsia="Calibri" w:hAnsi="Calibri" w:cs="Times New Roman"/>
          <w:sz w:val="24"/>
          <w:szCs w:val="24"/>
        </w:rPr>
      </w:pPr>
    </w:p>
    <w:p w14:paraId="797FBE05" w14:textId="77777777" w:rsidR="00782640" w:rsidRPr="00782640" w:rsidRDefault="00782640" w:rsidP="00782640">
      <w:pPr>
        <w:spacing w:after="0" w:line="240" w:lineRule="auto"/>
        <w:jc w:val="both"/>
        <w:rPr>
          <w:rFonts w:ascii="Calibri" w:eastAsia="Calibri" w:hAnsi="Calibri" w:cs="Times New Roman"/>
          <w:sz w:val="24"/>
          <w:szCs w:val="24"/>
        </w:rPr>
      </w:pPr>
      <w:r w:rsidRPr="00E1017A">
        <w:rPr>
          <w:rFonts w:ascii="Calibri" w:eastAsia="Calibri" w:hAnsi="Calibri" w:cs="Times New Roman"/>
          <w:b/>
          <w:color w:val="C00000"/>
          <w:sz w:val="24"/>
          <w:szCs w:val="24"/>
        </w:rPr>
        <w:t>CKD</w:t>
      </w:r>
      <w:r w:rsidRPr="00782640">
        <w:rPr>
          <w:rFonts w:ascii="Calibri" w:eastAsia="Calibri" w:hAnsi="Calibri" w:cs="Times New Roman"/>
          <w:sz w:val="24"/>
          <w:szCs w:val="24"/>
        </w:rPr>
        <w:tab/>
      </w:r>
      <w:r w:rsidRPr="00782640">
        <w:rPr>
          <w:rFonts w:ascii="Calibri" w:eastAsia="Calibri" w:hAnsi="Calibri" w:cs="Times New Roman"/>
          <w:sz w:val="24"/>
          <w:szCs w:val="24"/>
        </w:rPr>
        <w:tab/>
        <w:t>Chronic kidney disease</w:t>
      </w:r>
    </w:p>
    <w:p w14:paraId="34A9CC64" w14:textId="77777777" w:rsidR="00782640" w:rsidRPr="00782640" w:rsidRDefault="00782640" w:rsidP="00782640">
      <w:pPr>
        <w:spacing w:after="0" w:line="240" w:lineRule="auto"/>
        <w:jc w:val="both"/>
        <w:rPr>
          <w:rFonts w:ascii="Calibri" w:eastAsia="Calibri" w:hAnsi="Calibri" w:cs="Times New Roman"/>
          <w:sz w:val="24"/>
          <w:szCs w:val="24"/>
        </w:rPr>
      </w:pPr>
    </w:p>
    <w:p w14:paraId="7112EB92" w14:textId="77777777" w:rsidR="00782640" w:rsidRPr="00782640" w:rsidRDefault="00782640" w:rsidP="00782640">
      <w:pPr>
        <w:spacing w:after="0" w:line="240" w:lineRule="auto"/>
        <w:jc w:val="both"/>
        <w:rPr>
          <w:rFonts w:ascii="Calibri" w:eastAsia="Calibri" w:hAnsi="Calibri" w:cs="Times New Roman"/>
          <w:sz w:val="24"/>
          <w:szCs w:val="24"/>
        </w:rPr>
      </w:pPr>
      <w:r w:rsidRPr="00E1017A">
        <w:rPr>
          <w:rFonts w:ascii="Calibri" w:eastAsia="Calibri" w:hAnsi="Calibri" w:cs="Times New Roman"/>
          <w:b/>
          <w:color w:val="C00000"/>
          <w:sz w:val="24"/>
          <w:szCs w:val="24"/>
        </w:rPr>
        <w:t>ESKD</w:t>
      </w:r>
      <w:r w:rsidRPr="00782640">
        <w:rPr>
          <w:rFonts w:ascii="Calibri" w:eastAsia="Calibri" w:hAnsi="Calibri" w:cs="Times New Roman"/>
          <w:sz w:val="24"/>
          <w:szCs w:val="24"/>
        </w:rPr>
        <w:tab/>
      </w:r>
      <w:r w:rsidRPr="00782640">
        <w:rPr>
          <w:rFonts w:ascii="Calibri" w:eastAsia="Calibri" w:hAnsi="Calibri" w:cs="Times New Roman"/>
          <w:sz w:val="24"/>
          <w:szCs w:val="24"/>
        </w:rPr>
        <w:tab/>
        <w:t>End-stage kidney disease</w:t>
      </w:r>
    </w:p>
    <w:p w14:paraId="7DE438AC" w14:textId="77777777" w:rsidR="00782640" w:rsidRPr="00782640" w:rsidRDefault="00782640" w:rsidP="00782640">
      <w:pPr>
        <w:spacing w:after="0" w:line="240" w:lineRule="auto"/>
        <w:jc w:val="both"/>
        <w:rPr>
          <w:rFonts w:ascii="Calibri" w:eastAsia="Calibri" w:hAnsi="Calibri" w:cs="Times New Roman"/>
          <w:sz w:val="24"/>
          <w:szCs w:val="24"/>
        </w:rPr>
      </w:pPr>
    </w:p>
    <w:p w14:paraId="375F0968" w14:textId="77777777" w:rsidR="00782640" w:rsidRPr="00782640" w:rsidRDefault="00782640" w:rsidP="00782640">
      <w:pPr>
        <w:spacing w:after="0" w:line="240" w:lineRule="auto"/>
        <w:jc w:val="both"/>
        <w:rPr>
          <w:rFonts w:ascii="Calibri" w:eastAsia="Calibri" w:hAnsi="Calibri" w:cs="Times New Roman"/>
          <w:sz w:val="24"/>
          <w:szCs w:val="24"/>
        </w:rPr>
      </w:pPr>
      <w:r w:rsidRPr="00E1017A">
        <w:rPr>
          <w:rFonts w:ascii="Calibri" w:eastAsia="Calibri" w:hAnsi="Calibri" w:cs="Times New Roman"/>
          <w:b/>
          <w:color w:val="C00000"/>
          <w:sz w:val="24"/>
          <w:szCs w:val="24"/>
        </w:rPr>
        <w:t>KHA-CARI</w:t>
      </w:r>
      <w:r w:rsidRPr="00782640">
        <w:rPr>
          <w:rFonts w:ascii="Calibri" w:eastAsia="Calibri" w:hAnsi="Calibri" w:cs="Times New Roman"/>
          <w:sz w:val="24"/>
          <w:szCs w:val="24"/>
        </w:rPr>
        <w:tab/>
        <w:t xml:space="preserve">Kidney Health Australia Caring for Australasians with Renal Impairment </w:t>
      </w:r>
      <w:r w:rsidRPr="00782640">
        <w:rPr>
          <w:rFonts w:ascii="Calibri" w:eastAsia="Calibri" w:hAnsi="Calibri" w:cs="Times New Roman"/>
          <w:sz w:val="24"/>
          <w:szCs w:val="24"/>
        </w:rPr>
        <w:tab/>
      </w:r>
      <w:r w:rsidRPr="00782640">
        <w:rPr>
          <w:rFonts w:ascii="Calibri" w:eastAsia="Calibri" w:hAnsi="Calibri" w:cs="Times New Roman"/>
          <w:sz w:val="24"/>
          <w:szCs w:val="24"/>
        </w:rPr>
        <w:tab/>
      </w:r>
      <w:r w:rsidRPr="00782640">
        <w:rPr>
          <w:rFonts w:ascii="Calibri" w:eastAsia="Calibri" w:hAnsi="Calibri" w:cs="Times New Roman"/>
          <w:sz w:val="24"/>
          <w:szCs w:val="24"/>
        </w:rPr>
        <w:tab/>
        <w:t>Guidelines Group</w:t>
      </w:r>
    </w:p>
    <w:p w14:paraId="53F8BC69" w14:textId="77777777" w:rsidR="00782640" w:rsidRPr="00782640" w:rsidRDefault="00782640" w:rsidP="00782640">
      <w:pPr>
        <w:spacing w:after="0" w:line="240" w:lineRule="auto"/>
        <w:jc w:val="both"/>
        <w:rPr>
          <w:rFonts w:ascii="Calibri" w:eastAsia="Calibri" w:hAnsi="Calibri" w:cs="Times New Roman"/>
          <w:sz w:val="24"/>
          <w:szCs w:val="24"/>
          <w:u w:val="single"/>
        </w:rPr>
      </w:pPr>
    </w:p>
    <w:p w14:paraId="0860FBFD" w14:textId="77777777" w:rsidR="00782640" w:rsidRPr="00782640" w:rsidRDefault="00782640" w:rsidP="00782640">
      <w:pPr>
        <w:spacing w:after="0" w:line="240" w:lineRule="auto"/>
        <w:jc w:val="both"/>
        <w:rPr>
          <w:rFonts w:ascii="Calibri" w:eastAsia="Calibri" w:hAnsi="Calibri" w:cs="Times New Roman"/>
          <w:sz w:val="24"/>
          <w:szCs w:val="24"/>
        </w:rPr>
      </w:pPr>
      <w:r w:rsidRPr="00E1017A">
        <w:rPr>
          <w:rFonts w:ascii="Calibri" w:eastAsia="Calibri" w:hAnsi="Calibri" w:cs="Times New Roman"/>
          <w:b/>
          <w:color w:val="C00000"/>
          <w:sz w:val="24"/>
          <w:szCs w:val="24"/>
        </w:rPr>
        <w:t>NACCHO</w:t>
      </w:r>
      <w:r w:rsidRPr="00782640">
        <w:rPr>
          <w:rFonts w:ascii="Calibri" w:eastAsia="Calibri" w:hAnsi="Calibri" w:cs="Times New Roman"/>
          <w:sz w:val="24"/>
          <w:szCs w:val="24"/>
        </w:rPr>
        <w:tab/>
        <w:t xml:space="preserve">National Aboriginal Community Controlled Health Organisation </w:t>
      </w:r>
    </w:p>
    <w:p w14:paraId="0BAFC559" w14:textId="77777777" w:rsidR="00782640" w:rsidRPr="00782640" w:rsidRDefault="00782640" w:rsidP="00782640">
      <w:pPr>
        <w:spacing w:after="0" w:line="240" w:lineRule="auto"/>
        <w:jc w:val="both"/>
        <w:rPr>
          <w:rFonts w:ascii="Calibri" w:eastAsia="Calibri" w:hAnsi="Calibri" w:cs="Times New Roman"/>
          <w:sz w:val="24"/>
          <w:szCs w:val="24"/>
        </w:rPr>
      </w:pPr>
    </w:p>
    <w:p w14:paraId="71328FCA" w14:textId="77777777" w:rsidR="00782640" w:rsidRPr="00782640" w:rsidRDefault="00782640" w:rsidP="00782640">
      <w:pPr>
        <w:spacing w:after="0" w:line="240" w:lineRule="auto"/>
        <w:jc w:val="both"/>
        <w:rPr>
          <w:rFonts w:ascii="Calibri" w:eastAsia="Calibri" w:hAnsi="Calibri" w:cs="Times New Roman"/>
          <w:sz w:val="24"/>
          <w:szCs w:val="24"/>
        </w:rPr>
      </w:pPr>
      <w:r w:rsidRPr="00E1017A">
        <w:rPr>
          <w:rFonts w:ascii="Calibri" w:eastAsia="Calibri" w:hAnsi="Calibri" w:cs="Times New Roman"/>
          <w:b/>
          <w:color w:val="C00000"/>
          <w:sz w:val="24"/>
          <w:szCs w:val="24"/>
        </w:rPr>
        <w:t xml:space="preserve">PEAK </w:t>
      </w:r>
      <w:r w:rsidRPr="00782640">
        <w:rPr>
          <w:rFonts w:ascii="Calibri" w:eastAsia="Calibri" w:hAnsi="Calibri" w:cs="Times New Roman"/>
          <w:sz w:val="24"/>
          <w:szCs w:val="24"/>
        </w:rPr>
        <w:tab/>
      </w:r>
      <w:r w:rsidRPr="00782640">
        <w:rPr>
          <w:rFonts w:ascii="Calibri" w:eastAsia="Calibri" w:hAnsi="Calibri" w:cs="Times New Roman"/>
          <w:sz w:val="24"/>
          <w:szCs w:val="24"/>
        </w:rPr>
        <w:tab/>
        <w:t>Primary Care Education Advisory Committee for Kidney Health Australia</w:t>
      </w:r>
    </w:p>
    <w:p w14:paraId="3BC33BE2" w14:textId="77777777" w:rsidR="00782640" w:rsidRPr="00782640" w:rsidRDefault="00782640" w:rsidP="00782640">
      <w:pPr>
        <w:spacing w:after="0" w:line="240" w:lineRule="auto"/>
        <w:jc w:val="both"/>
        <w:rPr>
          <w:rFonts w:ascii="Calibri" w:eastAsia="Calibri" w:hAnsi="Calibri" w:cs="Times New Roman"/>
          <w:sz w:val="24"/>
          <w:szCs w:val="24"/>
        </w:rPr>
      </w:pPr>
    </w:p>
    <w:p w14:paraId="4BDD1E8C" w14:textId="77777777" w:rsidR="00782640" w:rsidRPr="00782640" w:rsidRDefault="00782640" w:rsidP="00782640">
      <w:pPr>
        <w:spacing w:after="0" w:line="240" w:lineRule="auto"/>
        <w:jc w:val="both"/>
        <w:rPr>
          <w:rFonts w:ascii="Calibri" w:eastAsia="Calibri" w:hAnsi="Calibri" w:cs="Times New Roman"/>
          <w:sz w:val="24"/>
          <w:szCs w:val="24"/>
        </w:rPr>
      </w:pPr>
      <w:r w:rsidRPr="00E1017A">
        <w:rPr>
          <w:rFonts w:ascii="Calibri" w:eastAsia="Calibri" w:hAnsi="Calibri" w:cs="Times New Roman"/>
          <w:b/>
          <w:color w:val="C00000"/>
          <w:sz w:val="24"/>
          <w:szCs w:val="24"/>
        </w:rPr>
        <w:t>RACGP</w:t>
      </w:r>
      <w:r w:rsidRPr="00782640">
        <w:rPr>
          <w:rFonts w:ascii="Calibri" w:eastAsia="Calibri" w:hAnsi="Calibri" w:cs="Times New Roman"/>
          <w:b/>
          <w:color w:val="FF0000"/>
          <w:sz w:val="24"/>
          <w:szCs w:val="24"/>
        </w:rPr>
        <w:tab/>
      </w:r>
      <w:r w:rsidRPr="00782640">
        <w:rPr>
          <w:rFonts w:ascii="Calibri" w:eastAsia="Calibri" w:hAnsi="Calibri" w:cs="Times New Roman"/>
          <w:sz w:val="24"/>
          <w:szCs w:val="24"/>
        </w:rPr>
        <w:tab/>
        <w:t>Royal Australian College of General Practitioners</w:t>
      </w:r>
    </w:p>
    <w:p w14:paraId="7CE9CBB4" w14:textId="77777777" w:rsidR="00782640" w:rsidRPr="00782640" w:rsidRDefault="00782640" w:rsidP="00782640">
      <w:pPr>
        <w:spacing w:after="0" w:line="240" w:lineRule="auto"/>
        <w:jc w:val="both"/>
        <w:rPr>
          <w:rFonts w:ascii="Calibri" w:eastAsia="Calibri" w:hAnsi="Calibri" w:cs="Times New Roman"/>
          <w:sz w:val="24"/>
          <w:szCs w:val="24"/>
        </w:rPr>
      </w:pPr>
    </w:p>
    <w:p w14:paraId="3038B958" w14:textId="77777777" w:rsidR="00782640" w:rsidRPr="00782640" w:rsidRDefault="00782640" w:rsidP="00782640">
      <w:pPr>
        <w:spacing w:after="0" w:line="240" w:lineRule="auto"/>
        <w:jc w:val="both"/>
        <w:rPr>
          <w:rFonts w:ascii="Calibri" w:eastAsia="Calibri" w:hAnsi="Calibri" w:cs="Times New Roman"/>
          <w:sz w:val="24"/>
          <w:szCs w:val="24"/>
        </w:rPr>
      </w:pPr>
      <w:r w:rsidRPr="00E1017A">
        <w:rPr>
          <w:rFonts w:ascii="Calibri" w:eastAsia="Calibri" w:hAnsi="Calibri" w:cs="Times New Roman"/>
          <w:b/>
          <w:color w:val="C00000"/>
          <w:sz w:val="24"/>
          <w:szCs w:val="24"/>
        </w:rPr>
        <w:t xml:space="preserve">RSA </w:t>
      </w:r>
      <w:r w:rsidRPr="00782640">
        <w:rPr>
          <w:rFonts w:ascii="Calibri" w:eastAsia="Calibri" w:hAnsi="Calibri" w:cs="Times New Roman"/>
          <w:sz w:val="24"/>
          <w:szCs w:val="24"/>
        </w:rPr>
        <w:tab/>
      </w:r>
      <w:r w:rsidRPr="00782640">
        <w:rPr>
          <w:rFonts w:ascii="Calibri" w:eastAsia="Calibri" w:hAnsi="Calibri" w:cs="Times New Roman"/>
          <w:sz w:val="24"/>
          <w:szCs w:val="24"/>
        </w:rPr>
        <w:tab/>
        <w:t>Renal Society of Australasia</w:t>
      </w:r>
    </w:p>
    <w:p w14:paraId="0B2B2FAD" w14:textId="77777777" w:rsidR="00782640" w:rsidRPr="00782640" w:rsidRDefault="00782640" w:rsidP="00782640">
      <w:pPr>
        <w:spacing w:after="0" w:line="240" w:lineRule="auto"/>
        <w:jc w:val="both"/>
        <w:rPr>
          <w:rFonts w:ascii="Calibri" w:eastAsia="Calibri" w:hAnsi="Calibri" w:cs="Times New Roman"/>
          <w:sz w:val="24"/>
          <w:szCs w:val="24"/>
        </w:rPr>
      </w:pPr>
    </w:p>
    <w:p w14:paraId="12D0B6FF" w14:textId="77777777" w:rsidR="00782640" w:rsidRPr="00782640" w:rsidRDefault="00782640" w:rsidP="00782640">
      <w:pPr>
        <w:spacing w:after="0" w:line="240" w:lineRule="auto"/>
        <w:jc w:val="both"/>
        <w:rPr>
          <w:rFonts w:ascii="Calibri" w:eastAsia="Calibri" w:hAnsi="Calibri" w:cs="Times New Roman"/>
          <w:sz w:val="24"/>
          <w:szCs w:val="24"/>
          <w:u w:val="single"/>
        </w:rPr>
      </w:pPr>
    </w:p>
    <w:p w14:paraId="6C09227C" w14:textId="77777777" w:rsidR="00782640" w:rsidRPr="00782640" w:rsidRDefault="00782640" w:rsidP="00782640">
      <w:pPr>
        <w:spacing w:after="0" w:line="240" w:lineRule="auto"/>
        <w:jc w:val="both"/>
        <w:rPr>
          <w:rFonts w:ascii="Calibri" w:eastAsia="Calibri" w:hAnsi="Calibri" w:cs="Times New Roman"/>
          <w:sz w:val="24"/>
          <w:szCs w:val="24"/>
          <w:u w:val="single"/>
        </w:rPr>
      </w:pPr>
    </w:p>
    <w:p w14:paraId="357CE4AF" w14:textId="77777777" w:rsidR="00782640" w:rsidRPr="00782640" w:rsidRDefault="00782640" w:rsidP="00782640">
      <w:pPr>
        <w:spacing w:after="0" w:line="240" w:lineRule="auto"/>
        <w:jc w:val="both"/>
        <w:rPr>
          <w:rFonts w:ascii="Calibri" w:eastAsia="Calibri" w:hAnsi="Calibri" w:cs="Times New Roman"/>
          <w:sz w:val="24"/>
          <w:szCs w:val="24"/>
          <w:u w:val="single"/>
        </w:rPr>
      </w:pPr>
    </w:p>
    <w:p w14:paraId="135DEE4F" w14:textId="77777777" w:rsidR="00782640" w:rsidRPr="00782640" w:rsidRDefault="00782640" w:rsidP="00782640">
      <w:pPr>
        <w:spacing w:after="0" w:line="240" w:lineRule="auto"/>
        <w:jc w:val="both"/>
        <w:rPr>
          <w:rFonts w:ascii="Calibri" w:eastAsia="Calibri" w:hAnsi="Calibri" w:cs="Times New Roman"/>
          <w:sz w:val="24"/>
          <w:szCs w:val="24"/>
          <w:u w:val="single"/>
        </w:rPr>
      </w:pPr>
    </w:p>
    <w:p w14:paraId="158C1349" w14:textId="77777777" w:rsidR="00782640" w:rsidRPr="00782640" w:rsidRDefault="00782640" w:rsidP="00782640">
      <w:pPr>
        <w:spacing w:after="0" w:line="240" w:lineRule="auto"/>
        <w:jc w:val="both"/>
        <w:rPr>
          <w:rFonts w:ascii="Calibri" w:eastAsia="Calibri" w:hAnsi="Calibri" w:cs="Times New Roman"/>
          <w:sz w:val="24"/>
          <w:szCs w:val="24"/>
          <w:u w:val="single"/>
        </w:rPr>
      </w:pPr>
    </w:p>
    <w:p w14:paraId="39CC8F0B" w14:textId="77777777" w:rsidR="00782640" w:rsidRPr="00782640" w:rsidRDefault="00782640" w:rsidP="00782640">
      <w:pPr>
        <w:spacing w:after="0" w:line="240" w:lineRule="auto"/>
        <w:jc w:val="both"/>
        <w:rPr>
          <w:rFonts w:ascii="Calibri" w:eastAsia="Calibri" w:hAnsi="Calibri" w:cs="Times New Roman"/>
          <w:sz w:val="24"/>
          <w:szCs w:val="24"/>
          <w:u w:val="single"/>
        </w:rPr>
      </w:pPr>
    </w:p>
    <w:p w14:paraId="77986352" w14:textId="77777777" w:rsidR="00782640" w:rsidRPr="00782640" w:rsidRDefault="00782640" w:rsidP="00782640">
      <w:pPr>
        <w:spacing w:after="0" w:line="240" w:lineRule="auto"/>
        <w:jc w:val="both"/>
        <w:rPr>
          <w:rFonts w:ascii="Calibri" w:eastAsia="Calibri" w:hAnsi="Calibri" w:cs="Times New Roman"/>
          <w:sz w:val="24"/>
          <w:szCs w:val="24"/>
          <w:u w:val="single"/>
        </w:rPr>
      </w:pPr>
    </w:p>
    <w:p w14:paraId="2C274830" w14:textId="77777777" w:rsidR="00782640" w:rsidRPr="00782640" w:rsidRDefault="00782640" w:rsidP="00782640">
      <w:pPr>
        <w:spacing w:after="0" w:line="240" w:lineRule="auto"/>
        <w:jc w:val="both"/>
        <w:rPr>
          <w:rFonts w:ascii="Calibri" w:eastAsia="Calibri" w:hAnsi="Calibri" w:cs="Times New Roman"/>
          <w:sz w:val="24"/>
          <w:szCs w:val="24"/>
          <w:u w:val="single"/>
        </w:rPr>
      </w:pPr>
    </w:p>
    <w:p w14:paraId="7A09159A" w14:textId="77777777" w:rsidR="00782640" w:rsidRPr="00782640" w:rsidRDefault="00782640" w:rsidP="00782640">
      <w:pPr>
        <w:spacing w:after="0" w:line="240" w:lineRule="auto"/>
        <w:jc w:val="both"/>
        <w:rPr>
          <w:rFonts w:ascii="Calibri" w:eastAsia="Calibri" w:hAnsi="Calibri" w:cs="Times New Roman"/>
          <w:sz w:val="24"/>
          <w:szCs w:val="24"/>
          <w:u w:val="single"/>
        </w:rPr>
      </w:pPr>
    </w:p>
    <w:p w14:paraId="498EAFAD" w14:textId="77777777" w:rsidR="00782640" w:rsidRPr="00782640" w:rsidRDefault="00782640" w:rsidP="00782640">
      <w:pPr>
        <w:spacing w:after="0" w:line="240" w:lineRule="auto"/>
        <w:jc w:val="both"/>
        <w:rPr>
          <w:rFonts w:ascii="Calibri" w:eastAsia="Calibri" w:hAnsi="Calibri" w:cs="Times New Roman"/>
          <w:sz w:val="24"/>
          <w:szCs w:val="24"/>
          <w:u w:val="single"/>
        </w:rPr>
      </w:pPr>
    </w:p>
    <w:p w14:paraId="01F66E12" w14:textId="77777777" w:rsidR="00782640" w:rsidRPr="00782640" w:rsidRDefault="00782640" w:rsidP="00782640">
      <w:pPr>
        <w:spacing w:after="0" w:line="240" w:lineRule="auto"/>
        <w:jc w:val="both"/>
        <w:rPr>
          <w:rFonts w:ascii="Calibri" w:eastAsia="Calibri" w:hAnsi="Calibri" w:cs="Times New Roman"/>
          <w:sz w:val="24"/>
          <w:szCs w:val="24"/>
          <w:u w:val="single"/>
        </w:rPr>
      </w:pPr>
    </w:p>
    <w:p w14:paraId="65E9636E" w14:textId="77777777" w:rsidR="00782640" w:rsidRPr="00782640" w:rsidRDefault="00782640" w:rsidP="00782640">
      <w:pPr>
        <w:spacing w:after="0" w:line="240" w:lineRule="auto"/>
        <w:jc w:val="both"/>
        <w:rPr>
          <w:rFonts w:ascii="Calibri" w:eastAsia="Calibri" w:hAnsi="Calibri" w:cs="Times New Roman"/>
          <w:sz w:val="24"/>
          <w:szCs w:val="24"/>
          <w:u w:val="single"/>
        </w:rPr>
      </w:pPr>
    </w:p>
    <w:p w14:paraId="45986A53" w14:textId="77777777" w:rsidR="00782640" w:rsidRPr="00782640" w:rsidRDefault="00782640" w:rsidP="00782640">
      <w:pPr>
        <w:spacing w:after="0" w:line="240" w:lineRule="auto"/>
        <w:jc w:val="both"/>
        <w:rPr>
          <w:rFonts w:ascii="Calibri" w:eastAsia="Calibri" w:hAnsi="Calibri" w:cs="Times New Roman"/>
          <w:sz w:val="24"/>
          <w:szCs w:val="24"/>
          <w:u w:val="single"/>
        </w:rPr>
      </w:pPr>
    </w:p>
    <w:p w14:paraId="0333CA32" w14:textId="77777777" w:rsidR="00782640" w:rsidRPr="00782640" w:rsidRDefault="00782640" w:rsidP="00782640">
      <w:pPr>
        <w:spacing w:after="0" w:line="240" w:lineRule="auto"/>
        <w:jc w:val="both"/>
        <w:rPr>
          <w:rFonts w:ascii="Calibri" w:eastAsia="Calibri" w:hAnsi="Calibri" w:cs="Times New Roman"/>
          <w:sz w:val="24"/>
          <w:szCs w:val="24"/>
          <w:u w:val="single"/>
        </w:rPr>
      </w:pPr>
    </w:p>
    <w:p w14:paraId="74E0A40C" w14:textId="77777777" w:rsidR="00782640" w:rsidRPr="00782640" w:rsidRDefault="00782640" w:rsidP="00782640">
      <w:pPr>
        <w:spacing w:after="0" w:line="240" w:lineRule="auto"/>
        <w:jc w:val="both"/>
        <w:rPr>
          <w:rFonts w:ascii="Calibri" w:eastAsia="Calibri" w:hAnsi="Calibri" w:cs="Times New Roman"/>
          <w:sz w:val="24"/>
          <w:szCs w:val="24"/>
          <w:u w:val="single"/>
        </w:rPr>
      </w:pPr>
    </w:p>
    <w:p w14:paraId="69024FEE" w14:textId="77777777" w:rsidR="00782640" w:rsidRPr="00782640" w:rsidRDefault="00782640" w:rsidP="00782640">
      <w:pPr>
        <w:spacing w:after="0" w:line="240" w:lineRule="auto"/>
        <w:jc w:val="both"/>
        <w:rPr>
          <w:rFonts w:ascii="Calibri" w:eastAsia="Calibri" w:hAnsi="Calibri" w:cs="Times New Roman"/>
          <w:sz w:val="24"/>
          <w:szCs w:val="24"/>
          <w:u w:val="single"/>
        </w:rPr>
      </w:pPr>
    </w:p>
    <w:p w14:paraId="18C139B3" w14:textId="77777777" w:rsidR="00782640" w:rsidRPr="00782640" w:rsidRDefault="00782640" w:rsidP="00782640">
      <w:pPr>
        <w:spacing w:after="0" w:line="240" w:lineRule="auto"/>
        <w:jc w:val="both"/>
        <w:rPr>
          <w:rFonts w:ascii="Calibri" w:eastAsia="Calibri" w:hAnsi="Calibri" w:cs="Times New Roman"/>
          <w:sz w:val="24"/>
          <w:szCs w:val="24"/>
          <w:u w:val="single"/>
        </w:rPr>
      </w:pPr>
    </w:p>
    <w:p w14:paraId="47CF5282" w14:textId="77777777" w:rsidR="00782640" w:rsidRPr="00782640" w:rsidRDefault="00782640" w:rsidP="00782640">
      <w:pPr>
        <w:spacing w:after="0" w:line="240" w:lineRule="auto"/>
        <w:jc w:val="both"/>
        <w:rPr>
          <w:rFonts w:ascii="Calibri" w:eastAsia="Calibri" w:hAnsi="Calibri" w:cs="Times New Roman"/>
          <w:sz w:val="24"/>
          <w:szCs w:val="24"/>
          <w:u w:val="single"/>
        </w:rPr>
      </w:pPr>
    </w:p>
    <w:p w14:paraId="779D0DD4" w14:textId="77777777" w:rsidR="00782640" w:rsidRPr="00782640" w:rsidRDefault="00782640" w:rsidP="00782640">
      <w:pPr>
        <w:spacing w:after="0" w:line="240" w:lineRule="auto"/>
        <w:jc w:val="both"/>
        <w:rPr>
          <w:rFonts w:ascii="Calibri" w:eastAsia="Calibri" w:hAnsi="Calibri" w:cs="Times New Roman"/>
          <w:sz w:val="24"/>
          <w:szCs w:val="24"/>
          <w:u w:val="single"/>
        </w:rPr>
      </w:pPr>
    </w:p>
    <w:p w14:paraId="5F287E97" w14:textId="77777777" w:rsidR="00782640" w:rsidRPr="00782640" w:rsidRDefault="00782640" w:rsidP="00782640">
      <w:pPr>
        <w:spacing w:after="0" w:line="240" w:lineRule="auto"/>
        <w:jc w:val="both"/>
        <w:rPr>
          <w:rFonts w:ascii="Calibri" w:eastAsia="Calibri" w:hAnsi="Calibri" w:cs="Times New Roman"/>
          <w:sz w:val="24"/>
          <w:szCs w:val="24"/>
          <w:u w:val="single"/>
        </w:rPr>
      </w:pPr>
    </w:p>
    <w:p w14:paraId="2F8D5B5F" w14:textId="77777777" w:rsidR="00782640" w:rsidRPr="00782640" w:rsidRDefault="00782640" w:rsidP="00782640">
      <w:pPr>
        <w:spacing w:after="0" w:line="240" w:lineRule="auto"/>
        <w:jc w:val="both"/>
        <w:rPr>
          <w:rFonts w:ascii="Calibri" w:eastAsia="Calibri" w:hAnsi="Calibri" w:cs="Times New Roman"/>
          <w:sz w:val="24"/>
          <w:szCs w:val="24"/>
          <w:u w:val="single"/>
        </w:rPr>
      </w:pPr>
    </w:p>
    <w:p w14:paraId="5CF7104B" w14:textId="77777777" w:rsidR="00782640" w:rsidRPr="00782640" w:rsidRDefault="00782640" w:rsidP="00782640">
      <w:pPr>
        <w:spacing w:after="0" w:line="240" w:lineRule="auto"/>
        <w:jc w:val="both"/>
        <w:rPr>
          <w:rFonts w:ascii="Calibri" w:eastAsia="Calibri" w:hAnsi="Calibri" w:cs="Times New Roman"/>
          <w:sz w:val="24"/>
          <w:szCs w:val="24"/>
          <w:u w:val="single"/>
        </w:rPr>
      </w:pPr>
    </w:p>
    <w:p w14:paraId="0D3903B6" w14:textId="77777777" w:rsidR="00782640" w:rsidRPr="00782640" w:rsidRDefault="00782640" w:rsidP="00782640">
      <w:pPr>
        <w:spacing w:after="0" w:line="240" w:lineRule="auto"/>
        <w:jc w:val="both"/>
        <w:rPr>
          <w:rFonts w:ascii="Calibri" w:eastAsia="Calibri" w:hAnsi="Calibri" w:cs="Times New Roman"/>
          <w:sz w:val="24"/>
          <w:szCs w:val="24"/>
          <w:u w:val="single"/>
        </w:rPr>
      </w:pPr>
    </w:p>
    <w:p w14:paraId="5F501743" w14:textId="77777777" w:rsidR="00782640" w:rsidRPr="00782640" w:rsidRDefault="00782640" w:rsidP="00782640">
      <w:pPr>
        <w:spacing w:after="0" w:line="240" w:lineRule="auto"/>
        <w:jc w:val="both"/>
        <w:rPr>
          <w:rFonts w:ascii="Calibri" w:eastAsia="Calibri" w:hAnsi="Calibri" w:cs="Times New Roman"/>
          <w:sz w:val="24"/>
          <w:szCs w:val="24"/>
          <w:u w:val="single"/>
        </w:rPr>
      </w:pPr>
    </w:p>
    <w:p w14:paraId="1E993D62" w14:textId="77777777" w:rsidR="00782640" w:rsidRPr="00782640" w:rsidRDefault="00782640" w:rsidP="00782640">
      <w:pPr>
        <w:spacing w:after="0" w:line="240" w:lineRule="auto"/>
        <w:jc w:val="both"/>
        <w:rPr>
          <w:rFonts w:ascii="Calibri" w:eastAsia="Calibri" w:hAnsi="Calibri" w:cs="Times New Roman"/>
          <w:sz w:val="24"/>
          <w:szCs w:val="24"/>
          <w:u w:val="single"/>
        </w:rPr>
      </w:pPr>
    </w:p>
    <w:p w14:paraId="77D49C7C" w14:textId="77777777" w:rsidR="00782640" w:rsidRPr="00782640" w:rsidRDefault="00782640" w:rsidP="00782640">
      <w:pPr>
        <w:spacing w:after="0" w:line="240" w:lineRule="auto"/>
        <w:jc w:val="both"/>
        <w:rPr>
          <w:rFonts w:ascii="Calibri" w:eastAsia="Calibri" w:hAnsi="Calibri" w:cs="Times New Roman"/>
          <w:sz w:val="24"/>
          <w:szCs w:val="24"/>
          <w:u w:val="single"/>
        </w:rPr>
      </w:pPr>
    </w:p>
    <w:p w14:paraId="3284309E" w14:textId="77777777" w:rsidR="00782640" w:rsidRPr="00782640" w:rsidRDefault="00782640" w:rsidP="00782640">
      <w:pPr>
        <w:spacing w:after="0" w:line="240" w:lineRule="auto"/>
        <w:jc w:val="both"/>
        <w:rPr>
          <w:rFonts w:ascii="Calibri" w:eastAsia="Calibri" w:hAnsi="Calibri" w:cs="Times New Roman"/>
          <w:sz w:val="24"/>
          <w:szCs w:val="24"/>
          <w:u w:val="single"/>
        </w:rPr>
      </w:pPr>
    </w:p>
    <w:p w14:paraId="1449E2B6" w14:textId="77777777" w:rsidR="00782640" w:rsidRPr="00782640" w:rsidRDefault="00782640" w:rsidP="00782640">
      <w:pPr>
        <w:spacing w:after="0" w:line="240" w:lineRule="auto"/>
        <w:jc w:val="both"/>
        <w:rPr>
          <w:rFonts w:ascii="Calibri" w:eastAsia="Calibri" w:hAnsi="Calibri" w:cs="Times New Roman"/>
          <w:sz w:val="24"/>
          <w:szCs w:val="24"/>
          <w:u w:val="single"/>
        </w:rPr>
      </w:pPr>
    </w:p>
    <w:p w14:paraId="718B1444" w14:textId="77777777" w:rsidR="00782640" w:rsidRPr="00EC7110" w:rsidRDefault="00782640" w:rsidP="00782640">
      <w:pPr>
        <w:spacing w:after="0" w:line="240" w:lineRule="auto"/>
        <w:jc w:val="both"/>
        <w:rPr>
          <w:rFonts w:ascii="Adelle Sans ExtraBold" w:eastAsia="Calibri" w:hAnsi="Adelle Sans ExtraBold" w:cs="Times New Roman"/>
          <w:b/>
          <w:bCs/>
          <w:color w:val="C00000"/>
          <w:sz w:val="40"/>
          <w:szCs w:val="40"/>
        </w:rPr>
      </w:pPr>
      <w:r w:rsidRPr="00EC7110">
        <w:rPr>
          <w:rFonts w:ascii="Adelle Sans ExtraBold" w:eastAsia="Calibri" w:hAnsi="Adelle Sans ExtraBold" w:cs="Times New Roman"/>
          <w:b/>
          <w:bCs/>
          <w:color w:val="C00000"/>
          <w:sz w:val="40"/>
          <w:szCs w:val="40"/>
        </w:rPr>
        <w:t>Executive Summary and Key Recommendations</w:t>
      </w:r>
    </w:p>
    <w:p w14:paraId="7F955EB9" w14:textId="77777777" w:rsidR="00782640" w:rsidRPr="00782640" w:rsidRDefault="00782640" w:rsidP="00782640">
      <w:pPr>
        <w:spacing w:after="0" w:line="240" w:lineRule="auto"/>
        <w:jc w:val="both"/>
        <w:rPr>
          <w:rFonts w:ascii="Calibri" w:eastAsia="Calibri" w:hAnsi="Calibri" w:cs="Times New Roman"/>
          <w:sz w:val="24"/>
          <w:szCs w:val="24"/>
        </w:rPr>
      </w:pPr>
    </w:p>
    <w:tbl>
      <w:tblPr>
        <w:tblStyle w:val="TableGrid3"/>
        <w:tblW w:w="0" w:type="auto"/>
        <w:tblLook w:val="04A0" w:firstRow="1" w:lastRow="0" w:firstColumn="1" w:lastColumn="0" w:noHBand="0" w:noVBand="1"/>
      </w:tblPr>
      <w:tblGrid>
        <w:gridCol w:w="9010"/>
      </w:tblGrid>
      <w:tr w:rsidR="00782640" w:rsidRPr="00782640" w14:paraId="70B251DF" w14:textId="77777777" w:rsidTr="00A41391">
        <w:tc>
          <w:tcPr>
            <w:tcW w:w="9010" w:type="dxa"/>
            <w:shd w:val="clear" w:color="auto" w:fill="FF0000"/>
          </w:tcPr>
          <w:p w14:paraId="192D0F58" w14:textId="45547FA4" w:rsidR="00782640" w:rsidRPr="00EC7110" w:rsidRDefault="00782640" w:rsidP="00EC7110">
            <w:pPr>
              <w:numPr>
                <w:ilvl w:val="0"/>
                <w:numId w:val="110"/>
              </w:numPr>
              <w:ind w:left="319" w:hanging="319"/>
              <w:contextualSpacing/>
              <w:rPr>
                <w:rFonts w:ascii="Adelle Sans SemiBold" w:eastAsia="Calibri" w:hAnsi="Adelle Sans SemiBold" w:cs="Times New Roman"/>
                <w:b/>
                <w:bCs/>
                <w:color w:val="FFFFFF"/>
                <w:sz w:val="22"/>
              </w:rPr>
            </w:pPr>
            <w:r w:rsidRPr="00E1017A">
              <w:rPr>
                <w:rFonts w:ascii="Adelle Sans SemiBold" w:eastAsia="Calibri" w:hAnsi="Adelle Sans SemiBold" w:cs="Times New Roman"/>
                <w:b/>
                <w:bCs/>
                <w:sz w:val="22"/>
              </w:rPr>
              <w:t>Comments on Existing Chronic Kidney Disease Management Guidelines</w:t>
            </w:r>
          </w:p>
        </w:tc>
      </w:tr>
      <w:tr w:rsidR="00782640" w:rsidRPr="00782640" w14:paraId="01EE411A" w14:textId="77777777" w:rsidTr="00782640">
        <w:tc>
          <w:tcPr>
            <w:tcW w:w="9010" w:type="dxa"/>
            <w:shd w:val="clear" w:color="auto" w:fill="FBE4D5"/>
          </w:tcPr>
          <w:p w14:paraId="03FBCCFB" w14:textId="77777777" w:rsidR="00782640" w:rsidRPr="00782640" w:rsidRDefault="00782640" w:rsidP="00782640">
            <w:pPr>
              <w:ind w:left="792"/>
              <w:contextualSpacing/>
              <w:jc w:val="both"/>
              <w:rPr>
                <w:rFonts w:ascii="Calibri" w:eastAsia="Calibri" w:hAnsi="Calibri" w:cs="Times New Roman"/>
                <w:sz w:val="24"/>
              </w:rPr>
            </w:pPr>
          </w:p>
          <w:p w14:paraId="6DF35B20" w14:textId="77777777" w:rsidR="00782640" w:rsidRPr="00782640" w:rsidRDefault="00782640" w:rsidP="00782640">
            <w:pPr>
              <w:numPr>
                <w:ilvl w:val="1"/>
                <w:numId w:val="110"/>
              </w:numPr>
              <w:contextualSpacing/>
              <w:jc w:val="both"/>
              <w:rPr>
                <w:rFonts w:ascii="Calibri" w:eastAsia="Calibri" w:hAnsi="Calibri" w:cs="Times New Roman"/>
                <w:sz w:val="24"/>
              </w:rPr>
            </w:pPr>
            <w:r w:rsidRPr="00782640">
              <w:rPr>
                <w:rFonts w:ascii="Calibri" w:eastAsia="Calibri" w:hAnsi="Calibri" w:cs="Times New Roman"/>
                <w:sz w:val="24"/>
              </w:rPr>
              <w:t xml:space="preserve">Guidelines are important supports for delivering best-practice clinical care </w:t>
            </w:r>
          </w:p>
          <w:p w14:paraId="2BFBBF55" w14:textId="77777777" w:rsidR="00782640" w:rsidRPr="00782640" w:rsidRDefault="00782640" w:rsidP="00782640">
            <w:pPr>
              <w:numPr>
                <w:ilvl w:val="1"/>
                <w:numId w:val="110"/>
              </w:numPr>
              <w:contextualSpacing/>
              <w:jc w:val="both"/>
              <w:rPr>
                <w:rFonts w:ascii="Calibri" w:eastAsia="Calibri" w:hAnsi="Calibri" w:cs="Times New Roman"/>
                <w:sz w:val="24"/>
              </w:rPr>
            </w:pPr>
            <w:r w:rsidRPr="00782640">
              <w:rPr>
                <w:rFonts w:ascii="Calibri" w:eastAsia="Calibri" w:hAnsi="Calibri" w:cs="Times New Roman"/>
                <w:sz w:val="24"/>
              </w:rPr>
              <w:t>Clinicians commonly use local adaptations of national guidelines, particularly the KHA-CARI evidence-base</w:t>
            </w:r>
          </w:p>
          <w:p w14:paraId="73E7D826" w14:textId="77777777" w:rsidR="00782640" w:rsidRPr="00782640" w:rsidRDefault="00782640" w:rsidP="00782640">
            <w:pPr>
              <w:numPr>
                <w:ilvl w:val="1"/>
                <w:numId w:val="110"/>
              </w:numPr>
              <w:contextualSpacing/>
              <w:jc w:val="both"/>
              <w:rPr>
                <w:rFonts w:ascii="Calibri" w:eastAsia="Calibri" w:hAnsi="Calibri" w:cs="Times New Roman"/>
                <w:sz w:val="24"/>
              </w:rPr>
            </w:pPr>
            <w:r w:rsidRPr="00782640">
              <w:rPr>
                <w:rFonts w:ascii="Calibri" w:eastAsia="Calibri" w:hAnsi="Calibri" w:cs="Times New Roman"/>
                <w:sz w:val="24"/>
              </w:rPr>
              <w:t>Existing Guidelines contain varying levels of Aboriginal and Torres Strait Islander-specific content and are of variable relevance to indigenous patients</w:t>
            </w:r>
          </w:p>
          <w:p w14:paraId="205C1375" w14:textId="77777777" w:rsidR="00782640" w:rsidRPr="00782640" w:rsidRDefault="00782640" w:rsidP="00782640">
            <w:pPr>
              <w:numPr>
                <w:ilvl w:val="1"/>
                <w:numId w:val="110"/>
              </w:numPr>
              <w:contextualSpacing/>
              <w:jc w:val="both"/>
              <w:rPr>
                <w:rFonts w:ascii="Calibri" w:eastAsia="Calibri" w:hAnsi="Calibri" w:cs="Times New Roman"/>
                <w:sz w:val="24"/>
              </w:rPr>
            </w:pPr>
            <w:r w:rsidRPr="00782640">
              <w:rPr>
                <w:rFonts w:ascii="Calibri" w:eastAsia="Calibri" w:hAnsi="Calibri" w:cs="Times New Roman"/>
                <w:sz w:val="24"/>
              </w:rPr>
              <w:t xml:space="preserve">Implementation of chronic kidney disease guidelines are limited by multiple patient, health professional and guideline-related factors that stem from inadequate communication (particularly language and cultural barriers), education and awareness of CKD care </w:t>
            </w:r>
          </w:p>
          <w:p w14:paraId="0763277B" w14:textId="77777777" w:rsidR="00782640" w:rsidRPr="00782640" w:rsidRDefault="00782640" w:rsidP="00782640">
            <w:pPr>
              <w:jc w:val="both"/>
              <w:rPr>
                <w:rFonts w:ascii="Calibri" w:eastAsia="Calibri" w:hAnsi="Calibri" w:cs="Times New Roman"/>
                <w:sz w:val="24"/>
              </w:rPr>
            </w:pPr>
          </w:p>
        </w:tc>
      </w:tr>
      <w:tr w:rsidR="00782640" w:rsidRPr="00782640" w14:paraId="7DE96BC1" w14:textId="77777777" w:rsidTr="00A41391">
        <w:tc>
          <w:tcPr>
            <w:tcW w:w="9010" w:type="dxa"/>
            <w:shd w:val="clear" w:color="auto" w:fill="FF0000"/>
          </w:tcPr>
          <w:p w14:paraId="4D34CEAC" w14:textId="130CB106" w:rsidR="00782640" w:rsidRPr="00EC7110" w:rsidRDefault="00782640" w:rsidP="00EC7110">
            <w:pPr>
              <w:numPr>
                <w:ilvl w:val="0"/>
                <w:numId w:val="110"/>
              </w:numPr>
              <w:ind w:left="319" w:hanging="319"/>
              <w:contextualSpacing/>
              <w:rPr>
                <w:rFonts w:ascii="Adelle Sans SemiBold" w:eastAsia="Calibri" w:hAnsi="Adelle Sans SemiBold" w:cs="Times New Roman"/>
                <w:b/>
                <w:bCs/>
                <w:sz w:val="22"/>
              </w:rPr>
            </w:pPr>
            <w:r w:rsidRPr="00E1017A">
              <w:rPr>
                <w:rFonts w:ascii="Adelle Sans SemiBold" w:eastAsia="Calibri" w:hAnsi="Adelle Sans SemiBold" w:cs="Times New Roman"/>
                <w:b/>
                <w:bCs/>
                <w:sz w:val="22"/>
              </w:rPr>
              <w:t>Recommendations to Improve Guideline Usefulness and Implementation</w:t>
            </w:r>
          </w:p>
        </w:tc>
      </w:tr>
      <w:tr w:rsidR="00782640" w:rsidRPr="00782640" w14:paraId="78D10507" w14:textId="77777777" w:rsidTr="00782640">
        <w:tc>
          <w:tcPr>
            <w:tcW w:w="9010" w:type="dxa"/>
            <w:shd w:val="clear" w:color="auto" w:fill="FBE4D5"/>
          </w:tcPr>
          <w:p w14:paraId="7ED7D20E" w14:textId="77777777" w:rsidR="00782640" w:rsidRPr="00782640" w:rsidRDefault="00782640" w:rsidP="00EC7110">
            <w:pPr>
              <w:contextualSpacing/>
              <w:jc w:val="both"/>
              <w:rPr>
                <w:rFonts w:ascii="Calibri" w:eastAsia="Calibri" w:hAnsi="Calibri" w:cs="Times New Roman"/>
                <w:sz w:val="24"/>
              </w:rPr>
            </w:pPr>
          </w:p>
          <w:p w14:paraId="38A26889" w14:textId="77777777" w:rsidR="00782640" w:rsidRPr="00782640" w:rsidRDefault="00782640" w:rsidP="00782640">
            <w:pPr>
              <w:numPr>
                <w:ilvl w:val="1"/>
                <w:numId w:val="110"/>
              </w:numPr>
              <w:contextualSpacing/>
              <w:jc w:val="both"/>
              <w:rPr>
                <w:rFonts w:ascii="Calibri" w:eastAsia="Calibri" w:hAnsi="Calibri" w:cs="Times New Roman"/>
                <w:sz w:val="24"/>
              </w:rPr>
            </w:pPr>
            <w:r w:rsidRPr="00782640">
              <w:rPr>
                <w:rFonts w:ascii="Calibri" w:eastAsia="Calibri" w:hAnsi="Calibri" w:cs="Times New Roman"/>
                <w:sz w:val="24"/>
              </w:rPr>
              <w:t>Address the cultural, spiritual and psychological health dimensions of kidney disease for Aboriginal and Torres Strait Islander peoples through direct consultation with communities and patients</w:t>
            </w:r>
          </w:p>
          <w:p w14:paraId="49911694" w14:textId="77777777" w:rsidR="00782640" w:rsidRPr="00782640" w:rsidRDefault="00782640" w:rsidP="00782640">
            <w:pPr>
              <w:numPr>
                <w:ilvl w:val="1"/>
                <w:numId w:val="110"/>
              </w:numPr>
              <w:contextualSpacing/>
              <w:jc w:val="both"/>
              <w:rPr>
                <w:rFonts w:ascii="Calibri" w:eastAsia="Calibri" w:hAnsi="Calibri" w:cs="Times New Roman"/>
                <w:sz w:val="24"/>
              </w:rPr>
            </w:pPr>
            <w:r w:rsidRPr="00782640">
              <w:rPr>
                <w:rFonts w:ascii="Calibri" w:eastAsia="Calibri" w:hAnsi="Calibri" w:cs="Times New Roman"/>
                <w:sz w:val="24"/>
              </w:rPr>
              <w:t>Support the Guidelines with innovative, culturally safe and appropriate education resources that address language and literacy barriers and are developed in partnership with local patients and community</w:t>
            </w:r>
          </w:p>
          <w:p w14:paraId="5E1BF831" w14:textId="77777777" w:rsidR="00782640" w:rsidRPr="00782640" w:rsidRDefault="00782640" w:rsidP="00782640">
            <w:pPr>
              <w:numPr>
                <w:ilvl w:val="1"/>
                <w:numId w:val="110"/>
              </w:numPr>
              <w:contextualSpacing/>
              <w:jc w:val="both"/>
              <w:rPr>
                <w:rFonts w:ascii="Calibri" w:eastAsia="Calibri" w:hAnsi="Calibri" w:cs="Times New Roman"/>
                <w:sz w:val="24"/>
              </w:rPr>
            </w:pPr>
            <w:r w:rsidRPr="00782640">
              <w:rPr>
                <w:rFonts w:ascii="Calibri" w:eastAsia="Calibri" w:hAnsi="Calibri" w:cs="Times New Roman"/>
                <w:sz w:val="24"/>
              </w:rPr>
              <w:t>Ensure compact, accessible, easy to use format with simple algorithms for integrated chronic disease care useable by all health professionals</w:t>
            </w:r>
          </w:p>
          <w:p w14:paraId="720D5421" w14:textId="77777777" w:rsidR="00782640" w:rsidRPr="00782640" w:rsidRDefault="00782640" w:rsidP="00782640">
            <w:pPr>
              <w:numPr>
                <w:ilvl w:val="1"/>
                <w:numId w:val="110"/>
              </w:numPr>
              <w:contextualSpacing/>
              <w:jc w:val="both"/>
              <w:rPr>
                <w:rFonts w:ascii="Calibri" w:eastAsia="Calibri" w:hAnsi="Calibri" w:cs="Times New Roman"/>
                <w:sz w:val="24"/>
              </w:rPr>
            </w:pPr>
            <w:r w:rsidRPr="00782640">
              <w:rPr>
                <w:rFonts w:ascii="Calibri" w:eastAsia="Calibri" w:hAnsi="Calibri" w:cs="Times New Roman"/>
                <w:sz w:val="24"/>
              </w:rPr>
              <w:t xml:space="preserve">Develop Guidelines that are adaptable to local needs and variations, and facilitate individualised patient care </w:t>
            </w:r>
          </w:p>
          <w:p w14:paraId="04615826" w14:textId="77777777" w:rsidR="00782640" w:rsidRPr="00782640" w:rsidRDefault="00782640" w:rsidP="00782640">
            <w:pPr>
              <w:numPr>
                <w:ilvl w:val="1"/>
                <w:numId w:val="110"/>
              </w:numPr>
              <w:contextualSpacing/>
              <w:jc w:val="both"/>
              <w:rPr>
                <w:rFonts w:ascii="Calibri" w:eastAsia="Calibri" w:hAnsi="Calibri" w:cs="Times New Roman"/>
                <w:sz w:val="24"/>
              </w:rPr>
            </w:pPr>
            <w:r w:rsidRPr="00782640">
              <w:rPr>
                <w:rFonts w:ascii="Calibri" w:eastAsia="Calibri" w:hAnsi="Calibri" w:cs="Times New Roman"/>
                <w:sz w:val="24"/>
              </w:rPr>
              <w:t>Develop and support local Chronic kidney disease champions through culturally appropriate education and training of health professionals and patient leaders</w:t>
            </w:r>
          </w:p>
          <w:p w14:paraId="257F5B7C" w14:textId="77777777" w:rsidR="00782640" w:rsidRPr="00782640" w:rsidRDefault="00782640" w:rsidP="00782640">
            <w:pPr>
              <w:numPr>
                <w:ilvl w:val="1"/>
                <w:numId w:val="110"/>
              </w:numPr>
              <w:contextualSpacing/>
              <w:jc w:val="both"/>
              <w:rPr>
                <w:rFonts w:ascii="Calibri" w:eastAsia="Calibri" w:hAnsi="Calibri" w:cs="Times New Roman"/>
                <w:sz w:val="24"/>
              </w:rPr>
            </w:pPr>
            <w:r w:rsidRPr="00782640">
              <w:rPr>
                <w:rFonts w:ascii="Calibri" w:eastAsia="Calibri" w:hAnsi="Calibri" w:cs="Times New Roman"/>
                <w:sz w:val="24"/>
              </w:rPr>
              <w:t xml:space="preserve">Utilise Technology platforms where possible to promote and support Guideline use but remain aware of infrastructure limitations in some indigenous communities </w:t>
            </w:r>
          </w:p>
          <w:p w14:paraId="21E567EF" w14:textId="77777777" w:rsidR="00782640" w:rsidRPr="00782640" w:rsidRDefault="00782640" w:rsidP="00782640">
            <w:pPr>
              <w:contextualSpacing/>
              <w:jc w:val="both"/>
              <w:rPr>
                <w:rFonts w:ascii="Calibri" w:eastAsia="Calibri" w:hAnsi="Calibri" w:cs="Times New Roman"/>
                <w:b/>
                <w:sz w:val="24"/>
              </w:rPr>
            </w:pPr>
          </w:p>
        </w:tc>
      </w:tr>
      <w:tr w:rsidR="00782640" w:rsidRPr="00782640" w14:paraId="021FEAE9" w14:textId="77777777" w:rsidTr="00A41391">
        <w:tc>
          <w:tcPr>
            <w:tcW w:w="9010" w:type="dxa"/>
            <w:shd w:val="clear" w:color="auto" w:fill="FF0000"/>
          </w:tcPr>
          <w:p w14:paraId="69C33D9F" w14:textId="41628C90" w:rsidR="00782640" w:rsidRPr="00EC7110" w:rsidRDefault="00782640" w:rsidP="00EC7110">
            <w:pPr>
              <w:numPr>
                <w:ilvl w:val="0"/>
                <w:numId w:val="110"/>
              </w:numPr>
              <w:ind w:left="319" w:hanging="319"/>
              <w:contextualSpacing/>
              <w:rPr>
                <w:rFonts w:ascii="Adelle Sans SemiBold" w:eastAsia="Calibri" w:hAnsi="Adelle Sans SemiBold" w:cs="Times New Roman"/>
                <w:b/>
                <w:bCs/>
                <w:sz w:val="22"/>
              </w:rPr>
            </w:pPr>
            <w:r w:rsidRPr="00E1017A">
              <w:rPr>
                <w:rFonts w:ascii="Adelle Sans SemiBold" w:eastAsia="Calibri" w:hAnsi="Adelle Sans SemiBold" w:cs="Times New Roman"/>
                <w:b/>
                <w:bCs/>
                <w:sz w:val="22"/>
              </w:rPr>
              <w:t>Gaps in Existing Knowledge where the Evidence-base must be Strengthened</w:t>
            </w:r>
          </w:p>
        </w:tc>
      </w:tr>
      <w:tr w:rsidR="00782640" w:rsidRPr="00782640" w14:paraId="7FA62AC3" w14:textId="77777777" w:rsidTr="00782640">
        <w:tc>
          <w:tcPr>
            <w:tcW w:w="9010" w:type="dxa"/>
            <w:shd w:val="clear" w:color="auto" w:fill="FBE4D5"/>
          </w:tcPr>
          <w:p w14:paraId="1D83A093" w14:textId="77777777" w:rsidR="00782640" w:rsidRPr="00782640" w:rsidRDefault="00782640" w:rsidP="00782640">
            <w:pPr>
              <w:ind w:left="792"/>
              <w:contextualSpacing/>
              <w:jc w:val="both"/>
              <w:rPr>
                <w:rFonts w:ascii="Calibri" w:eastAsia="Calibri" w:hAnsi="Calibri" w:cs="Times New Roman"/>
                <w:sz w:val="24"/>
              </w:rPr>
            </w:pPr>
          </w:p>
          <w:p w14:paraId="5DB3D629" w14:textId="77777777" w:rsidR="00782640" w:rsidRPr="00782640" w:rsidRDefault="00782640" w:rsidP="00782640">
            <w:pPr>
              <w:numPr>
                <w:ilvl w:val="1"/>
                <w:numId w:val="110"/>
              </w:numPr>
              <w:contextualSpacing/>
              <w:jc w:val="both"/>
              <w:rPr>
                <w:rFonts w:ascii="Calibri" w:eastAsia="Calibri" w:hAnsi="Calibri" w:cs="Times New Roman"/>
                <w:sz w:val="24"/>
              </w:rPr>
            </w:pPr>
            <w:r w:rsidRPr="00782640">
              <w:rPr>
                <w:rFonts w:ascii="Calibri" w:eastAsia="Calibri" w:hAnsi="Calibri" w:cs="Times New Roman"/>
                <w:sz w:val="24"/>
              </w:rPr>
              <w:t>Workforce education and support needs and strategies for retention of staff</w:t>
            </w:r>
          </w:p>
          <w:p w14:paraId="572BBA8F" w14:textId="77777777" w:rsidR="00782640" w:rsidRPr="00782640" w:rsidRDefault="00782640" w:rsidP="00782640">
            <w:pPr>
              <w:numPr>
                <w:ilvl w:val="1"/>
                <w:numId w:val="110"/>
              </w:numPr>
              <w:contextualSpacing/>
              <w:jc w:val="both"/>
              <w:rPr>
                <w:rFonts w:ascii="Calibri" w:eastAsia="Calibri" w:hAnsi="Calibri" w:cs="Times New Roman"/>
                <w:sz w:val="24"/>
              </w:rPr>
            </w:pPr>
            <w:r w:rsidRPr="00782640">
              <w:rPr>
                <w:rFonts w:ascii="Calibri" w:eastAsia="Calibri" w:hAnsi="Calibri" w:cs="Times New Roman"/>
                <w:sz w:val="24"/>
              </w:rPr>
              <w:t>Geographical Variation in Chronic kidney disease risk and models of care</w:t>
            </w:r>
          </w:p>
          <w:p w14:paraId="43A0EDB8" w14:textId="77777777" w:rsidR="00782640" w:rsidRPr="00782640" w:rsidRDefault="00782640" w:rsidP="00782640">
            <w:pPr>
              <w:numPr>
                <w:ilvl w:val="1"/>
                <w:numId w:val="110"/>
              </w:numPr>
              <w:contextualSpacing/>
              <w:jc w:val="both"/>
              <w:rPr>
                <w:rFonts w:ascii="Calibri" w:eastAsia="Calibri" w:hAnsi="Calibri" w:cs="Times New Roman"/>
                <w:sz w:val="24"/>
              </w:rPr>
            </w:pPr>
            <w:r w:rsidRPr="00782640">
              <w:rPr>
                <w:rFonts w:ascii="Calibri" w:eastAsia="Calibri" w:hAnsi="Calibri" w:cs="Times New Roman"/>
                <w:sz w:val="24"/>
              </w:rPr>
              <w:t xml:space="preserve">Culturally appropriate Patient and Community Education Strategies </w:t>
            </w:r>
          </w:p>
          <w:p w14:paraId="0FCC89A8" w14:textId="77777777" w:rsidR="00782640" w:rsidRPr="00782640" w:rsidRDefault="00782640" w:rsidP="00782640">
            <w:pPr>
              <w:numPr>
                <w:ilvl w:val="1"/>
                <w:numId w:val="110"/>
              </w:numPr>
              <w:contextualSpacing/>
              <w:jc w:val="both"/>
              <w:rPr>
                <w:rFonts w:ascii="Calibri" w:eastAsia="Calibri" w:hAnsi="Calibri" w:cs="Times New Roman"/>
                <w:sz w:val="24"/>
              </w:rPr>
            </w:pPr>
            <w:r w:rsidRPr="00782640">
              <w:rPr>
                <w:rFonts w:ascii="Calibri" w:eastAsia="Calibri" w:hAnsi="Calibri" w:cs="Times New Roman"/>
                <w:sz w:val="24"/>
              </w:rPr>
              <w:t>Strategies for Prevention of Chronic diseases in Aboriginal and Torres Strait Islander peoples</w:t>
            </w:r>
          </w:p>
          <w:p w14:paraId="34C9B565" w14:textId="77777777" w:rsidR="00782640" w:rsidRPr="00782640" w:rsidRDefault="00782640" w:rsidP="00782640">
            <w:pPr>
              <w:numPr>
                <w:ilvl w:val="1"/>
                <w:numId w:val="110"/>
              </w:numPr>
              <w:contextualSpacing/>
              <w:jc w:val="both"/>
              <w:rPr>
                <w:rFonts w:ascii="Calibri" w:eastAsia="Calibri" w:hAnsi="Calibri" w:cs="Times New Roman"/>
                <w:sz w:val="24"/>
              </w:rPr>
            </w:pPr>
            <w:r w:rsidRPr="00782640">
              <w:rPr>
                <w:rFonts w:ascii="Calibri" w:eastAsia="Calibri" w:hAnsi="Calibri" w:cs="Times New Roman"/>
                <w:sz w:val="24"/>
              </w:rPr>
              <w:t>Managing CKD Stages 1-5 in Aboriginal and Torres Strait Islander peoples – developing models of care</w:t>
            </w:r>
          </w:p>
          <w:p w14:paraId="3940A27B" w14:textId="77777777" w:rsidR="00782640" w:rsidRPr="00782640" w:rsidRDefault="00782640" w:rsidP="00782640">
            <w:pPr>
              <w:ind w:left="792"/>
              <w:contextualSpacing/>
              <w:jc w:val="both"/>
              <w:rPr>
                <w:rFonts w:ascii="Calibri" w:eastAsia="Calibri" w:hAnsi="Calibri" w:cs="Times New Roman"/>
                <w:sz w:val="24"/>
              </w:rPr>
            </w:pPr>
          </w:p>
        </w:tc>
      </w:tr>
    </w:tbl>
    <w:p w14:paraId="5C7E1796" w14:textId="6C5BC5BB" w:rsidR="00EC7110" w:rsidRDefault="00EC7110"/>
    <w:p w14:paraId="17BD9AE3" w14:textId="5FEBA4FE" w:rsidR="00EC7110" w:rsidRDefault="00EC7110"/>
    <w:p w14:paraId="6E259CC1" w14:textId="77777777" w:rsidR="00EC7110" w:rsidRDefault="00EC7110"/>
    <w:tbl>
      <w:tblPr>
        <w:tblStyle w:val="TableGrid3"/>
        <w:tblW w:w="0" w:type="auto"/>
        <w:tblLook w:val="04A0" w:firstRow="1" w:lastRow="0" w:firstColumn="1" w:lastColumn="0" w:noHBand="0" w:noVBand="1"/>
      </w:tblPr>
      <w:tblGrid>
        <w:gridCol w:w="9010"/>
      </w:tblGrid>
      <w:tr w:rsidR="00782640" w:rsidRPr="00782640" w14:paraId="46A10E86" w14:textId="77777777" w:rsidTr="00A41391">
        <w:tc>
          <w:tcPr>
            <w:tcW w:w="9010" w:type="dxa"/>
            <w:shd w:val="clear" w:color="auto" w:fill="FF0000"/>
          </w:tcPr>
          <w:p w14:paraId="78FE160E" w14:textId="2FCCBF9F" w:rsidR="00782640" w:rsidRPr="00EC7110" w:rsidRDefault="00782640" w:rsidP="00EC7110">
            <w:pPr>
              <w:numPr>
                <w:ilvl w:val="0"/>
                <w:numId w:val="110"/>
              </w:numPr>
              <w:ind w:left="319" w:hanging="319"/>
              <w:contextualSpacing/>
              <w:rPr>
                <w:rFonts w:ascii="Adelle Sans SemiBold" w:eastAsia="Calibri" w:hAnsi="Adelle Sans SemiBold" w:cs="Times New Roman"/>
                <w:b/>
                <w:bCs/>
                <w:sz w:val="22"/>
              </w:rPr>
            </w:pPr>
            <w:r w:rsidRPr="00E1017A">
              <w:rPr>
                <w:rFonts w:ascii="Adelle Sans SemiBold" w:eastAsia="Calibri" w:hAnsi="Adelle Sans SemiBold" w:cs="Times New Roman"/>
                <w:b/>
                <w:bCs/>
                <w:sz w:val="22"/>
              </w:rPr>
              <w:lastRenderedPageBreak/>
              <w:t>Suggested Scope and Content of Guidelines</w:t>
            </w:r>
          </w:p>
        </w:tc>
      </w:tr>
      <w:tr w:rsidR="00782640" w:rsidRPr="00782640" w14:paraId="47652D77" w14:textId="77777777" w:rsidTr="00782640">
        <w:tc>
          <w:tcPr>
            <w:tcW w:w="9010" w:type="dxa"/>
            <w:shd w:val="clear" w:color="auto" w:fill="FBE4D5"/>
          </w:tcPr>
          <w:p w14:paraId="2BB6F2D6" w14:textId="77777777" w:rsidR="00782640" w:rsidRPr="00782640" w:rsidRDefault="00782640" w:rsidP="00782640">
            <w:pPr>
              <w:contextualSpacing/>
              <w:jc w:val="both"/>
              <w:rPr>
                <w:rFonts w:ascii="Calibri" w:eastAsia="Calibri" w:hAnsi="Calibri" w:cs="Times New Roman"/>
                <w:sz w:val="24"/>
                <w:u w:val="single"/>
              </w:rPr>
            </w:pPr>
          </w:p>
          <w:p w14:paraId="248ED283" w14:textId="77777777" w:rsidR="00782640" w:rsidRPr="00782640" w:rsidRDefault="00782640" w:rsidP="00782640">
            <w:pPr>
              <w:contextualSpacing/>
              <w:jc w:val="both"/>
              <w:rPr>
                <w:rFonts w:ascii="Calibri" w:eastAsia="Calibri" w:hAnsi="Calibri" w:cs="Times New Roman"/>
                <w:sz w:val="24"/>
                <w:u w:val="single"/>
              </w:rPr>
            </w:pPr>
            <w:r w:rsidRPr="00782640">
              <w:rPr>
                <w:rFonts w:ascii="Calibri" w:eastAsia="Calibri" w:hAnsi="Calibri" w:cs="Times New Roman"/>
                <w:sz w:val="24"/>
                <w:u w:val="single"/>
              </w:rPr>
              <w:t>Guidelines to underpin all aspects of CKD Management for Aboriginal and Torres Strait Islander Cohorts:</w:t>
            </w:r>
          </w:p>
          <w:p w14:paraId="162EAC1B" w14:textId="77777777" w:rsidR="00782640" w:rsidRPr="00782640" w:rsidRDefault="00782640" w:rsidP="00782640">
            <w:pPr>
              <w:numPr>
                <w:ilvl w:val="1"/>
                <w:numId w:val="110"/>
              </w:numPr>
              <w:contextualSpacing/>
              <w:jc w:val="both"/>
              <w:rPr>
                <w:rFonts w:ascii="Calibri" w:eastAsia="Calibri" w:hAnsi="Calibri" w:cs="Times New Roman"/>
                <w:sz w:val="24"/>
              </w:rPr>
            </w:pPr>
            <w:r w:rsidRPr="00782640">
              <w:rPr>
                <w:rFonts w:ascii="Calibri" w:eastAsia="Calibri" w:hAnsi="Calibri" w:cs="Times New Roman"/>
                <w:sz w:val="24"/>
              </w:rPr>
              <w:t>Strategies for culturally appropriate CKD education and support</w:t>
            </w:r>
          </w:p>
          <w:p w14:paraId="178D4A59" w14:textId="77777777" w:rsidR="00782640" w:rsidRPr="00782640" w:rsidRDefault="00782640" w:rsidP="00782640">
            <w:pPr>
              <w:numPr>
                <w:ilvl w:val="1"/>
                <w:numId w:val="110"/>
              </w:numPr>
              <w:contextualSpacing/>
              <w:jc w:val="both"/>
              <w:rPr>
                <w:rFonts w:ascii="Calibri" w:eastAsia="Calibri" w:hAnsi="Calibri" w:cs="Times New Roman"/>
                <w:sz w:val="24"/>
              </w:rPr>
            </w:pPr>
            <w:r w:rsidRPr="00782640">
              <w:rPr>
                <w:rFonts w:ascii="Calibri" w:eastAsia="Calibri" w:hAnsi="Calibri" w:cs="Times New Roman"/>
                <w:sz w:val="24"/>
              </w:rPr>
              <w:t xml:space="preserve">Psycho-social and spiritual support for Aboriginal and Torres Strait Islander peoples living with CKD </w:t>
            </w:r>
          </w:p>
          <w:p w14:paraId="2269F733" w14:textId="77777777" w:rsidR="00782640" w:rsidRPr="00782640" w:rsidRDefault="00782640" w:rsidP="00782640">
            <w:pPr>
              <w:numPr>
                <w:ilvl w:val="1"/>
                <w:numId w:val="110"/>
              </w:numPr>
              <w:contextualSpacing/>
              <w:jc w:val="both"/>
              <w:rPr>
                <w:rFonts w:ascii="Calibri" w:eastAsia="Calibri" w:hAnsi="Calibri" w:cs="Times New Roman"/>
                <w:sz w:val="24"/>
              </w:rPr>
            </w:pPr>
            <w:r w:rsidRPr="00782640">
              <w:rPr>
                <w:rFonts w:ascii="Calibri" w:eastAsia="Calibri" w:hAnsi="Calibri" w:cs="Times New Roman"/>
                <w:sz w:val="24"/>
              </w:rPr>
              <w:t xml:space="preserve">Strategies for Health Professional Education and Support of Workforce </w:t>
            </w:r>
          </w:p>
          <w:p w14:paraId="563D2236" w14:textId="77777777" w:rsidR="00782640" w:rsidRPr="00782640" w:rsidRDefault="00782640" w:rsidP="00782640">
            <w:pPr>
              <w:numPr>
                <w:ilvl w:val="1"/>
                <w:numId w:val="110"/>
              </w:numPr>
              <w:contextualSpacing/>
              <w:jc w:val="both"/>
              <w:rPr>
                <w:rFonts w:ascii="Calibri" w:eastAsia="Calibri" w:hAnsi="Calibri" w:cs="Times New Roman"/>
                <w:sz w:val="24"/>
              </w:rPr>
            </w:pPr>
            <w:r w:rsidRPr="00782640">
              <w:rPr>
                <w:rFonts w:ascii="Calibri" w:eastAsia="Calibri" w:hAnsi="Calibri" w:cs="Times New Roman"/>
                <w:sz w:val="24"/>
              </w:rPr>
              <w:t xml:space="preserve">Models of care across all CKD stages </w:t>
            </w:r>
          </w:p>
          <w:p w14:paraId="025664C9" w14:textId="77777777" w:rsidR="00782640" w:rsidRPr="00782640" w:rsidRDefault="00782640" w:rsidP="00782640">
            <w:pPr>
              <w:contextualSpacing/>
              <w:jc w:val="both"/>
              <w:rPr>
                <w:rFonts w:ascii="Calibri" w:eastAsia="Calibri" w:hAnsi="Calibri" w:cs="Times New Roman"/>
                <w:b/>
                <w:sz w:val="24"/>
              </w:rPr>
            </w:pPr>
          </w:p>
        </w:tc>
      </w:tr>
      <w:tr w:rsidR="00782640" w:rsidRPr="00782640" w14:paraId="5F10A4AE" w14:textId="77777777" w:rsidTr="00782640">
        <w:tc>
          <w:tcPr>
            <w:tcW w:w="9010" w:type="dxa"/>
            <w:shd w:val="clear" w:color="auto" w:fill="FBE4D5"/>
          </w:tcPr>
          <w:p w14:paraId="0F8DFBC9" w14:textId="77777777" w:rsidR="00782640" w:rsidRPr="00782640" w:rsidRDefault="00782640" w:rsidP="00782640">
            <w:pPr>
              <w:contextualSpacing/>
              <w:jc w:val="both"/>
              <w:rPr>
                <w:rFonts w:ascii="Calibri" w:eastAsia="Calibri" w:hAnsi="Calibri" w:cs="Times New Roman"/>
                <w:sz w:val="24"/>
                <w:u w:val="single"/>
              </w:rPr>
            </w:pPr>
          </w:p>
          <w:p w14:paraId="5501186C" w14:textId="77777777" w:rsidR="00782640" w:rsidRPr="00782640" w:rsidRDefault="00782640" w:rsidP="00782640">
            <w:pPr>
              <w:contextualSpacing/>
              <w:jc w:val="both"/>
              <w:rPr>
                <w:rFonts w:ascii="Calibri" w:eastAsia="Calibri" w:hAnsi="Calibri" w:cs="Times New Roman"/>
                <w:sz w:val="24"/>
                <w:u w:val="single"/>
              </w:rPr>
            </w:pPr>
            <w:r w:rsidRPr="00782640">
              <w:rPr>
                <w:rFonts w:ascii="Calibri" w:eastAsia="Calibri" w:hAnsi="Calibri" w:cs="Times New Roman"/>
                <w:sz w:val="24"/>
                <w:u w:val="single"/>
              </w:rPr>
              <w:t>Guidelines for Specific Aspects of CKD Management</w:t>
            </w:r>
          </w:p>
          <w:p w14:paraId="2612CF3D" w14:textId="77777777" w:rsidR="00782640" w:rsidRPr="00782640" w:rsidRDefault="00782640" w:rsidP="00782640">
            <w:pPr>
              <w:contextualSpacing/>
              <w:jc w:val="both"/>
              <w:rPr>
                <w:rFonts w:ascii="Calibri" w:eastAsia="Calibri" w:hAnsi="Calibri" w:cs="Times New Roman"/>
                <w:sz w:val="24"/>
              </w:rPr>
            </w:pPr>
          </w:p>
          <w:p w14:paraId="3AA50F22" w14:textId="77777777" w:rsidR="00782640" w:rsidRPr="00782640" w:rsidRDefault="00782640" w:rsidP="00782640">
            <w:pPr>
              <w:numPr>
                <w:ilvl w:val="1"/>
                <w:numId w:val="110"/>
              </w:numPr>
              <w:contextualSpacing/>
              <w:jc w:val="both"/>
              <w:rPr>
                <w:rFonts w:ascii="Calibri" w:eastAsia="Calibri" w:hAnsi="Calibri" w:cs="Times New Roman"/>
                <w:sz w:val="24"/>
              </w:rPr>
            </w:pPr>
            <w:r w:rsidRPr="00782640">
              <w:rPr>
                <w:rFonts w:ascii="Calibri" w:eastAsia="Calibri" w:hAnsi="Calibri" w:cs="Times New Roman"/>
                <w:sz w:val="24"/>
              </w:rPr>
              <w:t>Chronic Disease Prevention in Aboriginal and Torres Strait Islander Populations</w:t>
            </w:r>
          </w:p>
          <w:p w14:paraId="69425920" w14:textId="77777777" w:rsidR="00782640" w:rsidRPr="00782640" w:rsidRDefault="00782640" w:rsidP="00782640">
            <w:pPr>
              <w:numPr>
                <w:ilvl w:val="1"/>
                <w:numId w:val="110"/>
              </w:numPr>
              <w:contextualSpacing/>
              <w:jc w:val="both"/>
              <w:rPr>
                <w:rFonts w:ascii="Calibri" w:eastAsia="Calibri" w:hAnsi="Calibri" w:cs="Times New Roman"/>
                <w:sz w:val="24"/>
              </w:rPr>
            </w:pPr>
            <w:r w:rsidRPr="00782640">
              <w:rPr>
                <w:rFonts w:ascii="Calibri" w:eastAsia="Calibri" w:hAnsi="Calibri" w:cs="Times New Roman"/>
                <w:sz w:val="24"/>
              </w:rPr>
              <w:t>Screening for CKD – recommendations in the Aboriginal and Torres Strait Islander cohort</w:t>
            </w:r>
          </w:p>
          <w:p w14:paraId="31620F4C" w14:textId="77777777" w:rsidR="00782640" w:rsidRPr="00782640" w:rsidRDefault="00782640" w:rsidP="00782640">
            <w:pPr>
              <w:numPr>
                <w:ilvl w:val="1"/>
                <w:numId w:val="110"/>
              </w:numPr>
              <w:contextualSpacing/>
              <w:jc w:val="both"/>
              <w:rPr>
                <w:rFonts w:ascii="Calibri" w:eastAsia="Calibri" w:hAnsi="Calibri" w:cs="Times New Roman"/>
                <w:sz w:val="24"/>
              </w:rPr>
            </w:pPr>
            <w:r w:rsidRPr="00782640">
              <w:rPr>
                <w:rFonts w:ascii="Calibri" w:eastAsia="Calibri" w:hAnsi="Calibri" w:cs="Times New Roman"/>
                <w:sz w:val="24"/>
              </w:rPr>
              <w:t>Child and maternal health including the first 1000 days of life – reducing the impact on future CKD risk</w:t>
            </w:r>
          </w:p>
          <w:p w14:paraId="19F194F4" w14:textId="77777777" w:rsidR="00782640" w:rsidRPr="00782640" w:rsidRDefault="00782640" w:rsidP="00782640">
            <w:pPr>
              <w:numPr>
                <w:ilvl w:val="1"/>
                <w:numId w:val="110"/>
              </w:numPr>
              <w:contextualSpacing/>
              <w:jc w:val="both"/>
              <w:rPr>
                <w:rFonts w:ascii="Calibri" w:eastAsia="Calibri" w:hAnsi="Calibri" w:cs="Times New Roman"/>
                <w:sz w:val="24"/>
              </w:rPr>
            </w:pPr>
            <w:r w:rsidRPr="00782640">
              <w:rPr>
                <w:rFonts w:ascii="Calibri" w:eastAsia="Calibri" w:hAnsi="Calibri" w:cs="Times New Roman"/>
                <w:sz w:val="24"/>
              </w:rPr>
              <w:t>Management of Acute Kidney Injury in Aboriginal and Torres Strait Islander peoples</w:t>
            </w:r>
          </w:p>
          <w:p w14:paraId="63EC0CE9" w14:textId="77777777" w:rsidR="00782640" w:rsidRPr="00782640" w:rsidRDefault="00782640" w:rsidP="00782640">
            <w:pPr>
              <w:numPr>
                <w:ilvl w:val="1"/>
                <w:numId w:val="110"/>
              </w:numPr>
              <w:contextualSpacing/>
              <w:jc w:val="both"/>
              <w:rPr>
                <w:rFonts w:ascii="Calibri" w:eastAsia="Calibri" w:hAnsi="Calibri" w:cs="Times New Roman"/>
                <w:sz w:val="24"/>
              </w:rPr>
            </w:pPr>
            <w:r w:rsidRPr="00782640">
              <w:rPr>
                <w:rFonts w:ascii="Calibri" w:eastAsia="Calibri" w:hAnsi="Calibri" w:cs="Times New Roman"/>
                <w:sz w:val="24"/>
              </w:rPr>
              <w:t xml:space="preserve">Management of Pre-dialysis CKD stages </w:t>
            </w:r>
          </w:p>
          <w:p w14:paraId="71B8304A" w14:textId="77777777" w:rsidR="00782640" w:rsidRPr="00782640" w:rsidRDefault="00782640" w:rsidP="00782640">
            <w:pPr>
              <w:numPr>
                <w:ilvl w:val="1"/>
                <w:numId w:val="110"/>
              </w:numPr>
              <w:ind w:left="880" w:hanging="520"/>
              <w:contextualSpacing/>
              <w:jc w:val="both"/>
              <w:rPr>
                <w:rFonts w:ascii="Calibri" w:eastAsia="Calibri" w:hAnsi="Calibri" w:cs="Times New Roman"/>
                <w:sz w:val="24"/>
              </w:rPr>
            </w:pPr>
            <w:r w:rsidRPr="00782640">
              <w:rPr>
                <w:rFonts w:ascii="Calibri" w:eastAsia="Calibri" w:hAnsi="Calibri" w:cs="Times New Roman"/>
                <w:sz w:val="24"/>
              </w:rPr>
              <w:t>Management of Transition to End-stage CKD care in Aboriginal and Torres Strait Islander peoples</w:t>
            </w:r>
          </w:p>
          <w:p w14:paraId="42218B6E" w14:textId="77777777" w:rsidR="00782640" w:rsidRPr="00782640" w:rsidRDefault="00782640" w:rsidP="00782640">
            <w:pPr>
              <w:numPr>
                <w:ilvl w:val="1"/>
                <w:numId w:val="110"/>
              </w:numPr>
              <w:ind w:left="880" w:hanging="520"/>
              <w:contextualSpacing/>
              <w:jc w:val="both"/>
              <w:rPr>
                <w:rFonts w:ascii="Calibri" w:eastAsia="Calibri" w:hAnsi="Calibri" w:cs="Times New Roman"/>
                <w:sz w:val="24"/>
              </w:rPr>
            </w:pPr>
            <w:r w:rsidRPr="00782640">
              <w:rPr>
                <w:rFonts w:ascii="Calibri" w:eastAsia="Calibri" w:hAnsi="Calibri" w:cs="Times New Roman"/>
                <w:sz w:val="24"/>
              </w:rPr>
              <w:t xml:space="preserve">Management of ESKD – Dialysis Care and Transplantation </w:t>
            </w:r>
          </w:p>
          <w:p w14:paraId="1BEEE13E" w14:textId="77777777" w:rsidR="00782640" w:rsidRPr="00782640" w:rsidRDefault="00782640" w:rsidP="00782640">
            <w:pPr>
              <w:numPr>
                <w:ilvl w:val="1"/>
                <w:numId w:val="110"/>
              </w:numPr>
              <w:ind w:left="880" w:hanging="520"/>
              <w:contextualSpacing/>
              <w:jc w:val="both"/>
              <w:rPr>
                <w:rFonts w:ascii="Calibri" w:eastAsia="Calibri" w:hAnsi="Calibri" w:cs="Times New Roman"/>
                <w:sz w:val="24"/>
              </w:rPr>
            </w:pPr>
            <w:r w:rsidRPr="00782640">
              <w:rPr>
                <w:rFonts w:ascii="Calibri" w:eastAsia="Calibri" w:hAnsi="Calibri" w:cs="Times New Roman"/>
                <w:sz w:val="24"/>
              </w:rPr>
              <w:t>Management of end-of-life care in patients with ESKD</w:t>
            </w:r>
          </w:p>
          <w:p w14:paraId="3643B8AD" w14:textId="77777777" w:rsidR="00782640" w:rsidRPr="00782640" w:rsidRDefault="00782640" w:rsidP="00782640">
            <w:pPr>
              <w:contextualSpacing/>
              <w:jc w:val="both"/>
              <w:rPr>
                <w:rFonts w:ascii="Calibri" w:eastAsia="Calibri" w:hAnsi="Calibri" w:cs="Times New Roman"/>
                <w:b/>
                <w:sz w:val="24"/>
              </w:rPr>
            </w:pPr>
          </w:p>
        </w:tc>
      </w:tr>
    </w:tbl>
    <w:p w14:paraId="1C8A8D44" w14:textId="77777777" w:rsidR="00782640" w:rsidRPr="00782640" w:rsidRDefault="00782640" w:rsidP="00782640">
      <w:pPr>
        <w:spacing w:after="0" w:line="240" w:lineRule="auto"/>
        <w:jc w:val="both"/>
        <w:rPr>
          <w:rFonts w:ascii="Calibri" w:eastAsia="Calibri" w:hAnsi="Calibri" w:cs="Times New Roman"/>
          <w:sz w:val="24"/>
          <w:szCs w:val="24"/>
        </w:rPr>
      </w:pPr>
    </w:p>
    <w:p w14:paraId="0A5A2C51" w14:textId="77777777" w:rsidR="00782640" w:rsidRPr="00782640" w:rsidRDefault="00782640" w:rsidP="00782640">
      <w:pPr>
        <w:spacing w:after="0" w:line="240" w:lineRule="auto"/>
        <w:contextualSpacing/>
        <w:jc w:val="both"/>
        <w:rPr>
          <w:rFonts w:ascii="Calibri" w:eastAsia="Calibri" w:hAnsi="Calibri" w:cs="Times New Roman"/>
          <w:sz w:val="24"/>
          <w:szCs w:val="24"/>
        </w:rPr>
      </w:pPr>
    </w:p>
    <w:p w14:paraId="4062E542" w14:textId="77777777" w:rsidR="00782640" w:rsidRPr="00782640" w:rsidRDefault="00782640" w:rsidP="00782640">
      <w:pPr>
        <w:spacing w:after="0" w:line="240" w:lineRule="auto"/>
        <w:ind w:left="1080"/>
        <w:contextualSpacing/>
        <w:jc w:val="both"/>
        <w:rPr>
          <w:rFonts w:ascii="Calibri" w:eastAsia="Calibri" w:hAnsi="Calibri" w:cs="Times New Roman"/>
          <w:sz w:val="24"/>
          <w:szCs w:val="24"/>
        </w:rPr>
      </w:pPr>
    </w:p>
    <w:p w14:paraId="2D01F9E8" w14:textId="77777777" w:rsidR="00782640" w:rsidRPr="00782640" w:rsidRDefault="00782640" w:rsidP="00782640">
      <w:pPr>
        <w:contextualSpacing/>
        <w:jc w:val="both"/>
        <w:rPr>
          <w:rFonts w:ascii="Calibri" w:eastAsia="Calibri" w:hAnsi="Calibri" w:cs="Times New Roman"/>
          <w:sz w:val="24"/>
          <w:szCs w:val="24"/>
        </w:rPr>
      </w:pPr>
    </w:p>
    <w:p w14:paraId="3FDD0675" w14:textId="77777777" w:rsidR="00782640" w:rsidRPr="00782640" w:rsidRDefault="00782640" w:rsidP="00782640">
      <w:pPr>
        <w:spacing w:line="240" w:lineRule="auto"/>
        <w:ind w:left="720"/>
        <w:contextualSpacing/>
        <w:jc w:val="both"/>
        <w:rPr>
          <w:rFonts w:ascii="Calibri" w:eastAsia="Calibri" w:hAnsi="Calibri" w:cs="Times New Roman"/>
          <w:sz w:val="24"/>
          <w:szCs w:val="24"/>
        </w:rPr>
      </w:pPr>
    </w:p>
    <w:bookmarkEnd w:id="102"/>
    <w:p w14:paraId="1D4D93CB" w14:textId="77777777" w:rsidR="00782640" w:rsidRPr="00782640" w:rsidRDefault="00782640" w:rsidP="00782640">
      <w:pPr>
        <w:ind w:left="360"/>
        <w:contextualSpacing/>
        <w:jc w:val="both"/>
        <w:rPr>
          <w:rFonts w:ascii="Calibri" w:eastAsia="Calibri" w:hAnsi="Calibri" w:cs="Times New Roman"/>
          <w:sz w:val="24"/>
          <w:szCs w:val="24"/>
        </w:rPr>
      </w:pPr>
    </w:p>
    <w:p w14:paraId="442B8BB1" w14:textId="77777777" w:rsidR="00782640" w:rsidRPr="00782640" w:rsidRDefault="00782640" w:rsidP="00782640">
      <w:pPr>
        <w:spacing w:after="0" w:line="240" w:lineRule="auto"/>
        <w:jc w:val="both"/>
        <w:rPr>
          <w:rFonts w:ascii="Calibri" w:eastAsia="Calibri" w:hAnsi="Calibri" w:cs="Times New Roman"/>
          <w:b/>
          <w:i/>
          <w:sz w:val="24"/>
          <w:szCs w:val="24"/>
        </w:rPr>
      </w:pPr>
    </w:p>
    <w:p w14:paraId="559AE0F0" w14:textId="77777777" w:rsidR="00782640" w:rsidRPr="00782640" w:rsidRDefault="00782640" w:rsidP="00782640">
      <w:pPr>
        <w:spacing w:after="0" w:line="240" w:lineRule="auto"/>
        <w:jc w:val="both"/>
        <w:rPr>
          <w:rFonts w:ascii="Calibri" w:eastAsia="Calibri" w:hAnsi="Calibri" w:cs="Times New Roman"/>
          <w:b/>
          <w:i/>
          <w:sz w:val="24"/>
          <w:szCs w:val="24"/>
        </w:rPr>
      </w:pPr>
    </w:p>
    <w:p w14:paraId="31B436A6" w14:textId="77777777" w:rsidR="00782640" w:rsidRPr="00782640" w:rsidRDefault="00782640" w:rsidP="00782640">
      <w:pPr>
        <w:spacing w:after="0" w:line="240" w:lineRule="auto"/>
        <w:jc w:val="both"/>
        <w:rPr>
          <w:rFonts w:ascii="Calibri" w:eastAsia="Calibri" w:hAnsi="Calibri" w:cs="Times New Roman"/>
          <w:b/>
          <w:i/>
          <w:sz w:val="24"/>
          <w:szCs w:val="24"/>
        </w:rPr>
      </w:pPr>
    </w:p>
    <w:p w14:paraId="69A14183" w14:textId="77777777" w:rsidR="00782640" w:rsidRPr="00782640" w:rsidRDefault="00782640" w:rsidP="00782640">
      <w:pPr>
        <w:spacing w:after="0" w:line="240" w:lineRule="auto"/>
        <w:jc w:val="both"/>
        <w:rPr>
          <w:rFonts w:ascii="Calibri" w:eastAsia="Calibri" w:hAnsi="Calibri" w:cs="Times New Roman"/>
          <w:b/>
          <w:i/>
          <w:sz w:val="24"/>
          <w:szCs w:val="24"/>
        </w:rPr>
      </w:pPr>
    </w:p>
    <w:p w14:paraId="6A5B3C2B" w14:textId="77777777" w:rsidR="00782640" w:rsidRPr="00782640" w:rsidRDefault="00782640" w:rsidP="00782640">
      <w:pPr>
        <w:spacing w:after="0" w:line="240" w:lineRule="auto"/>
        <w:jc w:val="both"/>
        <w:rPr>
          <w:rFonts w:ascii="Calibri" w:eastAsia="Calibri" w:hAnsi="Calibri" w:cs="Times New Roman"/>
          <w:b/>
          <w:i/>
          <w:sz w:val="24"/>
          <w:szCs w:val="24"/>
        </w:rPr>
      </w:pPr>
    </w:p>
    <w:p w14:paraId="492027F2" w14:textId="77777777" w:rsidR="00782640" w:rsidRPr="00782640" w:rsidRDefault="00782640" w:rsidP="00782640">
      <w:pPr>
        <w:spacing w:after="0" w:line="240" w:lineRule="auto"/>
        <w:jc w:val="both"/>
        <w:rPr>
          <w:rFonts w:ascii="Calibri" w:eastAsia="Calibri" w:hAnsi="Calibri" w:cs="Times New Roman"/>
          <w:b/>
          <w:i/>
          <w:sz w:val="24"/>
          <w:szCs w:val="24"/>
        </w:rPr>
      </w:pPr>
    </w:p>
    <w:p w14:paraId="71A93F16" w14:textId="77777777" w:rsidR="00782640" w:rsidRPr="00782640" w:rsidRDefault="00782640" w:rsidP="00782640">
      <w:pPr>
        <w:spacing w:after="0" w:line="240" w:lineRule="auto"/>
        <w:jc w:val="both"/>
        <w:rPr>
          <w:rFonts w:ascii="Calibri" w:eastAsia="Calibri" w:hAnsi="Calibri" w:cs="Times New Roman"/>
          <w:b/>
          <w:i/>
          <w:sz w:val="24"/>
          <w:szCs w:val="24"/>
        </w:rPr>
      </w:pPr>
    </w:p>
    <w:p w14:paraId="04E61679" w14:textId="77777777" w:rsidR="00782640" w:rsidRPr="00782640" w:rsidRDefault="00782640" w:rsidP="00782640">
      <w:pPr>
        <w:spacing w:after="0" w:line="240" w:lineRule="auto"/>
        <w:jc w:val="both"/>
        <w:rPr>
          <w:rFonts w:ascii="Calibri" w:eastAsia="Calibri" w:hAnsi="Calibri" w:cs="Times New Roman"/>
          <w:b/>
          <w:i/>
          <w:sz w:val="24"/>
          <w:szCs w:val="24"/>
        </w:rPr>
      </w:pPr>
    </w:p>
    <w:p w14:paraId="09F8CD98" w14:textId="77777777" w:rsidR="00782640" w:rsidRPr="00782640" w:rsidRDefault="00782640" w:rsidP="00782640">
      <w:pPr>
        <w:spacing w:after="0" w:line="240" w:lineRule="auto"/>
        <w:jc w:val="both"/>
        <w:rPr>
          <w:rFonts w:ascii="Calibri" w:eastAsia="Calibri" w:hAnsi="Calibri" w:cs="Times New Roman"/>
          <w:b/>
          <w:i/>
          <w:sz w:val="24"/>
          <w:szCs w:val="24"/>
        </w:rPr>
      </w:pPr>
    </w:p>
    <w:p w14:paraId="28F3E516" w14:textId="77777777" w:rsidR="00782640" w:rsidRPr="00782640" w:rsidRDefault="00782640" w:rsidP="00782640">
      <w:pPr>
        <w:spacing w:after="0" w:line="240" w:lineRule="auto"/>
        <w:jc w:val="both"/>
        <w:rPr>
          <w:rFonts w:ascii="Calibri" w:eastAsia="Calibri" w:hAnsi="Calibri" w:cs="Times New Roman"/>
          <w:b/>
          <w:i/>
          <w:sz w:val="24"/>
          <w:szCs w:val="24"/>
        </w:rPr>
      </w:pPr>
    </w:p>
    <w:p w14:paraId="2FA83E8E" w14:textId="77777777" w:rsidR="00782640" w:rsidRPr="00782640" w:rsidRDefault="00782640" w:rsidP="00782640">
      <w:pPr>
        <w:spacing w:after="0" w:line="240" w:lineRule="auto"/>
        <w:jc w:val="both"/>
        <w:rPr>
          <w:rFonts w:ascii="Calibri" w:eastAsia="Calibri" w:hAnsi="Calibri" w:cs="Times New Roman"/>
          <w:b/>
          <w:i/>
          <w:sz w:val="24"/>
          <w:szCs w:val="24"/>
        </w:rPr>
      </w:pPr>
    </w:p>
    <w:p w14:paraId="44867C34" w14:textId="77777777" w:rsidR="00EC7110" w:rsidRDefault="00EC7110" w:rsidP="00782640">
      <w:pPr>
        <w:spacing w:after="0" w:line="240" w:lineRule="auto"/>
        <w:jc w:val="both"/>
        <w:rPr>
          <w:rFonts w:ascii="Adelle Sans ExtraBold" w:eastAsia="Calibri" w:hAnsi="Adelle Sans ExtraBold" w:cs="Times New Roman"/>
          <w:b/>
          <w:bCs/>
          <w:color w:val="FF0000"/>
          <w:sz w:val="40"/>
          <w:szCs w:val="40"/>
        </w:rPr>
      </w:pPr>
      <w:r>
        <w:rPr>
          <w:rFonts w:ascii="Adelle Sans ExtraBold" w:eastAsia="Calibri" w:hAnsi="Adelle Sans ExtraBold" w:cs="Times New Roman"/>
          <w:b/>
          <w:bCs/>
          <w:color w:val="FF0000"/>
          <w:sz w:val="40"/>
          <w:szCs w:val="40"/>
        </w:rPr>
        <w:br w:type="page"/>
      </w:r>
    </w:p>
    <w:p w14:paraId="6474A4F3" w14:textId="189C7022" w:rsidR="00782640" w:rsidRPr="00EC7110" w:rsidRDefault="00782640" w:rsidP="00782640">
      <w:pPr>
        <w:spacing w:after="0" w:line="240" w:lineRule="auto"/>
        <w:jc w:val="both"/>
        <w:rPr>
          <w:rFonts w:ascii="Adelle Sans ExtraBold" w:eastAsia="Calibri" w:hAnsi="Adelle Sans ExtraBold" w:cs="Times New Roman"/>
          <w:b/>
          <w:bCs/>
          <w:color w:val="C00000"/>
          <w:sz w:val="40"/>
          <w:szCs w:val="40"/>
        </w:rPr>
      </w:pPr>
      <w:r w:rsidRPr="00EC7110">
        <w:rPr>
          <w:rFonts w:ascii="Adelle Sans ExtraBold" w:eastAsia="Calibri" w:hAnsi="Adelle Sans ExtraBold" w:cs="Times New Roman"/>
          <w:b/>
          <w:bCs/>
          <w:color w:val="C00000"/>
          <w:sz w:val="40"/>
          <w:szCs w:val="40"/>
        </w:rPr>
        <w:lastRenderedPageBreak/>
        <w:t xml:space="preserve">A. Background </w:t>
      </w:r>
    </w:p>
    <w:p w14:paraId="69E8F689" w14:textId="77777777" w:rsidR="00782640" w:rsidRPr="00782640" w:rsidRDefault="00782640" w:rsidP="00782640">
      <w:pPr>
        <w:spacing w:after="0" w:line="240" w:lineRule="auto"/>
        <w:jc w:val="both"/>
        <w:rPr>
          <w:rFonts w:ascii="Calibri" w:eastAsia="Calibri" w:hAnsi="Calibri" w:cs="Times New Roman"/>
          <w:sz w:val="24"/>
          <w:szCs w:val="24"/>
          <w:u w:val="single"/>
        </w:rPr>
      </w:pPr>
    </w:p>
    <w:p w14:paraId="2946D411"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 xml:space="preserve">Since 1999, Kidney Health Australia and the Australian New Zealand Society of Nephrology (ANZSN) have partnered to fund The Kidney Health Australia-Caring for Australasians with Renal Impairment guidelines group (known as “KHA-CARI”) to produce evidence based clinical practice guidelines for the management of chronic kidney disease in Australia and New Zealand.  More recently, additional funding has been provided via the BEAT-CKD NHRMC project grant.  </w:t>
      </w:r>
    </w:p>
    <w:p w14:paraId="1D42520A" w14:textId="77777777" w:rsidR="00782640" w:rsidRPr="00782640" w:rsidRDefault="00782640" w:rsidP="00782640">
      <w:pPr>
        <w:spacing w:after="0" w:line="240" w:lineRule="auto"/>
        <w:jc w:val="both"/>
        <w:rPr>
          <w:rFonts w:ascii="Calibri" w:eastAsia="Calibri" w:hAnsi="Calibri" w:cs="Times New Roman"/>
          <w:sz w:val="24"/>
          <w:szCs w:val="24"/>
        </w:rPr>
      </w:pPr>
    </w:p>
    <w:p w14:paraId="14521683"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In 2016, the KHA-CARI Steering Committee prioritised an Indigenous specific guideline in response to a persistent and disproportionate burden of chronic kidney disease (CKD) among Aboriginal and Torres Strait Islander and Maori peoples. KHA-CARI aims to generate a best practice guideline to improve processes and outcomes of care for those Aboriginal and Torres Strait Islander peoples living with kidney disease.  In doing so, KHA-CARI identified the importance of partnering with patients and their carers to ensure that any guideline is relevant and meaningful for both patients and clinicians. The engagement of consumers and communities as part of the KHA-CARI clinical guideline development is a new component to the existing methodology. Engagement, consultation and participation of Aboriginal and Torres Strait Islander peoples and communities is very important to ensure the appropriateness, effectiveness, integration and impact on quality of health outcomes.</w:t>
      </w:r>
    </w:p>
    <w:p w14:paraId="2C366101" w14:textId="77777777" w:rsidR="00782640" w:rsidRPr="00782640" w:rsidRDefault="00782640" w:rsidP="00782640">
      <w:pPr>
        <w:spacing w:after="0" w:line="240" w:lineRule="auto"/>
        <w:jc w:val="both"/>
        <w:rPr>
          <w:rFonts w:ascii="Calibri" w:eastAsia="Calibri" w:hAnsi="Calibri" w:cs="Times New Roman"/>
          <w:sz w:val="24"/>
          <w:szCs w:val="24"/>
        </w:rPr>
      </w:pPr>
    </w:p>
    <w:p w14:paraId="3D342CCB"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In 2017, Kidney Health Australia, as the peak consumer organisation, committed to obtain funding for and subsequently undertake a consultation process in Australia to inform the development of new clinical guidelines for the “</w:t>
      </w:r>
      <w:r w:rsidRPr="00782640">
        <w:rPr>
          <w:rFonts w:ascii="Calibri" w:eastAsia="Calibri" w:hAnsi="Calibri" w:cs="Times New Roman"/>
          <w:i/>
          <w:sz w:val="24"/>
          <w:szCs w:val="24"/>
        </w:rPr>
        <w:t>Management of chronic kidney disease (CKD) among Aboriginal and Torres Strait Islander Peoples</w:t>
      </w:r>
      <w:r w:rsidRPr="00782640">
        <w:rPr>
          <w:rFonts w:ascii="Calibri" w:eastAsia="Calibri" w:hAnsi="Calibri" w:cs="Times New Roman"/>
          <w:sz w:val="24"/>
          <w:szCs w:val="24"/>
        </w:rPr>
        <w:t xml:space="preserve">” (“The Guidelines”).  Complementing the consultation to be conducted by Kidney Health Australia, the “Catching Some Air” project team led by the </w:t>
      </w:r>
      <w:proofErr w:type="spellStart"/>
      <w:r w:rsidRPr="00782640">
        <w:rPr>
          <w:rFonts w:ascii="Calibri" w:eastAsia="Calibri" w:hAnsi="Calibri" w:cs="Times New Roman"/>
          <w:sz w:val="24"/>
          <w:szCs w:val="24"/>
        </w:rPr>
        <w:t>Lowitja</w:t>
      </w:r>
      <w:proofErr w:type="spellEnd"/>
      <w:r w:rsidRPr="00782640">
        <w:rPr>
          <w:rFonts w:ascii="Calibri" w:eastAsia="Calibri" w:hAnsi="Calibri" w:cs="Times New Roman"/>
          <w:sz w:val="24"/>
          <w:szCs w:val="24"/>
        </w:rPr>
        <w:t xml:space="preserve"> Institute committed to undertake these consultations in the Northern Territory, and a separate consultation process is being undertaken in Aotearoa New Zealand with respect to Maori and Pacific Islander peoples. </w:t>
      </w:r>
    </w:p>
    <w:p w14:paraId="15A741E3" w14:textId="77777777" w:rsidR="00782640" w:rsidRPr="00782640" w:rsidRDefault="00782640" w:rsidP="00782640">
      <w:pPr>
        <w:spacing w:after="0" w:line="240" w:lineRule="auto"/>
        <w:jc w:val="both"/>
        <w:rPr>
          <w:rFonts w:ascii="Calibri" w:eastAsia="Calibri" w:hAnsi="Calibri" w:cs="Times New Roman"/>
          <w:sz w:val="24"/>
          <w:szCs w:val="24"/>
        </w:rPr>
      </w:pPr>
    </w:p>
    <w:p w14:paraId="4C9768A5"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 xml:space="preserve">In 2018, the Hon Ken Wyatt MP, Federal Minister for Indigenous Health, awarded a grant to Kidney Health Australia to undertake consultations with Aboriginal and Torres Strait Islander community members around Australia (except Northern Territory sites covered by Catching Some Air project), as well as health experts, service providers and peak bodies to ensure the new guideline is aligned with community preferences. </w:t>
      </w:r>
    </w:p>
    <w:p w14:paraId="67967135" w14:textId="77777777" w:rsidR="00782640" w:rsidRPr="00782640" w:rsidRDefault="00782640" w:rsidP="00782640">
      <w:pPr>
        <w:spacing w:after="0" w:line="240" w:lineRule="auto"/>
        <w:jc w:val="both"/>
        <w:rPr>
          <w:rFonts w:ascii="Calibri" w:eastAsia="Calibri" w:hAnsi="Calibri" w:cs="Times New Roman"/>
          <w:sz w:val="24"/>
          <w:szCs w:val="24"/>
        </w:rPr>
      </w:pPr>
    </w:p>
    <w:p w14:paraId="1181F458" w14:textId="77777777" w:rsidR="00782640" w:rsidRPr="00782640" w:rsidRDefault="00782640" w:rsidP="00782640">
      <w:pPr>
        <w:spacing w:after="0" w:line="240" w:lineRule="auto"/>
        <w:ind w:left="720"/>
        <w:contextualSpacing/>
        <w:jc w:val="both"/>
        <w:rPr>
          <w:rFonts w:ascii="Calibri" w:eastAsia="Calibri" w:hAnsi="Calibri" w:cs="Times New Roman"/>
          <w:sz w:val="24"/>
          <w:szCs w:val="24"/>
        </w:rPr>
      </w:pPr>
    </w:p>
    <w:p w14:paraId="418791A3" w14:textId="77777777" w:rsidR="00782640" w:rsidRPr="00782640" w:rsidRDefault="00782640" w:rsidP="00782640">
      <w:pPr>
        <w:spacing w:after="0" w:line="240" w:lineRule="auto"/>
        <w:jc w:val="both"/>
        <w:rPr>
          <w:rFonts w:ascii="Calibri" w:eastAsia="Calibri" w:hAnsi="Calibri" w:cs="Times New Roman"/>
          <w:sz w:val="24"/>
          <w:szCs w:val="24"/>
        </w:rPr>
      </w:pPr>
    </w:p>
    <w:p w14:paraId="08EAE080"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noProof/>
          <w:sz w:val="24"/>
          <w:szCs w:val="24"/>
          <w:lang w:eastAsia="en-AU"/>
        </w:rPr>
        <w:lastRenderedPageBreak/>
        <w:drawing>
          <wp:inline distT="0" distB="0" distL="0" distR="0" wp14:anchorId="25F03540" wp14:editId="480AFA10">
            <wp:extent cx="6220968" cy="2801566"/>
            <wp:effectExtent l="0" t="0" r="4445" b="0"/>
            <wp:docPr id="262" name="Picture 262" descr="Summary of goals for the consultations:&#10;Feedback and advice on the focus and content of new clinical guidelines and priorities for clinical care.&#10;Feedback and advice on translating the new clinical guidelines into culturally safe consumer information, tools and education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a:ext>
                      </a:extLst>
                    </a:blip>
                    <a:stretch>
                      <a:fillRect/>
                    </a:stretch>
                  </pic:blipFill>
                  <pic:spPr>
                    <a:xfrm>
                      <a:off x="0" y="0"/>
                      <a:ext cx="6220968" cy="2801566"/>
                    </a:xfrm>
                    <a:prstGeom prst="rect">
                      <a:avLst/>
                    </a:prstGeom>
                  </pic:spPr>
                </pic:pic>
              </a:graphicData>
            </a:graphic>
          </wp:inline>
        </w:drawing>
      </w:r>
      <w:r w:rsidRPr="00782640">
        <w:rPr>
          <w:rFonts w:ascii="Calibri" w:eastAsia="Calibri" w:hAnsi="Calibri" w:cs="Times New Roman"/>
          <w:sz w:val="24"/>
          <w:szCs w:val="24"/>
        </w:rPr>
        <w:t xml:space="preserve"> </w:t>
      </w:r>
      <w:r w:rsidRPr="00782640">
        <w:rPr>
          <w:rFonts w:ascii="Calibri" w:eastAsia="Calibri" w:hAnsi="Calibri" w:cs="Times New Roman"/>
          <w:sz w:val="24"/>
          <w:szCs w:val="24"/>
        </w:rPr>
        <w:br w:type="page"/>
      </w:r>
    </w:p>
    <w:p w14:paraId="35B35083" w14:textId="77777777" w:rsidR="00782640" w:rsidRPr="00EC7110" w:rsidRDefault="00782640" w:rsidP="00782640">
      <w:pPr>
        <w:spacing w:after="0" w:line="240" w:lineRule="auto"/>
        <w:jc w:val="both"/>
        <w:rPr>
          <w:rFonts w:ascii="Adelle Sans ExtraBold" w:eastAsia="Calibri" w:hAnsi="Adelle Sans ExtraBold" w:cs="Times New Roman"/>
          <w:b/>
          <w:bCs/>
          <w:color w:val="C00000"/>
          <w:sz w:val="40"/>
          <w:szCs w:val="40"/>
        </w:rPr>
      </w:pPr>
      <w:r w:rsidRPr="00EC7110">
        <w:rPr>
          <w:rFonts w:ascii="Adelle Sans ExtraBold" w:eastAsia="Calibri" w:hAnsi="Adelle Sans ExtraBold" w:cs="Times New Roman"/>
          <w:b/>
          <w:bCs/>
          <w:color w:val="C00000"/>
          <w:sz w:val="40"/>
          <w:szCs w:val="40"/>
        </w:rPr>
        <w:lastRenderedPageBreak/>
        <w:t>B. Kidney Health Australia Community Consultation Methodology</w:t>
      </w:r>
    </w:p>
    <w:p w14:paraId="3B248C67" w14:textId="77777777" w:rsidR="00782640" w:rsidRPr="00782640" w:rsidRDefault="00782640" w:rsidP="00782640">
      <w:pPr>
        <w:spacing w:after="0" w:line="240" w:lineRule="auto"/>
        <w:jc w:val="both"/>
        <w:rPr>
          <w:rFonts w:ascii="Calibri" w:eastAsia="Calibri" w:hAnsi="Calibri" w:cs="Times New Roman"/>
          <w:b/>
          <w:i/>
          <w:sz w:val="24"/>
          <w:szCs w:val="24"/>
        </w:rPr>
      </w:pPr>
    </w:p>
    <w:p w14:paraId="042B2AF5"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 xml:space="preserve">The consultation is designed to be wide and encompassing to facilitate maximum input from the people who are most likely to use and be affected by the use of the planned Guidelines. </w:t>
      </w:r>
    </w:p>
    <w:p w14:paraId="071B9CD3"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 xml:space="preserve">The consultation is intended to focus on what is relevant to the planned Guidelines. </w:t>
      </w:r>
    </w:p>
    <w:p w14:paraId="495BF762" w14:textId="77777777" w:rsidR="00782640" w:rsidRPr="00782640" w:rsidRDefault="00782640" w:rsidP="00782640">
      <w:pPr>
        <w:spacing w:after="0" w:line="240" w:lineRule="auto"/>
        <w:jc w:val="both"/>
        <w:rPr>
          <w:rFonts w:ascii="Calibri" w:eastAsia="Calibri" w:hAnsi="Calibri" w:cs="Times New Roman"/>
          <w:sz w:val="24"/>
          <w:szCs w:val="24"/>
        </w:rPr>
      </w:pPr>
    </w:p>
    <w:p w14:paraId="682E554C"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 xml:space="preserve">The consultation is designed to complement and recognise the decades of activities by many others across Australia in the area of Indigenous Kidney Health research and community engagement. </w:t>
      </w:r>
    </w:p>
    <w:p w14:paraId="548B37A0" w14:textId="77777777" w:rsidR="00782640" w:rsidRPr="00782640" w:rsidRDefault="00782640" w:rsidP="00782640">
      <w:pPr>
        <w:spacing w:after="0" w:line="240" w:lineRule="auto"/>
        <w:jc w:val="both"/>
        <w:rPr>
          <w:rFonts w:ascii="Calibri" w:eastAsia="Calibri" w:hAnsi="Calibri" w:cs="Times New Roman"/>
          <w:sz w:val="24"/>
          <w:szCs w:val="24"/>
        </w:rPr>
      </w:pPr>
    </w:p>
    <w:p w14:paraId="7BE1C7FE"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Over-arching principles for consultation are outlined in detail in Appendix A</w:t>
      </w:r>
      <w:r w:rsidRPr="00782640">
        <w:rPr>
          <w:rFonts w:ascii="Calibri" w:eastAsia="Calibri" w:hAnsi="Calibri" w:cs="Times New Roman"/>
          <w:i/>
          <w:sz w:val="24"/>
          <w:szCs w:val="24"/>
        </w:rPr>
        <w:t xml:space="preserve"> (D Duff, S Jesudason, M Howell and JT Hughes. A partnership approach to engage Aboriginal and Torres Strait Islander peoples with clinical guideline development for chronic kidney disease. Renal Society of Australasia (RSA) journal 2018; 14 (3): 84-88).</w:t>
      </w:r>
      <w:r w:rsidRPr="00782640">
        <w:rPr>
          <w:rFonts w:ascii="Calibri" w:eastAsia="Calibri" w:hAnsi="Calibri" w:cs="Times New Roman"/>
          <w:sz w:val="24"/>
          <w:szCs w:val="24"/>
        </w:rPr>
        <w:t xml:space="preserve"> As outlined in this joint statement on methodology, the consultation findings will complement the Catching Some Air project and align with the KHA-CARI Guidelines development principles.</w:t>
      </w:r>
    </w:p>
    <w:p w14:paraId="1FC2576F" w14:textId="77777777" w:rsidR="00782640" w:rsidRPr="00782640" w:rsidRDefault="00782640" w:rsidP="00782640">
      <w:pPr>
        <w:spacing w:after="0" w:line="240" w:lineRule="auto"/>
        <w:jc w:val="both"/>
        <w:rPr>
          <w:rFonts w:ascii="Calibri" w:eastAsia="Calibri" w:hAnsi="Calibri" w:cs="Times New Roman"/>
          <w:sz w:val="24"/>
          <w:szCs w:val="24"/>
        </w:rPr>
      </w:pPr>
    </w:p>
    <w:p w14:paraId="7DA0F00C"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The consultation involves the following strategies:</w:t>
      </w:r>
    </w:p>
    <w:p w14:paraId="2225FB71" w14:textId="77777777" w:rsidR="00782640" w:rsidRPr="00782640" w:rsidRDefault="00782640" w:rsidP="00782640">
      <w:pPr>
        <w:spacing w:after="0" w:line="240" w:lineRule="auto"/>
        <w:jc w:val="both"/>
        <w:rPr>
          <w:rFonts w:ascii="Calibri" w:eastAsia="Calibri" w:hAnsi="Calibri" w:cs="Times New Roman"/>
          <w:sz w:val="24"/>
          <w:szCs w:val="24"/>
        </w:rPr>
      </w:pPr>
    </w:p>
    <w:p w14:paraId="262BD3ED"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noProof/>
          <w:sz w:val="24"/>
          <w:szCs w:val="24"/>
          <w:lang w:eastAsia="en-AU"/>
        </w:rPr>
        <w:drawing>
          <wp:inline distT="0" distB="0" distL="0" distR="0" wp14:anchorId="6DAD4818" wp14:editId="3F1F2BC8">
            <wp:extent cx="5486400" cy="3200400"/>
            <wp:effectExtent l="38100" t="19050" r="95250" b="38100"/>
            <wp:docPr id="263" name="Diagram 263" descr="Consultation strategies:&#10;1. Consultation with a panel of health practitoners&#10;2. Targeted site engagements&#10;3. Consultation and feedback from national peak organisation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7A6DF593" w14:textId="77777777" w:rsidR="00782640" w:rsidRPr="00782640" w:rsidRDefault="00782640" w:rsidP="00782640">
      <w:pPr>
        <w:spacing w:after="0" w:line="240" w:lineRule="auto"/>
        <w:jc w:val="both"/>
        <w:rPr>
          <w:rFonts w:ascii="Calibri" w:eastAsia="Calibri" w:hAnsi="Calibri" w:cs="Times New Roman"/>
          <w:sz w:val="24"/>
          <w:szCs w:val="24"/>
        </w:rPr>
      </w:pPr>
    </w:p>
    <w:p w14:paraId="6772F75E"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 xml:space="preserve">The details of these consultations are outlined in appendix A. </w:t>
      </w:r>
    </w:p>
    <w:p w14:paraId="4088D1CD" w14:textId="77777777" w:rsidR="00782640" w:rsidRPr="00782640" w:rsidRDefault="00782640" w:rsidP="00782640">
      <w:pPr>
        <w:spacing w:after="0" w:line="240" w:lineRule="auto"/>
        <w:jc w:val="both"/>
        <w:rPr>
          <w:rFonts w:ascii="Calibri" w:eastAsia="Calibri" w:hAnsi="Calibri" w:cs="Times New Roman"/>
          <w:sz w:val="24"/>
          <w:szCs w:val="24"/>
        </w:rPr>
      </w:pPr>
    </w:p>
    <w:p w14:paraId="5BE57A97"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 xml:space="preserve">This report outlines the outcomes from consultations for </w:t>
      </w:r>
      <w:r w:rsidRPr="00782640">
        <w:rPr>
          <w:rFonts w:ascii="Calibri" w:eastAsia="Calibri" w:hAnsi="Calibri" w:cs="Times New Roman"/>
          <w:b/>
          <w:sz w:val="24"/>
          <w:szCs w:val="24"/>
        </w:rPr>
        <w:t xml:space="preserve">Strategy 1. </w:t>
      </w:r>
    </w:p>
    <w:p w14:paraId="0D9CD9E3" w14:textId="77777777" w:rsidR="00782640" w:rsidRPr="00782640" w:rsidRDefault="00782640" w:rsidP="00782640">
      <w:pPr>
        <w:spacing w:after="0" w:line="240" w:lineRule="auto"/>
        <w:jc w:val="both"/>
        <w:rPr>
          <w:rFonts w:ascii="Calibri" w:eastAsia="Calibri" w:hAnsi="Calibri" w:cs="Times New Roman"/>
          <w:sz w:val="24"/>
          <w:szCs w:val="24"/>
        </w:rPr>
      </w:pPr>
    </w:p>
    <w:p w14:paraId="555F8393" w14:textId="77777777" w:rsidR="00782640" w:rsidRPr="00782640" w:rsidRDefault="00782640" w:rsidP="00782640">
      <w:pPr>
        <w:spacing w:after="0" w:line="240" w:lineRule="auto"/>
        <w:jc w:val="both"/>
        <w:rPr>
          <w:rFonts w:ascii="Calibri" w:eastAsia="Calibri" w:hAnsi="Calibri" w:cs="Times New Roman"/>
          <w:b/>
          <w:sz w:val="24"/>
          <w:szCs w:val="24"/>
        </w:rPr>
      </w:pPr>
      <w:r w:rsidRPr="00782640">
        <w:rPr>
          <w:rFonts w:ascii="Calibri" w:eastAsia="Calibri" w:hAnsi="Calibri" w:cs="Times New Roman"/>
          <w:b/>
          <w:sz w:val="24"/>
          <w:szCs w:val="24"/>
        </w:rPr>
        <w:br w:type="page"/>
      </w:r>
    </w:p>
    <w:p w14:paraId="4C477B63" w14:textId="77777777" w:rsidR="00782640" w:rsidRPr="00EC7110" w:rsidRDefault="00782640" w:rsidP="00782640">
      <w:pPr>
        <w:spacing w:after="0" w:line="240" w:lineRule="auto"/>
        <w:jc w:val="both"/>
        <w:rPr>
          <w:rFonts w:ascii="Adelle Sans ExtraBold" w:eastAsia="Calibri" w:hAnsi="Adelle Sans ExtraBold" w:cs="Times New Roman"/>
          <w:b/>
          <w:bCs/>
          <w:color w:val="C00000"/>
          <w:sz w:val="40"/>
          <w:szCs w:val="40"/>
        </w:rPr>
      </w:pPr>
      <w:r w:rsidRPr="00EC7110">
        <w:rPr>
          <w:rFonts w:ascii="Adelle Sans ExtraBold" w:eastAsia="Calibri" w:hAnsi="Adelle Sans ExtraBold" w:cs="Times New Roman"/>
          <w:b/>
          <w:bCs/>
          <w:color w:val="C00000"/>
          <w:sz w:val="40"/>
          <w:szCs w:val="40"/>
        </w:rPr>
        <w:lastRenderedPageBreak/>
        <w:t>C. Methodology for the Expert Clinician Consultation</w:t>
      </w:r>
    </w:p>
    <w:p w14:paraId="6D556EC3" w14:textId="77777777" w:rsidR="00782640" w:rsidRPr="00782640" w:rsidRDefault="00782640" w:rsidP="00782640">
      <w:pPr>
        <w:spacing w:after="0" w:line="240" w:lineRule="auto"/>
        <w:jc w:val="both"/>
        <w:rPr>
          <w:rFonts w:ascii="Calibri" w:eastAsia="Calibri" w:hAnsi="Calibri" w:cs="Times New Roman"/>
          <w:sz w:val="24"/>
          <w:szCs w:val="24"/>
          <w:u w:val="single"/>
        </w:rPr>
      </w:pPr>
    </w:p>
    <w:p w14:paraId="01871AF7" w14:textId="77777777" w:rsidR="00782640" w:rsidRPr="00782640" w:rsidRDefault="00782640" w:rsidP="00782640">
      <w:pPr>
        <w:spacing w:after="0" w:line="240" w:lineRule="auto"/>
        <w:jc w:val="both"/>
        <w:rPr>
          <w:rFonts w:ascii="Calibri" w:eastAsia="Calibri" w:hAnsi="Calibri" w:cs="Times New Roman"/>
          <w:sz w:val="24"/>
          <w:szCs w:val="24"/>
        </w:rPr>
      </w:pPr>
      <w:r w:rsidRPr="00E1017A">
        <w:rPr>
          <w:rFonts w:ascii="Adelle Sans ExtraBold" w:eastAsia="Calibri" w:hAnsi="Adelle Sans ExtraBold" w:cs="Times New Roman"/>
          <w:b/>
          <w:bCs/>
          <w:color w:val="C00000"/>
          <w:sz w:val="22"/>
        </w:rPr>
        <w:t>WHY:</w:t>
      </w:r>
      <w:r w:rsidRPr="00782640">
        <w:rPr>
          <w:rFonts w:ascii="Calibri" w:eastAsia="Calibri" w:hAnsi="Calibri" w:cs="Times New Roman"/>
          <w:sz w:val="24"/>
          <w:szCs w:val="24"/>
        </w:rPr>
        <w:t xml:space="preserve"> The purpose of this consultation was to have broad, multi-disciplinary input, feedback and engagement from health practitioners </w:t>
      </w:r>
      <w:r w:rsidRPr="00782640">
        <w:rPr>
          <w:rFonts w:ascii="Calibri" w:eastAsia="Calibri" w:hAnsi="Calibri" w:cs="Times New Roman"/>
          <w:i/>
          <w:sz w:val="24"/>
          <w:szCs w:val="24"/>
        </w:rPr>
        <w:t xml:space="preserve">“at the coal face” </w:t>
      </w:r>
      <w:r w:rsidRPr="00782640">
        <w:rPr>
          <w:rFonts w:ascii="Calibri" w:eastAsia="Calibri" w:hAnsi="Calibri" w:cs="Times New Roman"/>
          <w:sz w:val="24"/>
          <w:szCs w:val="24"/>
        </w:rPr>
        <w:t xml:space="preserve">of primary, secondary and tertiary renal care. </w:t>
      </w:r>
    </w:p>
    <w:p w14:paraId="37222D67" w14:textId="77777777" w:rsidR="00782640" w:rsidRPr="00782640" w:rsidRDefault="00782640" w:rsidP="00782640">
      <w:pPr>
        <w:spacing w:after="0" w:line="240" w:lineRule="auto"/>
        <w:jc w:val="both"/>
        <w:rPr>
          <w:rFonts w:ascii="Calibri" w:eastAsia="Calibri" w:hAnsi="Calibri" w:cs="Times New Roman"/>
          <w:sz w:val="24"/>
          <w:szCs w:val="24"/>
        </w:rPr>
      </w:pPr>
    </w:p>
    <w:p w14:paraId="3534A0B0"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 xml:space="preserve">The health professionals who are utilising existing mainstream or Aboriginal and Torres Strait Islander guidelines in actual practice are best placed to advise the KHA-CARI Guidelines Writing Group on </w:t>
      </w:r>
      <w:r w:rsidRPr="00782640">
        <w:rPr>
          <w:rFonts w:ascii="Calibri" w:eastAsia="Calibri" w:hAnsi="Calibri" w:cs="Times New Roman"/>
          <w:i/>
          <w:sz w:val="24"/>
          <w:szCs w:val="24"/>
        </w:rPr>
        <w:t>practical and tangible recommendations</w:t>
      </w:r>
      <w:r w:rsidRPr="00782640">
        <w:rPr>
          <w:rFonts w:ascii="Calibri" w:eastAsia="Calibri" w:hAnsi="Calibri" w:cs="Times New Roman"/>
          <w:sz w:val="24"/>
          <w:szCs w:val="24"/>
        </w:rPr>
        <w:t xml:space="preserve"> guidelines development for Aboriginal and Torres Strait Islander peoples. </w:t>
      </w:r>
    </w:p>
    <w:p w14:paraId="3F053DD4" w14:textId="77777777" w:rsidR="00782640" w:rsidRPr="00782640" w:rsidRDefault="00782640" w:rsidP="00782640">
      <w:pPr>
        <w:spacing w:after="0" w:line="240" w:lineRule="auto"/>
        <w:jc w:val="both"/>
        <w:rPr>
          <w:rFonts w:ascii="Calibri" w:eastAsia="Calibri" w:hAnsi="Calibri" w:cs="Times New Roman"/>
          <w:sz w:val="24"/>
          <w:szCs w:val="24"/>
        </w:rPr>
      </w:pPr>
    </w:p>
    <w:p w14:paraId="4721C934"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 xml:space="preserve">This expert clinician consultation will complement the community consultation with indigenous people and peak bodies (strategies 2 and 3). </w:t>
      </w:r>
    </w:p>
    <w:p w14:paraId="7630ABE6"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 xml:space="preserve"> </w:t>
      </w:r>
    </w:p>
    <w:p w14:paraId="443F98DB" w14:textId="77777777" w:rsidR="00782640" w:rsidRPr="00782640" w:rsidRDefault="00782640" w:rsidP="00782640">
      <w:pPr>
        <w:spacing w:after="0" w:line="240" w:lineRule="auto"/>
        <w:jc w:val="both"/>
        <w:rPr>
          <w:rFonts w:ascii="Calibri" w:eastAsia="Calibri" w:hAnsi="Calibri" w:cs="Times New Roman"/>
          <w:sz w:val="24"/>
          <w:szCs w:val="24"/>
        </w:rPr>
      </w:pPr>
      <w:r w:rsidRPr="00E1017A">
        <w:rPr>
          <w:rFonts w:ascii="Adelle Sans ExtraBold" w:eastAsia="Calibri" w:hAnsi="Adelle Sans ExtraBold" w:cs="Times New Roman"/>
          <w:b/>
          <w:bCs/>
          <w:color w:val="C00000"/>
          <w:sz w:val="22"/>
        </w:rPr>
        <w:t>WHO:</w:t>
      </w:r>
      <w:r w:rsidRPr="00782640">
        <w:rPr>
          <w:rFonts w:ascii="Calibri" w:eastAsia="Calibri" w:hAnsi="Calibri" w:cs="Times New Roman"/>
          <w:sz w:val="24"/>
          <w:szCs w:val="24"/>
        </w:rPr>
        <w:t xml:space="preserve"> Kidney Health Australia identified expert, community-based health practitioners from metropolitan, rural and remote regions, who were actively involved in clinical care delivery for kidney </w:t>
      </w:r>
      <w:proofErr w:type="gramStart"/>
      <w:r w:rsidRPr="00782640">
        <w:rPr>
          <w:rFonts w:ascii="Calibri" w:eastAsia="Calibri" w:hAnsi="Calibri" w:cs="Times New Roman"/>
          <w:sz w:val="24"/>
          <w:szCs w:val="24"/>
        </w:rPr>
        <w:t>disease.</w:t>
      </w:r>
      <w:proofErr w:type="gramEnd"/>
      <w:r w:rsidRPr="00782640">
        <w:rPr>
          <w:rFonts w:ascii="Calibri" w:eastAsia="Calibri" w:hAnsi="Calibri" w:cs="Times New Roman"/>
          <w:sz w:val="24"/>
          <w:szCs w:val="24"/>
        </w:rPr>
        <w:t xml:space="preserve"> </w:t>
      </w:r>
      <w:r w:rsidRPr="00782640">
        <w:rPr>
          <w:rFonts w:ascii="Calibri" w:eastAsia="Calibri" w:hAnsi="Calibri" w:cs="Times New Roman"/>
          <w:bCs/>
          <w:iCs/>
          <w:color w:val="000000"/>
          <w:sz w:val="24"/>
          <w:szCs w:val="24"/>
        </w:rPr>
        <w:t>Also, primary health care professionals in all states and territories were invited to participate.</w:t>
      </w:r>
      <w:r w:rsidRPr="00782640">
        <w:rPr>
          <w:rFonts w:ascii="Calibri" w:eastAsia="Calibri" w:hAnsi="Calibri" w:cs="Times New Roman"/>
          <w:b/>
          <w:bCs/>
          <w:i/>
          <w:iCs/>
          <w:color w:val="000000"/>
          <w:sz w:val="24"/>
          <w:szCs w:val="24"/>
        </w:rPr>
        <w:t xml:space="preserve"> </w:t>
      </w:r>
      <w:r w:rsidRPr="00782640">
        <w:rPr>
          <w:rFonts w:ascii="Calibri" w:eastAsia="Calibri" w:hAnsi="Calibri" w:cs="Times New Roman"/>
          <w:sz w:val="24"/>
          <w:szCs w:val="24"/>
        </w:rPr>
        <w:t xml:space="preserve">The panel members were encouraged to identify other professionals in their jurisdictions or elsewhere in Australia who they felt should be engaged in this activity. All additional health professionals suggested by panel members were invited to participate. Some invited health professionals were unable to personally participate and therefore nominated a proxy or alternate delegate. Additional health professionals provided input into the draft report, which was distributed widely for consultation. </w:t>
      </w:r>
      <w:r w:rsidRPr="00782640">
        <w:rPr>
          <w:rFonts w:ascii="Calibri" w:eastAsia="Calibri" w:hAnsi="Calibri" w:cs="Times New Roman"/>
          <w:bCs/>
          <w:iCs/>
          <w:color w:val="000000"/>
          <w:sz w:val="24"/>
          <w:szCs w:val="24"/>
        </w:rPr>
        <w:t xml:space="preserve">In the writing of this report Kidney Health Australia has reported the stated views of the panel contributors, which may not be the views of all contributors or clinicians. A broad range of views have been represented.  </w:t>
      </w:r>
      <w:r w:rsidRPr="00782640">
        <w:rPr>
          <w:rFonts w:ascii="Calibri" w:eastAsia="Calibri" w:hAnsi="Calibri" w:cs="Times New Roman"/>
          <w:sz w:val="24"/>
          <w:szCs w:val="24"/>
        </w:rPr>
        <w:t xml:space="preserve">All participants in the consultation process for this report are listed in Appendix B. </w:t>
      </w:r>
    </w:p>
    <w:p w14:paraId="56D7DE9A" w14:textId="77777777" w:rsidR="00782640" w:rsidRPr="00782640" w:rsidRDefault="00782640" w:rsidP="00782640">
      <w:pPr>
        <w:spacing w:after="0" w:line="240" w:lineRule="auto"/>
        <w:jc w:val="both"/>
        <w:rPr>
          <w:rFonts w:ascii="Calibri" w:eastAsia="Calibri" w:hAnsi="Calibri" w:cs="Times New Roman"/>
          <w:sz w:val="24"/>
          <w:szCs w:val="24"/>
        </w:rPr>
      </w:pPr>
    </w:p>
    <w:p w14:paraId="32839A01" w14:textId="77777777" w:rsidR="00782640" w:rsidRPr="00782640" w:rsidRDefault="00782640" w:rsidP="00782640">
      <w:pPr>
        <w:spacing w:after="0" w:line="240" w:lineRule="auto"/>
        <w:jc w:val="both"/>
        <w:rPr>
          <w:rFonts w:ascii="Calibri" w:eastAsia="Calibri" w:hAnsi="Calibri" w:cs="Times New Roman"/>
          <w:sz w:val="24"/>
          <w:szCs w:val="24"/>
        </w:rPr>
      </w:pPr>
      <w:r w:rsidRPr="00E1017A">
        <w:rPr>
          <w:rFonts w:ascii="Adelle Sans ExtraBold" w:eastAsia="Calibri" w:hAnsi="Adelle Sans ExtraBold" w:cs="Times New Roman"/>
          <w:b/>
          <w:bCs/>
          <w:color w:val="C00000"/>
          <w:sz w:val="22"/>
        </w:rPr>
        <w:t>HOW:</w:t>
      </w:r>
      <w:r w:rsidRPr="00782640">
        <w:rPr>
          <w:rFonts w:ascii="Calibri" w:eastAsia="Calibri" w:hAnsi="Calibri" w:cs="Times New Roman"/>
          <w:sz w:val="24"/>
          <w:szCs w:val="24"/>
        </w:rPr>
        <w:t xml:space="preserve"> The consultation process occurred between June–December 2018. The framework of questions for this consultation (Appendix C) was developed by A/Prof Shilpa Jesudason (KHA), Dr Martin Howell (KHA-CARI) and Dr Jaquelyn Hughes (KHA-CARI Writing Group Co-Chair). Panel members volunteered their time for tele/video conferences (co-chaired by Associate Professor Shilpa Jesudason, Kidney Health Australia, and Dr Martin Howell, KHA-CARI) or direct discussions with A/Professor Shilpa Jesudason and Ms Dora Oliva or via written commentary on the draft report. Tele/video conferences were recorded and transcribed by Kidney Health Australia Staff, Ms Karen Barfoot and Ms Joanna Stoic, and key concepts and recommendations were collated for this report. </w:t>
      </w:r>
    </w:p>
    <w:p w14:paraId="7DB7ECF4" w14:textId="77777777" w:rsidR="00782640" w:rsidRPr="00782640" w:rsidRDefault="00782640" w:rsidP="00782640">
      <w:pPr>
        <w:spacing w:after="0" w:line="240" w:lineRule="auto"/>
        <w:jc w:val="both"/>
        <w:rPr>
          <w:rFonts w:ascii="Calibri" w:eastAsia="Calibri" w:hAnsi="Calibri" w:cs="Times New Roman"/>
          <w:sz w:val="24"/>
          <w:szCs w:val="24"/>
        </w:rPr>
      </w:pPr>
    </w:p>
    <w:p w14:paraId="140A4F9E" w14:textId="77777777" w:rsidR="00782640" w:rsidRPr="00782640" w:rsidRDefault="00782640" w:rsidP="00782640">
      <w:pPr>
        <w:spacing w:after="0" w:line="240" w:lineRule="auto"/>
        <w:jc w:val="both"/>
        <w:rPr>
          <w:rFonts w:ascii="Calibri" w:eastAsia="Calibri" w:hAnsi="Calibri" w:cs="Times New Roman"/>
          <w:sz w:val="24"/>
          <w:szCs w:val="24"/>
        </w:rPr>
      </w:pPr>
    </w:p>
    <w:p w14:paraId="6A9D275A" w14:textId="77777777" w:rsidR="00782640" w:rsidRPr="00782640" w:rsidRDefault="00782640" w:rsidP="00782640">
      <w:pPr>
        <w:spacing w:after="0" w:line="240" w:lineRule="auto"/>
        <w:jc w:val="both"/>
        <w:rPr>
          <w:rFonts w:ascii="Calibri" w:eastAsia="Calibri" w:hAnsi="Calibri" w:cs="Times New Roman"/>
          <w:sz w:val="24"/>
          <w:szCs w:val="24"/>
        </w:rPr>
      </w:pPr>
    </w:p>
    <w:p w14:paraId="29FBA86C" w14:textId="77777777" w:rsidR="00782640" w:rsidRPr="00782640" w:rsidRDefault="00782640" w:rsidP="00782640">
      <w:pPr>
        <w:spacing w:after="0" w:line="240" w:lineRule="auto"/>
        <w:jc w:val="both"/>
        <w:rPr>
          <w:rFonts w:ascii="Calibri" w:eastAsia="Calibri" w:hAnsi="Calibri" w:cs="Times New Roman"/>
          <w:sz w:val="24"/>
          <w:szCs w:val="24"/>
        </w:rPr>
      </w:pPr>
    </w:p>
    <w:p w14:paraId="36791352" w14:textId="77777777" w:rsidR="00782640" w:rsidRPr="00782640" w:rsidRDefault="00782640" w:rsidP="00782640">
      <w:pPr>
        <w:spacing w:after="0" w:line="240" w:lineRule="auto"/>
        <w:jc w:val="both"/>
        <w:rPr>
          <w:rFonts w:ascii="Calibri" w:eastAsia="Calibri" w:hAnsi="Calibri" w:cs="Times New Roman"/>
          <w:sz w:val="24"/>
          <w:szCs w:val="24"/>
        </w:rPr>
      </w:pPr>
    </w:p>
    <w:p w14:paraId="5DE713B1" w14:textId="77777777" w:rsidR="00782640" w:rsidRPr="00782640" w:rsidRDefault="00782640" w:rsidP="00782640">
      <w:pPr>
        <w:spacing w:after="0" w:line="240" w:lineRule="auto"/>
        <w:jc w:val="both"/>
        <w:rPr>
          <w:rFonts w:ascii="Calibri" w:eastAsia="Calibri" w:hAnsi="Calibri" w:cs="Times New Roman"/>
          <w:sz w:val="24"/>
          <w:szCs w:val="24"/>
        </w:rPr>
      </w:pPr>
    </w:p>
    <w:p w14:paraId="04EB6484" w14:textId="77777777" w:rsidR="00782640" w:rsidRPr="00782640" w:rsidRDefault="00782640" w:rsidP="00782640">
      <w:pPr>
        <w:spacing w:after="0" w:line="240" w:lineRule="auto"/>
        <w:ind w:left="360"/>
        <w:contextualSpacing/>
        <w:jc w:val="both"/>
        <w:rPr>
          <w:rFonts w:ascii="Calibri" w:eastAsia="Calibri" w:hAnsi="Calibri" w:cs="Times New Roman"/>
          <w:sz w:val="24"/>
          <w:szCs w:val="24"/>
        </w:rPr>
      </w:pPr>
    </w:p>
    <w:p w14:paraId="557BCF0E" w14:textId="77777777" w:rsidR="00782640" w:rsidRPr="00782640" w:rsidRDefault="00782640" w:rsidP="00782640">
      <w:pPr>
        <w:spacing w:after="0" w:line="240" w:lineRule="auto"/>
        <w:jc w:val="center"/>
        <w:rPr>
          <w:rFonts w:ascii="Calibri" w:eastAsia="Calibri" w:hAnsi="Calibri" w:cs="Times New Roman"/>
          <w:sz w:val="24"/>
          <w:szCs w:val="24"/>
        </w:rPr>
      </w:pPr>
      <w:r w:rsidRPr="00782640">
        <w:rPr>
          <w:rFonts w:ascii="Calibri" w:eastAsia="Calibri" w:hAnsi="Calibri" w:cs="Times New Roman"/>
          <w:sz w:val="24"/>
          <w:szCs w:val="24"/>
        </w:rPr>
        <w:br w:type="page"/>
      </w:r>
      <w:r w:rsidRPr="00782640">
        <w:rPr>
          <w:rFonts w:ascii="Calibri" w:eastAsia="Calibri" w:hAnsi="Calibri" w:cs="Times New Roman"/>
          <w:noProof/>
          <w:sz w:val="24"/>
          <w:szCs w:val="24"/>
          <w:lang w:eastAsia="en-AU"/>
        </w:rPr>
        <w:lastRenderedPageBreak/>
        <w:drawing>
          <wp:inline distT="0" distB="0" distL="0" distR="0" wp14:anchorId="25820302" wp14:editId="45C8AD40">
            <wp:extent cx="4873557" cy="4840100"/>
            <wp:effectExtent l="0" t="0" r="3810" b="0"/>
            <wp:docPr id="264" name="Picture 264" descr="Summary of contribution of the members of the Expert Panel of Clinic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877852" cy="4844366"/>
                    </a:xfrm>
                    <a:prstGeom prst="rect">
                      <a:avLst/>
                    </a:prstGeom>
                  </pic:spPr>
                </pic:pic>
              </a:graphicData>
            </a:graphic>
          </wp:inline>
        </w:drawing>
      </w:r>
    </w:p>
    <w:p w14:paraId="09C32148" w14:textId="77777777" w:rsidR="00782640" w:rsidRPr="00782640" w:rsidRDefault="00782640" w:rsidP="00782640">
      <w:pPr>
        <w:spacing w:after="0" w:line="240" w:lineRule="auto"/>
        <w:jc w:val="both"/>
        <w:rPr>
          <w:rFonts w:ascii="Calibri" w:eastAsia="Calibri" w:hAnsi="Calibri" w:cs="Times New Roman"/>
          <w:sz w:val="24"/>
          <w:szCs w:val="24"/>
        </w:rPr>
      </w:pPr>
    </w:p>
    <w:p w14:paraId="1DE08ECA" w14:textId="77777777" w:rsidR="00782640" w:rsidRPr="00782640" w:rsidRDefault="00782640" w:rsidP="00782640">
      <w:pPr>
        <w:spacing w:after="0" w:line="240" w:lineRule="auto"/>
        <w:jc w:val="both"/>
        <w:rPr>
          <w:rFonts w:ascii="Calibri" w:eastAsia="Calibri" w:hAnsi="Calibri" w:cs="Times New Roman"/>
          <w:sz w:val="24"/>
          <w:szCs w:val="24"/>
        </w:rPr>
      </w:pPr>
    </w:p>
    <w:p w14:paraId="4AD2A7BC" w14:textId="77777777" w:rsidR="00782640" w:rsidRPr="00782640" w:rsidRDefault="00782640" w:rsidP="00782640">
      <w:pPr>
        <w:spacing w:after="0" w:line="240" w:lineRule="auto"/>
        <w:jc w:val="both"/>
        <w:rPr>
          <w:rFonts w:ascii="Calibri" w:eastAsia="Calibri" w:hAnsi="Calibri" w:cs="Times New Roman"/>
          <w:sz w:val="24"/>
          <w:szCs w:val="24"/>
        </w:rPr>
      </w:pPr>
    </w:p>
    <w:p w14:paraId="0E79B4A9" w14:textId="77777777" w:rsidR="00782640" w:rsidRPr="00782640" w:rsidRDefault="00782640" w:rsidP="00782640">
      <w:pPr>
        <w:spacing w:after="0" w:line="240" w:lineRule="auto"/>
        <w:jc w:val="both"/>
        <w:rPr>
          <w:rFonts w:ascii="Calibri" w:eastAsia="Calibri" w:hAnsi="Calibri" w:cs="Times New Roman"/>
          <w:sz w:val="24"/>
          <w:szCs w:val="24"/>
        </w:rPr>
      </w:pPr>
    </w:p>
    <w:p w14:paraId="6E14774E" w14:textId="77777777" w:rsidR="00782640" w:rsidRPr="00782640" w:rsidRDefault="00782640" w:rsidP="00782640">
      <w:pPr>
        <w:spacing w:after="0" w:line="240" w:lineRule="auto"/>
        <w:jc w:val="both"/>
        <w:rPr>
          <w:rFonts w:ascii="Calibri" w:eastAsia="Calibri" w:hAnsi="Calibri" w:cs="Times New Roman"/>
          <w:sz w:val="24"/>
          <w:szCs w:val="24"/>
        </w:rPr>
      </w:pPr>
    </w:p>
    <w:p w14:paraId="2231E938" w14:textId="77777777" w:rsidR="00782640" w:rsidRPr="00782640" w:rsidRDefault="00782640" w:rsidP="00782640">
      <w:pPr>
        <w:spacing w:after="0" w:line="240" w:lineRule="auto"/>
        <w:jc w:val="both"/>
        <w:rPr>
          <w:rFonts w:ascii="Calibri" w:eastAsia="Calibri" w:hAnsi="Calibri" w:cs="Times New Roman"/>
          <w:sz w:val="24"/>
          <w:szCs w:val="24"/>
        </w:rPr>
      </w:pPr>
    </w:p>
    <w:p w14:paraId="6FCCC2D0" w14:textId="77777777" w:rsidR="00782640" w:rsidRPr="00782640" w:rsidRDefault="00782640" w:rsidP="00782640">
      <w:pPr>
        <w:spacing w:after="0" w:line="240" w:lineRule="auto"/>
        <w:jc w:val="both"/>
        <w:rPr>
          <w:rFonts w:ascii="Calibri" w:eastAsia="Calibri" w:hAnsi="Calibri" w:cs="Times New Roman"/>
          <w:sz w:val="24"/>
          <w:szCs w:val="24"/>
        </w:rPr>
      </w:pPr>
    </w:p>
    <w:p w14:paraId="1D5A8B9E" w14:textId="77777777" w:rsidR="00782640" w:rsidRPr="00782640" w:rsidRDefault="00782640" w:rsidP="00782640">
      <w:pPr>
        <w:spacing w:after="0" w:line="240" w:lineRule="auto"/>
        <w:jc w:val="both"/>
        <w:rPr>
          <w:rFonts w:ascii="Calibri" w:eastAsia="Calibri" w:hAnsi="Calibri" w:cs="Times New Roman"/>
          <w:sz w:val="24"/>
          <w:szCs w:val="24"/>
        </w:rPr>
      </w:pPr>
    </w:p>
    <w:p w14:paraId="35AAEF29" w14:textId="77777777" w:rsidR="00782640" w:rsidRPr="00782640" w:rsidRDefault="00782640" w:rsidP="00782640">
      <w:pPr>
        <w:spacing w:after="0" w:line="240" w:lineRule="auto"/>
        <w:jc w:val="both"/>
        <w:rPr>
          <w:rFonts w:ascii="Calibri" w:eastAsia="Calibri" w:hAnsi="Calibri" w:cs="Times New Roman"/>
          <w:sz w:val="24"/>
          <w:szCs w:val="24"/>
        </w:rPr>
      </w:pPr>
    </w:p>
    <w:p w14:paraId="79A5CBA9" w14:textId="77777777" w:rsidR="00782640" w:rsidRPr="00782640" w:rsidRDefault="00782640" w:rsidP="00782640">
      <w:pPr>
        <w:spacing w:after="0" w:line="240" w:lineRule="auto"/>
        <w:jc w:val="both"/>
        <w:rPr>
          <w:rFonts w:ascii="Calibri" w:eastAsia="Calibri" w:hAnsi="Calibri" w:cs="Times New Roman"/>
          <w:sz w:val="24"/>
          <w:szCs w:val="24"/>
        </w:rPr>
      </w:pPr>
    </w:p>
    <w:p w14:paraId="68831571" w14:textId="77777777" w:rsidR="00782640" w:rsidRPr="00782640" w:rsidRDefault="00782640" w:rsidP="00782640">
      <w:pPr>
        <w:spacing w:after="0" w:line="240" w:lineRule="auto"/>
        <w:jc w:val="both"/>
        <w:rPr>
          <w:rFonts w:ascii="Calibri" w:eastAsia="Calibri" w:hAnsi="Calibri" w:cs="Times New Roman"/>
          <w:sz w:val="24"/>
          <w:szCs w:val="24"/>
        </w:rPr>
      </w:pPr>
    </w:p>
    <w:p w14:paraId="07DA846B" w14:textId="77777777" w:rsidR="00782640" w:rsidRPr="00782640" w:rsidRDefault="00782640" w:rsidP="00782640">
      <w:pPr>
        <w:spacing w:after="0" w:line="240" w:lineRule="auto"/>
        <w:jc w:val="both"/>
        <w:rPr>
          <w:rFonts w:ascii="Calibri" w:eastAsia="Calibri" w:hAnsi="Calibri" w:cs="Times New Roman"/>
          <w:sz w:val="24"/>
          <w:szCs w:val="24"/>
        </w:rPr>
      </w:pPr>
    </w:p>
    <w:p w14:paraId="6516B3B7" w14:textId="77777777" w:rsidR="00782640" w:rsidRPr="00782640" w:rsidRDefault="00782640" w:rsidP="00782640">
      <w:pPr>
        <w:spacing w:after="0" w:line="240" w:lineRule="auto"/>
        <w:jc w:val="both"/>
        <w:rPr>
          <w:rFonts w:ascii="Calibri" w:eastAsia="Calibri" w:hAnsi="Calibri" w:cs="Times New Roman"/>
          <w:sz w:val="24"/>
          <w:szCs w:val="24"/>
        </w:rPr>
      </w:pPr>
    </w:p>
    <w:p w14:paraId="32F9722F" w14:textId="77777777" w:rsidR="00782640" w:rsidRPr="00782640" w:rsidRDefault="00782640" w:rsidP="00782640">
      <w:pPr>
        <w:spacing w:after="0" w:line="240" w:lineRule="auto"/>
        <w:jc w:val="both"/>
        <w:rPr>
          <w:rFonts w:ascii="Calibri" w:eastAsia="Calibri" w:hAnsi="Calibri" w:cs="Times New Roman"/>
          <w:sz w:val="24"/>
          <w:szCs w:val="24"/>
        </w:rPr>
      </w:pPr>
    </w:p>
    <w:p w14:paraId="269E54D6" w14:textId="77777777" w:rsidR="00782640" w:rsidRPr="00782640" w:rsidRDefault="00782640" w:rsidP="00782640">
      <w:pPr>
        <w:spacing w:after="0" w:line="240" w:lineRule="auto"/>
        <w:jc w:val="both"/>
        <w:rPr>
          <w:rFonts w:ascii="Calibri" w:eastAsia="Calibri" w:hAnsi="Calibri" w:cs="Times New Roman"/>
          <w:sz w:val="24"/>
          <w:szCs w:val="24"/>
        </w:rPr>
      </w:pPr>
    </w:p>
    <w:p w14:paraId="23294E77" w14:textId="77777777" w:rsidR="00782640" w:rsidRPr="00782640" w:rsidRDefault="00782640" w:rsidP="00782640">
      <w:pPr>
        <w:spacing w:after="0" w:line="240" w:lineRule="auto"/>
        <w:jc w:val="both"/>
        <w:rPr>
          <w:rFonts w:ascii="Calibri" w:eastAsia="Calibri" w:hAnsi="Calibri" w:cs="Times New Roman"/>
          <w:sz w:val="24"/>
          <w:szCs w:val="24"/>
        </w:rPr>
      </w:pPr>
    </w:p>
    <w:p w14:paraId="02B3F1F8" w14:textId="77777777" w:rsidR="00782640" w:rsidRPr="00782640" w:rsidRDefault="00782640" w:rsidP="00782640">
      <w:pPr>
        <w:spacing w:after="0" w:line="240" w:lineRule="auto"/>
        <w:jc w:val="both"/>
        <w:rPr>
          <w:rFonts w:ascii="Calibri" w:eastAsia="Calibri" w:hAnsi="Calibri" w:cs="Times New Roman"/>
          <w:sz w:val="24"/>
          <w:szCs w:val="24"/>
        </w:rPr>
      </w:pPr>
    </w:p>
    <w:p w14:paraId="4C565630" w14:textId="77777777" w:rsidR="00782640" w:rsidRPr="00782640" w:rsidRDefault="00782640" w:rsidP="00782640">
      <w:pPr>
        <w:spacing w:after="0" w:line="240" w:lineRule="auto"/>
        <w:jc w:val="both"/>
        <w:rPr>
          <w:rFonts w:ascii="Calibri" w:eastAsia="Calibri" w:hAnsi="Calibri" w:cs="Times New Roman"/>
          <w:sz w:val="24"/>
          <w:szCs w:val="24"/>
        </w:rPr>
      </w:pPr>
    </w:p>
    <w:p w14:paraId="273557E4" w14:textId="77777777" w:rsidR="00782640" w:rsidRPr="00782640" w:rsidRDefault="00782640" w:rsidP="00782640">
      <w:pPr>
        <w:spacing w:after="0" w:line="240" w:lineRule="auto"/>
        <w:jc w:val="both"/>
        <w:rPr>
          <w:rFonts w:ascii="Calibri" w:eastAsia="Calibri" w:hAnsi="Calibri" w:cs="Times New Roman"/>
          <w:sz w:val="24"/>
          <w:szCs w:val="24"/>
        </w:rPr>
      </w:pPr>
    </w:p>
    <w:p w14:paraId="44799840" w14:textId="77777777" w:rsidR="00782640" w:rsidRPr="00782640" w:rsidRDefault="00782640" w:rsidP="00782640">
      <w:pPr>
        <w:spacing w:after="0" w:line="240" w:lineRule="auto"/>
        <w:jc w:val="both"/>
        <w:rPr>
          <w:rFonts w:ascii="Calibri" w:eastAsia="Calibri" w:hAnsi="Calibri" w:cs="Times New Roman"/>
          <w:sz w:val="24"/>
          <w:szCs w:val="24"/>
        </w:rPr>
      </w:pPr>
    </w:p>
    <w:p w14:paraId="07D2A19A" w14:textId="77777777" w:rsidR="00782640" w:rsidRPr="00782640" w:rsidRDefault="00782640" w:rsidP="00782640">
      <w:pPr>
        <w:spacing w:after="0" w:line="240" w:lineRule="auto"/>
        <w:jc w:val="both"/>
        <w:rPr>
          <w:rFonts w:ascii="Calibri" w:eastAsia="Calibri" w:hAnsi="Calibri" w:cs="Times New Roman"/>
          <w:sz w:val="24"/>
          <w:szCs w:val="24"/>
        </w:rPr>
      </w:pPr>
    </w:p>
    <w:p w14:paraId="368E35F6" w14:textId="77777777" w:rsidR="00782640" w:rsidRPr="00EC7110" w:rsidRDefault="00782640" w:rsidP="00782640">
      <w:pPr>
        <w:spacing w:after="0" w:line="240" w:lineRule="auto"/>
        <w:jc w:val="both"/>
        <w:rPr>
          <w:rFonts w:ascii="Adelle Sans ExtraBold" w:eastAsia="Calibri" w:hAnsi="Adelle Sans ExtraBold" w:cs="Times New Roman"/>
          <w:b/>
          <w:bCs/>
          <w:color w:val="C00000"/>
          <w:sz w:val="40"/>
          <w:szCs w:val="40"/>
        </w:rPr>
      </w:pPr>
      <w:r w:rsidRPr="00EC7110">
        <w:rPr>
          <w:rFonts w:ascii="Adelle Sans ExtraBold" w:eastAsia="Calibri" w:hAnsi="Adelle Sans ExtraBold" w:cs="Times New Roman"/>
          <w:b/>
          <w:bCs/>
          <w:color w:val="C00000"/>
          <w:sz w:val="40"/>
          <w:szCs w:val="40"/>
        </w:rPr>
        <w:lastRenderedPageBreak/>
        <w:t>D. Chronic Kidney Disease Management Guidelines Used in Current Practice</w:t>
      </w:r>
    </w:p>
    <w:p w14:paraId="08B8EDDF" w14:textId="77777777" w:rsidR="00782640" w:rsidRPr="00782640" w:rsidRDefault="00782640" w:rsidP="00782640">
      <w:pPr>
        <w:spacing w:after="0" w:line="240" w:lineRule="auto"/>
        <w:jc w:val="both"/>
        <w:rPr>
          <w:rFonts w:ascii="Calibri" w:eastAsia="Calibri" w:hAnsi="Calibri" w:cs="Times New Roman"/>
          <w:sz w:val="24"/>
          <w:szCs w:val="24"/>
        </w:rPr>
      </w:pPr>
    </w:p>
    <w:p w14:paraId="398A2CC6"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The panel identified several resources that were utilised regularly in clinical care of Indigenous patients with CKD across Australia.</w:t>
      </w:r>
    </w:p>
    <w:p w14:paraId="04E47A94" w14:textId="77777777" w:rsidR="00782640" w:rsidRPr="00782640" w:rsidRDefault="00782640" w:rsidP="00782640">
      <w:pPr>
        <w:spacing w:after="0" w:line="240" w:lineRule="auto"/>
        <w:jc w:val="both"/>
        <w:rPr>
          <w:rFonts w:ascii="Calibri" w:eastAsia="Calibri" w:hAnsi="Calibri" w:cs="Times New Roman"/>
          <w:sz w:val="24"/>
          <w:szCs w:val="24"/>
        </w:rPr>
      </w:pPr>
    </w:p>
    <w:p w14:paraId="4C3F40A7"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 xml:space="preserve">The main focus of existing guidelines was early detection of CKD and management of early stage CKD for primary care services, with minimal content on pre-dialysis and end-stage kidney disease management. </w:t>
      </w:r>
    </w:p>
    <w:p w14:paraId="31A02C0C" w14:textId="77777777" w:rsidR="00782640" w:rsidRPr="00782640" w:rsidRDefault="00782640" w:rsidP="00782640">
      <w:pPr>
        <w:spacing w:after="0" w:line="240" w:lineRule="auto"/>
        <w:jc w:val="both"/>
        <w:rPr>
          <w:rFonts w:ascii="Calibri" w:eastAsia="Calibri" w:hAnsi="Calibri" w:cs="Times New Roman"/>
          <w:sz w:val="24"/>
          <w:szCs w:val="24"/>
        </w:rPr>
      </w:pPr>
    </w:p>
    <w:p w14:paraId="68C698FB" w14:textId="77777777" w:rsidR="00782640" w:rsidRPr="00782640" w:rsidRDefault="00782640" w:rsidP="00782640">
      <w:pPr>
        <w:spacing w:after="0" w:line="240" w:lineRule="auto"/>
        <w:jc w:val="both"/>
        <w:rPr>
          <w:rFonts w:ascii="Calibri" w:eastAsia="Calibri" w:hAnsi="Calibri" w:cs="Times New Roman"/>
          <w:i/>
          <w:sz w:val="24"/>
          <w:szCs w:val="24"/>
        </w:rPr>
      </w:pPr>
      <w:r w:rsidRPr="00782640">
        <w:rPr>
          <w:rFonts w:ascii="Calibri" w:eastAsia="Calibri" w:hAnsi="Calibri" w:cs="Times New Roman"/>
          <w:i/>
          <w:sz w:val="24"/>
          <w:szCs w:val="24"/>
        </w:rPr>
        <w:t>NB: This describe resources highlighted specifically by the expert panel and is not a summary of every resource used in Australia.</w:t>
      </w:r>
    </w:p>
    <w:p w14:paraId="25E7C01C" w14:textId="77777777" w:rsidR="00782640" w:rsidRPr="00782640" w:rsidRDefault="00782640" w:rsidP="00782640">
      <w:pPr>
        <w:spacing w:after="0" w:line="240" w:lineRule="auto"/>
        <w:jc w:val="both"/>
        <w:rPr>
          <w:rFonts w:ascii="Calibri" w:eastAsia="Calibri" w:hAnsi="Calibri" w:cs="Times New Roman"/>
          <w:sz w:val="24"/>
          <w:szCs w:val="24"/>
        </w:rPr>
      </w:pPr>
    </w:p>
    <w:p w14:paraId="46C1AD5D" w14:textId="65E931F0" w:rsid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noProof/>
          <w:sz w:val="24"/>
          <w:szCs w:val="24"/>
          <w:lang w:eastAsia="en-AU"/>
        </w:rPr>
        <w:drawing>
          <wp:inline distT="0" distB="0" distL="0" distR="0" wp14:anchorId="0DFB5F4F" wp14:editId="5174A607">
            <wp:extent cx="1392555" cy="1437640"/>
            <wp:effectExtent l="0" t="0" r="0" b="0"/>
            <wp:docPr id="265" name="Picture 265" descr="KHA CAR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392555" cy="1437640"/>
                    </a:xfrm>
                    <a:prstGeom prst="rect">
                      <a:avLst/>
                    </a:prstGeom>
                    <a:noFill/>
                    <a:ln>
                      <a:noFill/>
                    </a:ln>
                  </pic:spPr>
                </pic:pic>
              </a:graphicData>
            </a:graphic>
          </wp:inline>
        </w:drawing>
      </w:r>
    </w:p>
    <w:p w14:paraId="3E2DBF98" w14:textId="77777777" w:rsidR="00EC7110" w:rsidRPr="00782640" w:rsidRDefault="00EC7110" w:rsidP="00782640">
      <w:pPr>
        <w:spacing w:after="0" w:line="240" w:lineRule="auto"/>
        <w:jc w:val="both"/>
        <w:rPr>
          <w:rFonts w:ascii="Calibri" w:eastAsia="Calibri" w:hAnsi="Calibri" w:cs="Times New Roman"/>
          <w:sz w:val="24"/>
          <w:szCs w:val="24"/>
        </w:rPr>
      </w:pPr>
    </w:p>
    <w:p w14:paraId="0F24B5A9" w14:textId="77777777" w:rsidR="00782640" w:rsidRPr="009B2280" w:rsidRDefault="00782640" w:rsidP="00782640">
      <w:pPr>
        <w:spacing w:after="0" w:line="240" w:lineRule="auto"/>
        <w:rPr>
          <w:rFonts w:ascii="Adelle Sans Light" w:eastAsia="Calibri" w:hAnsi="Adelle Sans Light" w:cs="Times New Roman"/>
          <w:color w:val="C00000"/>
          <w:sz w:val="40"/>
          <w:szCs w:val="40"/>
        </w:rPr>
      </w:pPr>
      <w:r w:rsidRPr="009B2280">
        <w:rPr>
          <w:rFonts w:ascii="Adelle Sans Light" w:eastAsia="Calibri" w:hAnsi="Adelle Sans Light" w:cs="Times New Roman"/>
          <w:color w:val="C00000"/>
          <w:sz w:val="40"/>
          <w:szCs w:val="40"/>
        </w:rPr>
        <w:t xml:space="preserve">1. KHA-CARI Guidelines  </w:t>
      </w:r>
    </w:p>
    <w:p w14:paraId="0E59C4F4" w14:textId="77777777" w:rsidR="00782640" w:rsidRPr="009B2280" w:rsidRDefault="00D32AD3" w:rsidP="00782640">
      <w:pPr>
        <w:spacing w:after="0" w:line="240" w:lineRule="auto"/>
        <w:rPr>
          <w:rFonts w:ascii="Adelle Sans SemiBold" w:eastAsia="Calibri" w:hAnsi="Adelle Sans SemiBold" w:cs="Times New Roman"/>
          <w:b/>
          <w:bCs/>
          <w:color w:val="C00000"/>
          <w:sz w:val="28"/>
          <w:szCs w:val="28"/>
        </w:rPr>
      </w:pPr>
      <w:hyperlink r:id="rId84" w:history="1">
        <w:r w:rsidR="00782640" w:rsidRPr="009B2280">
          <w:rPr>
            <w:rFonts w:ascii="Adelle Sans SemiBold" w:eastAsia="Calibri" w:hAnsi="Adelle Sans SemiBold" w:cs="Times New Roman"/>
            <w:b/>
            <w:bCs/>
            <w:color w:val="C00000"/>
            <w:sz w:val="28"/>
            <w:szCs w:val="28"/>
          </w:rPr>
          <w:t>www.cari.org.au</w:t>
        </w:r>
      </w:hyperlink>
    </w:p>
    <w:p w14:paraId="24E56CBB" w14:textId="77777777" w:rsidR="00782640" w:rsidRPr="00782640" w:rsidRDefault="00782640" w:rsidP="00782640">
      <w:pPr>
        <w:spacing w:after="0" w:line="240" w:lineRule="auto"/>
        <w:jc w:val="both"/>
        <w:rPr>
          <w:rFonts w:ascii="Calibri" w:eastAsia="Calibri" w:hAnsi="Calibri" w:cs="Times New Roman"/>
          <w:sz w:val="24"/>
          <w:szCs w:val="24"/>
          <w:u w:val="single"/>
        </w:rPr>
      </w:pPr>
    </w:p>
    <w:p w14:paraId="1088FC3B"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 xml:space="preserve">The KHA-CARI Guidelines are not indigenous-specific and cover topics related to: </w:t>
      </w:r>
    </w:p>
    <w:p w14:paraId="7241230C" w14:textId="77777777" w:rsidR="00782640" w:rsidRPr="00782640" w:rsidRDefault="00782640" w:rsidP="00782640">
      <w:pPr>
        <w:numPr>
          <w:ilvl w:val="0"/>
          <w:numId w:val="109"/>
        </w:num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 xml:space="preserve">Chronic Kidney Disease </w:t>
      </w:r>
    </w:p>
    <w:p w14:paraId="47EA655E" w14:textId="77777777" w:rsidR="00782640" w:rsidRPr="00782640" w:rsidRDefault="00782640" w:rsidP="00782640">
      <w:pPr>
        <w:numPr>
          <w:ilvl w:val="0"/>
          <w:numId w:val="109"/>
        </w:num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 xml:space="preserve">Dialysis </w:t>
      </w:r>
    </w:p>
    <w:p w14:paraId="063F911B" w14:textId="77777777" w:rsidR="00782640" w:rsidRPr="00782640" w:rsidRDefault="00782640" w:rsidP="00782640">
      <w:pPr>
        <w:numPr>
          <w:ilvl w:val="0"/>
          <w:numId w:val="109"/>
        </w:num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Transplantation</w:t>
      </w:r>
    </w:p>
    <w:p w14:paraId="4FAE7700" w14:textId="77777777" w:rsidR="00782640" w:rsidRPr="00782640" w:rsidRDefault="00782640" w:rsidP="00782640">
      <w:pPr>
        <w:spacing w:after="0" w:line="240" w:lineRule="auto"/>
        <w:jc w:val="both"/>
        <w:rPr>
          <w:rFonts w:ascii="Calibri" w:eastAsia="Calibri" w:hAnsi="Calibri" w:cs="Times New Roman"/>
          <w:sz w:val="24"/>
          <w:szCs w:val="24"/>
        </w:rPr>
      </w:pPr>
    </w:p>
    <w:p w14:paraId="73180BB2"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 xml:space="preserve">The KHA-CARI Guidelines background and Guidelines Writing process is described in detail on their website. Access to the Guidelines is free. The website has over 1000 unique visitors per month (KHA-CARI Annual Report 2017). </w:t>
      </w:r>
    </w:p>
    <w:p w14:paraId="7C859D8D" w14:textId="77777777" w:rsidR="00782640" w:rsidRPr="00782640" w:rsidRDefault="00782640" w:rsidP="00782640">
      <w:pPr>
        <w:spacing w:after="0" w:line="240" w:lineRule="auto"/>
        <w:jc w:val="both"/>
        <w:rPr>
          <w:rFonts w:ascii="Calibri" w:eastAsia="Calibri" w:hAnsi="Calibri" w:cs="Times New Roman"/>
          <w:sz w:val="24"/>
          <w:szCs w:val="24"/>
          <w:u w:val="single"/>
        </w:rPr>
      </w:pPr>
    </w:p>
    <w:p w14:paraId="2CFA2E06" w14:textId="77777777" w:rsidR="00782640" w:rsidRPr="00782640" w:rsidRDefault="00782640" w:rsidP="00782640">
      <w:pPr>
        <w:spacing w:after="0" w:line="240" w:lineRule="auto"/>
        <w:jc w:val="both"/>
        <w:rPr>
          <w:rFonts w:ascii="Calibri" w:eastAsia="Calibri" w:hAnsi="Calibri" w:cs="Times New Roman"/>
          <w:sz w:val="24"/>
          <w:szCs w:val="24"/>
        </w:rPr>
      </w:pPr>
      <w:r w:rsidRPr="00E1017A">
        <w:rPr>
          <w:rFonts w:ascii="Adelle Sans SemiBold" w:eastAsia="Calibri" w:hAnsi="Adelle Sans SemiBold" w:cs="Times New Roman"/>
          <w:b/>
          <w:bCs/>
          <w:i/>
          <w:iCs/>
          <w:color w:val="C00000"/>
          <w:sz w:val="22"/>
        </w:rPr>
        <w:t>Awareness:</w:t>
      </w:r>
      <w:r w:rsidRPr="00782640">
        <w:rPr>
          <w:rFonts w:ascii="Calibri" w:eastAsia="Calibri" w:hAnsi="Calibri" w:cs="Times New Roman"/>
          <w:sz w:val="24"/>
          <w:szCs w:val="24"/>
        </w:rPr>
        <w:t xml:space="preserve"> Awareness of the KHA-CARI Guidelines was high among nephrologists, but other health professionals felt there was less awareness of these guidelines by non-nephrologists. The KHA-CARI guidelines provide a valuable base for practice but are less known in the primary care community caring for indigenous patients. The lack of indigenous-specific content was felt to reduce awareness among health professionals engaged in care of </w:t>
      </w:r>
      <w:bookmarkStart w:id="103" w:name="_Hlk3663352"/>
      <w:r w:rsidRPr="00782640">
        <w:rPr>
          <w:rFonts w:ascii="Calibri" w:eastAsia="Calibri" w:hAnsi="Calibri" w:cs="Times New Roman"/>
          <w:sz w:val="24"/>
          <w:szCs w:val="24"/>
        </w:rPr>
        <w:t>Aboriginal and Torres Strait Islander</w:t>
      </w:r>
      <w:bookmarkEnd w:id="103"/>
      <w:r w:rsidRPr="00782640">
        <w:rPr>
          <w:rFonts w:ascii="Calibri" w:eastAsia="Calibri" w:hAnsi="Calibri" w:cs="Times New Roman"/>
          <w:sz w:val="24"/>
          <w:szCs w:val="24"/>
        </w:rPr>
        <w:t xml:space="preserve"> patients. In 2009, KHA-CARI produced guidelines for Diagnosis, Prevention and Management of Chronic Kidney Disease in Type 2 Diabetes in conjunction with the Diabetes Australia Guideline Development Consortium, however Aboriginal and Torres Strait Islander cohorts were not specifically addressed. </w:t>
      </w:r>
    </w:p>
    <w:p w14:paraId="14C46324" w14:textId="77777777" w:rsidR="00782640" w:rsidRPr="00782640" w:rsidRDefault="00782640" w:rsidP="00782640">
      <w:pPr>
        <w:spacing w:after="0" w:line="240" w:lineRule="auto"/>
        <w:jc w:val="both"/>
        <w:rPr>
          <w:rFonts w:ascii="Calibri" w:eastAsia="Calibri" w:hAnsi="Calibri" w:cs="Times New Roman"/>
          <w:sz w:val="24"/>
          <w:szCs w:val="24"/>
        </w:rPr>
      </w:pPr>
    </w:p>
    <w:p w14:paraId="4D1C1014" w14:textId="77777777" w:rsidR="00782640" w:rsidRPr="00782640" w:rsidRDefault="00782640" w:rsidP="00782640">
      <w:pPr>
        <w:spacing w:after="0" w:line="240" w:lineRule="auto"/>
        <w:jc w:val="both"/>
        <w:rPr>
          <w:rFonts w:ascii="Calibri" w:eastAsia="Calibri" w:hAnsi="Calibri" w:cs="Times New Roman"/>
          <w:sz w:val="24"/>
          <w:szCs w:val="24"/>
        </w:rPr>
      </w:pPr>
      <w:r w:rsidRPr="00E1017A">
        <w:rPr>
          <w:rFonts w:ascii="Adelle Sans SemiBold" w:eastAsia="Calibri" w:hAnsi="Adelle Sans SemiBold" w:cs="Times New Roman"/>
          <w:b/>
          <w:bCs/>
          <w:i/>
          <w:iCs/>
          <w:color w:val="C00000"/>
          <w:sz w:val="22"/>
        </w:rPr>
        <w:lastRenderedPageBreak/>
        <w:t>Barriers to Awareness and Use:</w:t>
      </w:r>
      <w:r w:rsidRPr="00782640">
        <w:rPr>
          <w:rFonts w:ascii="Calibri" w:eastAsia="Calibri" w:hAnsi="Calibri" w:cs="Times New Roman"/>
          <w:sz w:val="24"/>
          <w:szCs w:val="24"/>
        </w:rPr>
        <w:t xml:space="preserve"> The panel acknowledged that these evidence-based guidelines were very important and should underpin recommendations for care of Aboriginal and Torres Strait Islander patients. However, it was noted that often evidence-based guidelines published in journals or on websites are not necessarily referred to by all healthcare professionals. Guidelines that are in hardcopy format in clinics were more likely to be utilised. </w:t>
      </w:r>
    </w:p>
    <w:p w14:paraId="48A1AB5A" w14:textId="77777777" w:rsidR="00782640" w:rsidRPr="00782640" w:rsidRDefault="00782640" w:rsidP="00782640">
      <w:pPr>
        <w:spacing w:after="0" w:line="240" w:lineRule="auto"/>
        <w:jc w:val="both"/>
        <w:rPr>
          <w:rFonts w:ascii="Calibri" w:eastAsia="Calibri" w:hAnsi="Calibri" w:cs="Times New Roman"/>
          <w:sz w:val="24"/>
          <w:szCs w:val="24"/>
        </w:rPr>
      </w:pPr>
    </w:p>
    <w:p w14:paraId="7D377E99"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 xml:space="preserve">Those that were aware of the KHA-CARI guidelines considered them very academic and perceive them to be information for specialist clinicians and “not routinely used in the field”. It was acknowledged that a more “useable” format is desired by health professionals. </w:t>
      </w:r>
    </w:p>
    <w:p w14:paraId="5500AACB" w14:textId="77777777" w:rsidR="00782640" w:rsidRPr="00782640" w:rsidRDefault="00782640" w:rsidP="00782640">
      <w:pPr>
        <w:spacing w:after="0" w:line="240" w:lineRule="auto"/>
        <w:jc w:val="both"/>
        <w:rPr>
          <w:rFonts w:ascii="Calibri" w:eastAsia="Calibri" w:hAnsi="Calibri" w:cs="Times New Roman"/>
          <w:sz w:val="24"/>
          <w:szCs w:val="24"/>
        </w:rPr>
      </w:pPr>
    </w:p>
    <w:p w14:paraId="15A5074A"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 xml:space="preserve">The lack of consumer versions of the guidelines enabling patients to understand the management of their disease was raised. The recent production of consumer versions of guidelines by KHA-CARI was welcomed as an important initiative. </w:t>
      </w:r>
    </w:p>
    <w:p w14:paraId="771557AE" w14:textId="77777777" w:rsidR="00782640" w:rsidRPr="00782640" w:rsidRDefault="00782640" w:rsidP="00782640">
      <w:pPr>
        <w:spacing w:after="0" w:line="240" w:lineRule="auto"/>
        <w:jc w:val="both"/>
        <w:rPr>
          <w:rFonts w:ascii="Calibri" w:eastAsia="Calibri" w:hAnsi="Calibri" w:cs="Times New Roman"/>
          <w:sz w:val="24"/>
          <w:szCs w:val="24"/>
        </w:rPr>
      </w:pPr>
    </w:p>
    <w:p w14:paraId="08D19817" w14:textId="77777777" w:rsidR="00782640" w:rsidRPr="00782640" w:rsidRDefault="00782640" w:rsidP="00782640">
      <w:pPr>
        <w:spacing w:after="0" w:line="240" w:lineRule="auto"/>
        <w:jc w:val="both"/>
        <w:rPr>
          <w:rFonts w:ascii="Calibri" w:eastAsia="Calibri" w:hAnsi="Calibri" w:cs="Times New Roman"/>
          <w:sz w:val="24"/>
          <w:szCs w:val="24"/>
          <w:u w:val="single"/>
        </w:rPr>
      </w:pPr>
    </w:p>
    <w:p w14:paraId="6BC450CB" w14:textId="7C1C0A46" w:rsidR="00782640" w:rsidRDefault="00782640" w:rsidP="00782640">
      <w:pPr>
        <w:spacing w:after="0" w:line="240" w:lineRule="auto"/>
        <w:rPr>
          <w:rFonts w:ascii="Adelle Sans Light" w:eastAsia="Calibri" w:hAnsi="Adelle Sans Light" w:cs="Times New Roman"/>
          <w:color w:val="C00000"/>
          <w:sz w:val="40"/>
          <w:szCs w:val="40"/>
        </w:rPr>
      </w:pPr>
      <w:r w:rsidRPr="00EC7110">
        <w:rPr>
          <w:rFonts w:ascii="Adelle Sans Light" w:eastAsia="Calibri" w:hAnsi="Adelle Sans Light" w:cs="Times New Roman"/>
          <w:color w:val="C00000"/>
          <w:sz w:val="40"/>
          <w:szCs w:val="40"/>
        </w:rPr>
        <w:t xml:space="preserve">2. Kidney Health Australia Chronic Kidney Disease Management in General Practice handbook (the ‘Handbook’) </w:t>
      </w:r>
    </w:p>
    <w:p w14:paraId="5AC31A63" w14:textId="77777777" w:rsidR="00EC7110" w:rsidRPr="00EC7110" w:rsidRDefault="00EC7110" w:rsidP="00782640">
      <w:pPr>
        <w:spacing w:after="0" w:line="240" w:lineRule="auto"/>
        <w:rPr>
          <w:rFonts w:ascii="Adelle Sans Light" w:eastAsia="Calibri" w:hAnsi="Adelle Sans Light" w:cs="Times New Roman"/>
          <w:color w:val="C00000"/>
          <w:sz w:val="40"/>
          <w:szCs w:val="40"/>
        </w:rPr>
      </w:pPr>
    </w:p>
    <w:p w14:paraId="655C5C8D" w14:textId="77777777" w:rsidR="00782640" w:rsidRPr="00EC7110" w:rsidRDefault="00D32AD3" w:rsidP="00782640">
      <w:pPr>
        <w:spacing w:after="0" w:line="240" w:lineRule="auto"/>
        <w:rPr>
          <w:rFonts w:ascii="Adelle Sans SemiBold" w:eastAsia="Calibri" w:hAnsi="Adelle Sans SemiBold" w:cs="Times New Roman"/>
          <w:b/>
          <w:bCs/>
          <w:color w:val="C00000"/>
          <w:sz w:val="28"/>
          <w:szCs w:val="28"/>
        </w:rPr>
      </w:pPr>
      <w:hyperlink r:id="rId85" w:history="1">
        <w:r w:rsidR="00782640" w:rsidRPr="00EC7110">
          <w:rPr>
            <w:rFonts w:ascii="Adelle Sans SemiBold" w:eastAsia="Calibri" w:hAnsi="Adelle Sans SemiBold" w:cs="Times New Roman"/>
            <w:b/>
            <w:bCs/>
            <w:color w:val="C00000"/>
            <w:sz w:val="28"/>
            <w:szCs w:val="28"/>
          </w:rPr>
          <w:t>https://kidney.org.au/health-professionals/prevent/chronic-kidney-disease-management-handbook</w:t>
        </w:r>
      </w:hyperlink>
    </w:p>
    <w:p w14:paraId="23578124" w14:textId="77777777" w:rsidR="00782640" w:rsidRPr="00782640" w:rsidRDefault="00782640" w:rsidP="00782640">
      <w:pPr>
        <w:spacing w:after="0" w:line="240" w:lineRule="auto"/>
        <w:jc w:val="both"/>
        <w:rPr>
          <w:rFonts w:ascii="Calibri" w:eastAsia="Calibri" w:hAnsi="Calibri" w:cs="Times New Roman"/>
          <w:sz w:val="24"/>
          <w:szCs w:val="24"/>
        </w:rPr>
      </w:pPr>
    </w:p>
    <w:p w14:paraId="41935B78" w14:textId="77777777" w:rsidR="009B228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noProof/>
          <w:sz w:val="24"/>
          <w:szCs w:val="24"/>
          <w:lang w:eastAsia="en-AU"/>
        </w:rPr>
        <w:drawing>
          <wp:inline distT="0" distB="0" distL="0" distR="0" wp14:anchorId="097897D3" wp14:editId="14F63FC7">
            <wp:extent cx="1838960" cy="2609850"/>
            <wp:effectExtent l="0" t="0" r="8890" b="0"/>
            <wp:docPr id="266" name="Picture 266" descr="Picture of CKD Management in General Practice 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KDMH_Cover.jpg"/>
                    <pic:cNvPicPr/>
                  </pic:nvPicPr>
                  <pic:blipFill>
                    <a:blip r:embed="rId86" cstate="email">
                      <a:extLst>
                        <a:ext uri="{28A0092B-C50C-407E-A947-70E740481C1C}">
                          <a14:useLocalDpi xmlns:a14="http://schemas.microsoft.com/office/drawing/2010/main"/>
                        </a:ext>
                      </a:extLst>
                    </a:blip>
                    <a:stretch>
                      <a:fillRect/>
                    </a:stretch>
                  </pic:blipFill>
                  <pic:spPr>
                    <a:xfrm>
                      <a:off x="0" y="0"/>
                      <a:ext cx="1838960" cy="2609850"/>
                    </a:xfrm>
                    <a:prstGeom prst="rect">
                      <a:avLst/>
                    </a:prstGeom>
                  </pic:spPr>
                </pic:pic>
              </a:graphicData>
            </a:graphic>
          </wp:inline>
        </w:drawing>
      </w:r>
    </w:p>
    <w:p w14:paraId="6F01F57A" w14:textId="755E669C"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The Chronic Kidney Disease (CKD) Management in General Practice handbook is in its 3</w:t>
      </w:r>
      <w:r w:rsidRPr="00782640">
        <w:rPr>
          <w:rFonts w:ascii="Calibri" w:eastAsia="Calibri" w:hAnsi="Calibri" w:cs="Times New Roman"/>
          <w:sz w:val="24"/>
          <w:szCs w:val="24"/>
          <w:vertAlign w:val="superscript"/>
        </w:rPr>
        <w:t>rd</w:t>
      </w:r>
      <w:r w:rsidRPr="00782640">
        <w:rPr>
          <w:rFonts w:ascii="Calibri" w:eastAsia="Calibri" w:hAnsi="Calibri" w:cs="Times New Roman"/>
          <w:sz w:val="24"/>
          <w:szCs w:val="24"/>
        </w:rPr>
        <w:t xml:space="preserve"> edition and a 4</w:t>
      </w:r>
      <w:r w:rsidRPr="00782640">
        <w:rPr>
          <w:rFonts w:ascii="Calibri" w:eastAsia="Calibri" w:hAnsi="Calibri" w:cs="Times New Roman"/>
          <w:sz w:val="24"/>
          <w:szCs w:val="24"/>
          <w:vertAlign w:val="superscript"/>
        </w:rPr>
        <w:t>th</w:t>
      </w:r>
      <w:r w:rsidRPr="00782640">
        <w:rPr>
          <w:rFonts w:ascii="Calibri" w:eastAsia="Calibri" w:hAnsi="Calibri" w:cs="Times New Roman"/>
          <w:sz w:val="24"/>
          <w:szCs w:val="24"/>
        </w:rPr>
        <w:t xml:space="preserve"> edition will be released in 2019. Content of the Handbook is determined by the multidisciplinary Primary Care Education Advisory Committee for Kidney Health Australia (PEAK). The content is derived from the evidence-based recommendations from the KHA-CARI Guideline on “Early chronic kidney disease: Detection, Prevention and Management”</w:t>
      </w:r>
      <w:sdt>
        <w:sdtPr>
          <w:rPr>
            <w:rFonts w:ascii="Calibri" w:eastAsia="Calibri" w:hAnsi="Calibri" w:cs="Times New Roman"/>
            <w:sz w:val="24"/>
            <w:szCs w:val="24"/>
          </w:rPr>
          <w:id w:val="-1599321601"/>
          <w:citation/>
        </w:sdtPr>
        <w:sdtEndPr/>
        <w:sdtContent>
          <w:r w:rsidRPr="00782640">
            <w:rPr>
              <w:rFonts w:ascii="Calibri" w:eastAsia="Calibri" w:hAnsi="Calibri" w:cs="Times New Roman"/>
              <w:sz w:val="24"/>
              <w:szCs w:val="24"/>
            </w:rPr>
            <w:fldChar w:fldCharType="begin"/>
          </w:r>
          <w:r w:rsidRPr="00782640">
            <w:rPr>
              <w:rFonts w:ascii="Calibri" w:eastAsia="Calibri" w:hAnsi="Calibri" w:cs="Times New Roman"/>
              <w:sz w:val="24"/>
              <w:szCs w:val="24"/>
            </w:rPr>
            <w:instrText xml:space="preserve"> CITATION Joh13 \l 3081 </w:instrText>
          </w:r>
          <w:r w:rsidRPr="00782640">
            <w:rPr>
              <w:rFonts w:ascii="Calibri" w:eastAsia="Calibri" w:hAnsi="Calibri" w:cs="Times New Roman"/>
              <w:sz w:val="24"/>
              <w:szCs w:val="24"/>
            </w:rPr>
            <w:fldChar w:fldCharType="separate"/>
          </w:r>
          <w:r w:rsidRPr="00782640">
            <w:rPr>
              <w:rFonts w:ascii="Calibri" w:eastAsia="Calibri" w:hAnsi="Calibri" w:cs="Times New Roman"/>
              <w:noProof/>
              <w:sz w:val="24"/>
              <w:szCs w:val="24"/>
            </w:rPr>
            <w:t xml:space="preserve"> (Johnson DW, 2013)</w:t>
          </w:r>
          <w:r w:rsidRPr="00782640">
            <w:rPr>
              <w:rFonts w:ascii="Calibri" w:eastAsia="Calibri" w:hAnsi="Calibri" w:cs="Times New Roman"/>
              <w:sz w:val="24"/>
              <w:szCs w:val="24"/>
            </w:rPr>
            <w:fldChar w:fldCharType="end"/>
          </w:r>
        </w:sdtContent>
      </w:sdt>
      <w:r w:rsidRPr="00782640">
        <w:rPr>
          <w:rFonts w:ascii="Calibri" w:eastAsia="Calibri" w:hAnsi="Calibri" w:cs="Times New Roman"/>
          <w:sz w:val="24"/>
          <w:szCs w:val="24"/>
        </w:rPr>
        <w:t xml:space="preserve">, as well as current literature and expert opinion.  The Handbook provides summarised advice on detection and management of early CKD (to stage 3a/b).  Kidney Health Australia has surveyed users of the Handbook who indicated the resource is well </w:t>
      </w:r>
      <w:r w:rsidRPr="00782640">
        <w:rPr>
          <w:rFonts w:ascii="Calibri" w:eastAsia="Calibri" w:hAnsi="Calibri" w:cs="Times New Roman"/>
          <w:sz w:val="24"/>
          <w:szCs w:val="24"/>
        </w:rPr>
        <w:lastRenderedPageBreak/>
        <w:t xml:space="preserve">utilised within general practice including nurses. It is the highest downloaded resource from the Kidney Health Australia website. The App version of the Handbook (the CKD-Go App) is one of the most utilised medical Apps in Australia.  </w:t>
      </w:r>
    </w:p>
    <w:p w14:paraId="39333A63" w14:textId="77777777" w:rsidR="00782640" w:rsidRPr="00782640" w:rsidRDefault="00782640" w:rsidP="00782640">
      <w:pPr>
        <w:spacing w:after="0" w:line="240" w:lineRule="auto"/>
        <w:jc w:val="both"/>
        <w:rPr>
          <w:rFonts w:ascii="Calibri" w:eastAsia="Calibri" w:hAnsi="Calibri" w:cs="Times New Roman"/>
          <w:sz w:val="24"/>
          <w:szCs w:val="24"/>
        </w:rPr>
      </w:pPr>
    </w:p>
    <w:p w14:paraId="7D53C58C" w14:textId="77777777" w:rsidR="00782640" w:rsidRPr="00782640" w:rsidRDefault="00782640" w:rsidP="00782640">
      <w:pPr>
        <w:spacing w:after="0" w:line="240" w:lineRule="auto"/>
        <w:jc w:val="both"/>
        <w:rPr>
          <w:rFonts w:ascii="Calibri" w:eastAsia="Calibri" w:hAnsi="Calibri" w:cs="Times New Roman"/>
          <w:sz w:val="24"/>
          <w:szCs w:val="24"/>
        </w:rPr>
      </w:pPr>
      <w:r w:rsidRPr="00E1017A">
        <w:rPr>
          <w:rFonts w:ascii="Adelle Sans SemiBold" w:eastAsia="Calibri" w:hAnsi="Adelle Sans SemiBold" w:cs="Times New Roman"/>
          <w:b/>
          <w:bCs/>
          <w:i/>
          <w:iCs/>
          <w:color w:val="C00000"/>
          <w:sz w:val="22"/>
        </w:rPr>
        <w:t xml:space="preserve">Awareness:  </w:t>
      </w:r>
      <w:r w:rsidRPr="00782640">
        <w:rPr>
          <w:rFonts w:ascii="Calibri" w:eastAsia="Calibri" w:hAnsi="Calibri" w:cs="Times New Roman"/>
          <w:sz w:val="24"/>
          <w:szCs w:val="24"/>
        </w:rPr>
        <w:t xml:space="preserve">The Handbook was noted by the panel to be a widely used resource in Indigenous Primary care. It was considered to be a practical and accessible document, used widely “out in the field” due to its easy-to-use style and hard copy format. Key information is quick to locate. The CKD staging poster and colour-coded action plans (based on the Handbook) are considered a very useful quick reference guide by general practitioners, especially regarding when to refer to a nephrologist. </w:t>
      </w:r>
      <w:proofErr w:type="spellStart"/>
      <w:r w:rsidRPr="00782640">
        <w:rPr>
          <w:rFonts w:ascii="Calibri" w:eastAsia="Calibri" w:hAnsi="Calibri" w:cs="Times New Roman"/>
          <w:sz w:val="24"/>
          <w:szCs w:val="24"/>
        </w:rPr>
        <w:t>Apunipima</w:t>
      </w:r>
      <w:proofErr w:type="spellEnd"/>
      <w:r w:rsidRPr="00782640">
        <w:rPr>
          <w:rFonts w:ascii="Calibri" w:eastAsia="Calibri" w:hAnsi="Calibri" w:cs="Times New Roman"/>
          <w:sz w:val="24"/>
          <w:szCs w:val="24"/>
        </w:rPr>
        <w:t xml:space="preserve"> Cape York Health Council promotes the Kidney Health Australia Handbook to general practitioners including locums in North Queensland and remote areas. The Handbook was utilised by medical, nursing and allied health staff, as it was simple to read and use. </w:t>
      </w:r>
    </w:p>
    <w:p w14:paraId="11CE870B" w14:textId="77777777" w:rsidR="00782640" w:rsidRPr="00782640" w:rsidRDefault="00782640" w:rsidP="00782640">
      <w:pPr>
        <w:spacing w:after="0" w:line="240" w:lineRule="auto"/>
        <w:jc w:val="both"/>
        <w:rPr>
          <w:rFonts w:ascii="Calibri" w:eastAsia="Calibri" w:hAnsi="Calibri" w:cs="Times New Roman"/>
          <w:i/>
          <w:sz w:val="24"/>
          <w:szCs w:val="24"/>
        </w:rPr>
      </w:pPr>
    </w:p>
    <w:p w14:paraId="3B1F7C26" w14:textId="77777777" w:rsidR="00782640" w:rsidRPr="00782640" w:rsidRDefault="00782640" w:rsidP="00782640">
      <w:pPr>
        <w:spacing w:after="0" w:line="240" w:lineRule="auto"/>
        <w:jc w:val="both"/>
        <w:rPr>
          <w:rFonts w:ascii="Calibri" w:eastAsia="Calibri" w:hAnsi="Calibri" w:cs="Times New Roman"/>
          <w:sz w:val="24"/>
          <w:szCs w:val="24"/>
        </w:rPr>
      </w:pPr>
      <w:r w:rsidRPr="00E1017A">
        <w:rPr>
          <w:rFonts w:ascii="Adelle Sans SemiBold" w:eastAsia="Calibri" w:hAnsi="Adelle Sans SemiBold" w:cs="Times New Roman"/>
          <w:b/>
          <w:bCs/>
          <w:i/>
          <w:iCs/>
          <w:color w:val="C00000"/>
          <w:sz w:val="22"/>
        </w:rPr>
        <w:t>Barriers to Awareness and Use:</w:t>
      </w:r>
      <w:r w:rsidRPr="00782640">
        <w:rPr>
          <w:rFonts w:ascii="Calibri" w:eastAsia="Calibri" w:hAnsi="Calibri" w:cs="Times New Roman"/>
          <w:i/>
          <w:sz w:val="24"/>
          <w:szCs w:val="24"/>
        </w:rPr>
        <w:t xml:space="preserve">  </w:t>
      </w:r>
      <w:r w:rsidRPr="00782640">
        <w:rPr>
          <w:rFonts w:ascii="Calibri" w:eastAsia="Calibri" w:hAnsi="Calibri" w:cs="Times New Roman"/>
          <w:sz w:val="24"/>
          <w:szCs w:val="24"/>
        </w:rPr>
        <w:t xml:space="preserve">Overall, an expansion of indigenous-specific content was strongly recommended.  The panel had varied comments on Indigenous-specific content within the handbook, ranging from “lacking” to “good”. The Handbook lacked of recognition of cultural, spiritual and psychological health dimensions of kidney disease, which is particularly relevant to indigenous patients (but also to all patients).  </w:t>
      </w:r>
    </w:p>
    <w:p w14:paraId="41EA9EC3" w14:textId="77777777" w:rsidR="00782640" w:rsidRPr="00782640" w:rsidRDefault="00782640" w:rsidP="00782640">
      <w:pPr>
        <w:spacing w:after="0" w:line="240" w:lineRule="auto"/>
        <w:jc w:val="both"/>
        <w:rPr>
          <w:rFonts w:ascii="Calibri" w:eastAsia="Calibri" w:hAnsi="Calibri" w:cs="Times New Roman"/>
          <w:sz w:val="24"/>
          <w:szCs w:val="24"/>
        </w:rPr>
      </w:pPr>
    </w:p>
    <w:p w14:paraId="60D97A53" w14:textId="77777777" w:rsidR="00782640" w:rsidRPr="00782640" w:rsidRDefault="00782640" w:rsidP="00782640">
      <w:pPr>
        <w:spacing w:after="0" w:line="240" w:lineRule="auto"/>
        <w:jc w:val="both"/>
        <w:rPr>
          <w:rFonts w:ascii="Calibri" w:eastAsia="Calibri" w:hAnsi="Calibri" w:cs="Times New Roman"/>
          <w:sz w:val="24"/>
          <w:szCs w:val="24"/>
        </w:rPr>
      </w:pPr>
    </w:p>
    <w:p w14:paraId="1236BA0A"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To address this gap, organisations in some regions of Australia have drawn on KHA-CARI guidelines and the Handbook to develop local protocols and/or manuals that fit with local conditions and practice (see below).</w:t>
      </w:r>
    </w:p>
    <w:p w14:paraId="588BDD16"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 xml:space="preserve">  </w:t>
      </w:r>
    </w:p>
    <w:p w14:paraId="08AD6B77" w14:textId="77777777" w:rsidR="00782640" w:rsidRPr="00782640" w:rsidRDefault="00782640" w:rsidP="00782640">
      <w:pPr>
        <w:spacing w:after="0" w:line="240" w:lineRule="auto"/>
        <w:jc w:val="both"/>
        <w:rPr>
          <w:rFonts w:ascii="Calibri" w:eastAsia="Calibri" w:hAnsi="Calibri" w:cs="Times New Roman"/>
          <w:sz w:val="24"/>
          <w:szCs w:val="24"/>
        </w:rPr>
      </w:pPr>
    </w:p>
    <w:p w14:paraId="000058E0" w14:textId="77777777" w:rsidR="00782640" w:rsidRPr="00EC7110" w:rsidRDefault="00782640" w:rsidP="00782640">
      <w:pPr>
        <w:spacing w:after="0" w:line="240" w:lineRule="auto"/>
        <w:jc w:val="both"/>
        <w:rPr>
          <w:rFonts w:ascii="Adelle Sans Light" w:eastAsia="Calibri" w:hAnsi="Adelle Sans Light" w:cs="Times New Roman"/>
          <w:color w:val="C00000"/>
          <w:sz w:val="40"/>
          <w:szCs w:val="40"/>
        </w:rPr>
      </w:pPr>
      <w:r w:rsidRPr="00EC7110">
        <w:rPr>
          <w:rFonts w:ascii="Adelle Sans Light" w:eastAsia="Calibri" w:hAnsi="Adelle Sans Light" w:cs="Times New Roman"/>
          <w:color w:val="C00000"/>
          <w:sz w:val="40"/>
          <w:szCs w:val="40"/>
        </w:rPr>
        <w:t xml:space="preserve">3. RACGP / NACCHO National Guide to a Preventative Health Assessment for Aboriginal and Torres Strait Islander peoples </w:t>
      </w:r>
    </w:p>
    <w:p w14:paraId="285E3609" w14:textId="77777777" w:rsidR="00782640" w:rsidRPr="00EC7110" w:rsidRDefault="00D32AD3" w:rsidP="00782640">
      <w:pPr>
        <w:spacing w:after="0" w:line="240" w:lineRule="auto"/>
        <w:rPr>
          <w:rFonts w:ascii="Adelle Sans SemiBold" w:eastAsia="Calibri" w:hAnsi="Adelle Sans SemiBold" w:cs="Times New Roman"/>
          <w:b/>
          <w:bCs/>
          <w:color w:val="C00000"/>
          <w:sz w:val="28"/>
          <w:szCs w:val="28"/>
        </w:rPr>
      </w:pPr>
      <w:hyperlink r:id="rId87" w:history="1">
        <w:r w:rsidR="00782640" w:rsidRPr="00EC7110">
          <w:rPr>
            <w:rFonts w:ascii="Adelle Sans SemiBold" w:eastAsia="Calibri" w:hAnsi="Adelle Sans SemiBold" w:cs="Times New Roman"/>
            <w:b/>
            <w:bCs/>
            <w:color w:val="C00000"/>
            <w:sz w:val="28"/>
            <w:szCs w:val="28"/>
          </w:rPr>
          <w:t>https://www.racgp.org.au/clinical-resources/clinical-guidelines/key-racgp-guidelines/view-all-racgp-guidelines/national-guide</w:t>
        </w:r>
      </w:hyperlink>
    </w:p>
    <w:p w14:paraId="414BB4A3" w14:textId="77777777" w:rsidR="00782640" w:rsidRPr="00782640" w:rsidRDefault="00782640" w:rsidP="00782640">
      <w:pPr>
        <w:spacing w:after="0" w:line="240" w:lineRule="auto"/>
        <w:jc w:val="both"/>
        <w:rPr>
          <w:rFonts w:ascii="Calibri" w:eastAsia="Calibri" w:hAnsi="Calibri" w:cs="Times New Roman"/>
          <w:sz w:val="24"/>
          <w:szCs w:val="24"/>
          <w:u w:val="single"/>
        </w:rPr>
      </w:pPr>
    </w:p>
    <w:p w14:paraId="105DAFC7"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The Royal Australian College of General Practitioners (RACGP) together with the National Aboriginal Community Controlled Health Organisation (NACCHO) have developed the National Guide to a preventive health assessment for Aboriginal and Torres Strait Islander peoples, now in its third edition. This broad-ranging, practical resource for primary care management includes a brief, evidence-based chapter on key recommendations for CKD management, aligned with the RACGP Red Book (</w:t>
      </w:r>
      <w:r w:rsidRPr="00782640">
        <w:rPr>
          <w:rFonts w:ascii="Calibri" w:eastAsia="Calibri" w:hAnsi="Calibri" w:cs="Times New Roman"/>
          <w:i/>
          <w:sz w:val="24"/>
          <w:szCs w:val="24"/>
        </w:rPr>
        <w:t>Guidelines for preventive activities in general practice</w:t>
      </w:r>
      <w:r w:rsidRPr="00782640">
        <w:rPr>
          <w:rFonts w:ascii="Calibri" w:eastAsia="Calibri" w:hAnsi="Calibri" w:cs="Times New Roman"/>
          <w:sz w:val="24"/>
          <w:szCs w:val="24"/>
        </w:rPr>
        <w:t xml:space="preserve">), Kidney Health Australia Handbook and KHA-CARI Guidelines. The RACGP and NACCHO promote these guidelines, and in 2018-19 have undertaken a review of implementation strategies to facilitate integration into clinical practice and better care.  </w:t>
      </w:r>
    </w:p>
    <w:p w14:paraId="752D219B" w14:textId="77777777" w:rsidR="00782640" w:rsidRPr="00782640" w:rsidRDefault="00782640" w:rsidP="00782640">
      <w:pPr>
        <w:spacing w:after="0" w:line="240" w:lineRule="auto"/>
        <w:jc w:val="both"/>
        <w:rPr>
          <w:rFonts w:ascii="Calibri" w:eastAsia="Calibri" w:hAnsi="Calibri" w:cs="Times New Roman"/>
          <w:sz w:val="24"/>
          <w:szCs w:val="24"/>
        </w:rPr>
      </w:pPr>
    </w:p>
    <w:p w14:paraId="5F6F3FFA" w14:textId="77777777" w:rsidR="00782640" w:rsidRPr="00782640" w:rsidRDefault="00782640" w:rsidP="00782640">
      <w:pPr>
        <w:spacing w:after="0" w:line="240" w:lineRule="auto"/>
        <w:jc w:val="both"/>
        <w:rPr>
          <w:rFonts w:ascii="Calibri" w:eastAsia="Calibri" w:hAnsi="Calibri" w:cs="Times New Roman"/>
          <w:sz w:val="24"/>
          <w:szCs w:val="24"/>
        </w:rPr>
      </w:pPr>
      <w:r w:rsidRPr="00E1017A">
        <w:rPr>
          <w:rFonts w:ascii="Adelle Sans SemiBold" w:eastAsia="Calibri" w:hAnsi="Adelle Sans SemiBold" w:cs="Times New Roman"/>
          <w:b/>
          <w:bCs/>
          <w:i/>
          <w:iCs/>
          <w:color w:val="C00000"/>
          <w:sz w:val="22"/>
        </w:rPr>
        <w:t>Awareness and Use:</w:t>
      </w:r>
      <w:r w:rsidRPr="00782640">
        <w:rPr>
          <w:rFonts w:ascii="Calibri" w:eastAsia="Calibri" w:hAnsi="Calibri" w:cs="Times New Roman"/>
          <w:sz w:val="24"/>
          <w:szCs w:val="24"/>
        </w:rPr>
        <w:t xml:space="preserve">  Some health service representatives were unaware of this national guide, while others knew of it but indicated it was not used locally.  In some areas, the national guideline is adapted to suit local settings and requirements, with many working locally on </w:t>
      </w:r>
      <w:r w:rsidRPr="00782640">
        <w:rPr>
          <w:rFonts w:ascii="Calibri" w:eastAsia="Calibri" w:hAnsi="Calibri" w:cs="Times New Roman"/>
          <w:sz w:val="24"/>
          <w:szCs w:val="24"/>
        </w:rPr>
        <w:lastRenderedPageBreak/>
        <w:t xml:space="preserve">how to best deliver care. The kidney-specific chapter is very brief and key recommendations are contained within other guidelines and resources including the Kidney Health Australia Handbook. </w:t>
      </w:r>
    </w:p>
    <w:p w14:paraId="49F63FA6" w14:textId="77777777" w:rsidR="00782640" w:rsidRPr="00782640" w:rsidRDefault="00782640" w:rsidP="00782640">
      <w:pPr>
        <w:spacing w:after="0" w:line="240" w:lineRule="auto"/>
        <w:jc w:val="both"/>
        <w:rPr>
          <w:rFonts w:ascii="Calibri" w:eastAsia="Calibri" w:hAnsi="Calibri" w:cs="Times New Roman"/>
          <w:sz w:val="24"/>
          <w:szCs w:val="24"/>
        </w:rPr>
      </w:pPr>
    </w:p>
    <w:p w14:paraId="06F49761" w14:textId="77777777" w:rsidR="00782640" w:rsidRPr="00782640" w:rsidRDefault="00782640" w:rsidP="00782640">
      <w:pPr>
        <w:spacing w:after="0" w:line="240" w:lineRule="auto"/>
        <w:jc w:val="both"/>
        <w:rPr>
          <w:rFonts w:ascii="Calibri" w:eastAsia="Calibri" w:hAnsi="Calibri" w:cs="Times New Roman"/>
          <w:sz w:val="24"/>
          <w:szCs w:val="24"/>
        </w:rPr>
      </w:pPr>
    </w:p>
    <w:p w14:paraId="70601012" w14:textId="77777777" w:rsidR="00782640" w:rsidRPr="00E1017A" w:rsidRDefault="00782640" w:rsidP="00782640">
      <w:pPr>
        <w:spacing w:after="0" w:line="240" w:lineRule="auto"/>
        <w:jc w:val="both"/>
        <w:rPr>
          <w:rFonts w:ascii="Calibri" w:eastAsia="Calibri" w:hAnsi="Calibri" w:cs="Times New Roman"/>
          <w:color w:val="C00000"/>
          <w:sz w:val="24"/>
          <w:szCs w:val="24"/>
        </w:rPr>
      </w:pPr>
      <w:r w:rsidRPr="00E1017A">
        <w:rPr>
          <w:rFonts w:ascii="Adelle Sans Light" w:eastAsia="Calibri" w:hAnsi="Adelle Sans Light" w:cs="Times New Roman"/>
          <w:color w:val="C00000"/>
          <w:sz w:val="40"/>
          <w:szCs w:val="40"/>
        </w:rPr>
        <w:t xml:space="preserve">4. CARPA Standard Treatment Manual – 7th Edition </w:t>
      </w:r>
    </w:p>
    <w:p w14:paraId="30556658" w14:textId="77777777" w:rsidR="00782640" w:rsidRPr="00E1017A" w:rsidRDefault="00D32AD3" w:rsidP="00782640">
      <w:pPr>
        <w:spacing w:after="0" w:line="240" w:lineRule="auto"/>
        <w:rPr>
          <w:rFonts w:ascii="Adelle Sans SemiBold" w:eastAsia="Calibri" w:hAnsi="Adelle Sans SemiBold" w:cs="Times New Roman"/>
          <w:b/>
          <w:bCs/>
          <w:color w:val="C00000"/>
          <w:sz w:val="28"/>
          <w:szCs w:val="28"/>
        </w:rPr>
      </w:pPr>
      <w:hyperlink r:id="rId88" w:history="1">
        <w:r w:rsidR="00782640" w:rsidRPr="00E1017A">
          <w:rPr>
            <w:rFonts w:ascii="Adelle Sans SemiBold" w:eastAsia="Calibri" w:hAnsi="Adelle Sans SemiBold" w:cs="Times New Roman"/>
            <w:b/>
            <w:bCs/>
            <w:color w:val="C00000"/>
            <w:sz w:val="28"/>
            <w:szCs w:val="28"/>
          </w:rPr>
          <w:t>https://www.crh.org.au/the-manuals/carpa-standard-treatment-manual-7th-edition</w:t>
        </w:r>
      </w:hyperlink>
    </w:p>
    <w:p w14:paraId="574415B5" w14:textId="77777777" w:rsidR="00782640" w:rsidRPr="00782640" w:rsidRDefault="00782640" w:rsidP="00782640">
      <w:pPr>
        <w:spacing w:after="0" w:line="240" w:lineRule="auto"/>
        <w:contextualSpacing/>
        <w:jc w:val="both"/>
        <w:rPr>
          <w:rFonts w:ascii="Calibri" w:eastAsia="Calibri" w:hAnsi="Calibri" w:cs="Times New Roman"/>
          <w:sz w:val="24"/>
          <w:szCs w:val="24"/>
        </w:rPr>
      </w:pPr>
    </w:p>
    <w:p w14:paraId="6A01B57D" w14:textId="77777777" w:rsidR="00782640" w:rsidRPr="00782640" w:rsidRDefault="00782640" w:rsidP="00782640">
      <w:p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This manual of protocols on a very wide range of acute and chronic conditions was developed by the Central Australia Rural Practitioners Association (CARPA) and Centre for Remote Health, Flinders University. It was described by the panel as driven by GPs, informed by specialists, and is very specific to the Northern Territory (NT) catchment area and remote clinicians who may lack specific relevant training.  The manual’s section on CKD utilises information from the Kidney Health Australia Handbook and KHA-CARI Guidelines. </w:t>
      </w:r>
    </w:p>
    <w:p w14:paraId="5E9C7C76" w14:textId="77777777" w:rsidR="00782640" w:rsidRPr="00782640" w:rsidRDefault="00782640" w:rsidP="00782640">
      <w:pPr>
        <w:spacing w:after="0" w:line="240" w:lineRule="auto"/>
        <w:contextualSpacing/>
        <w:jc w:val="both"/>
        <w:rPr>
          <w:rFonts w:ascii="Calibri" w:eastAsia="Calibri" w:hAnsi="Calibri" w:cs="Times New Roman"/>
          <w:i/>
          <w:sz w:val="24"/>
          <w:szCs w:val="24"/>
        </w:rPr>
      </w:pPr>
    </w:p>
    <w:p w14:paraId="345FA4F7" w14:textId="77777777" w:rsidR="00782640" w:rsidRPr="00782640" w:rsidRDefault="00782640" w:rsidP="00782640">
      <w:pPr>
        <w:spacing w:after="0" w:line="240" w:lineRule="auto"/>
        <w:jc w:val="both"/>
        <w:rPr>
          <w:rFonts w:ascii="Calibri" w:eastAsia="Calibri" w:hAnsi="Calibri" w:cs="Times New Roman"/>
          <w:sz w:val="24"/>
          <w:szCs w:val="24"/>
        </w:rPr>
      </w:pPr>
      <w:r w:rsidRPr="00E1017A">
        <w:rPr>
          <w:rFonts w:ascii="Adelle Sans SemiBold" w:eastAsia="Calibri" w:hAnsi="Adelle Sans SemiBold" w:cs="Times New Roman"/>
          <w:b/>
          <w:bCs/>
          <w:i/>
          <w:iCs/>
          <w:color w:val="C00000"/>
          <w:sz w:val="22"/>
        </w:rPr>
        <w:t>Awareness and Use:</w:t>
      </w:r>
      <w:r w:rsidRPr="00782640">
        <w:rPr>
          <w:rFonts w:ascii="Calibri" w:eastAsia="Calibri" w:hAnsi="Calibri" w:cs="Times New Roman"/>
          <w:sz w:val="24"/>
          <w:szCs w:val="24"/>
        </w:rPr>
        <w:t xml:space="preserve">  The CARPA manual is widely known and used in the NT, and some areas of WA and SA, and particularly in remote areas. Outside of the NT it remains well known in many jurisdictions along with other Remote Primary Health Care Manuals. Some panel members reported that due to the number of health conditions within the book, requests to increase CKD content to include specific kidney health issues have been declined. However, the eGFR study on the rate of progression is included.  Expanding the Indigenous content within the handbook to include specific issues related to Indigenous health or developing a separate handbook would be advantageous.</w:t>
      </w:r>
    </w:p>
    <w:p w14:paraId="5448795C" w14:textId="77777777" w:rsidR="00782640" w:rsidRPr="00782640" w:rsidRDefault="00782640" w:rsidP="00782640">
      <w:pPr>
        <w:spacing w:before="100" w:beforeAutospacing="1" w:after="100" w:afterAutospacing="1" w:line="240" w:lineRule="auto"/>
        <w:jc w:val="both"/>
        <w:rPr>
          <w:rFonts w:ascii="Times New Roman" w:eastAsia="Times New Roman" w:hAnsi="Times New Roman" w:cs="Times New Roman"/>
          <w:sz w:val="24"/>
          <w:szCs w:val="24"/>
          <w:highlight w:val="yellow"/>
          <w:lang w:eastAsia="en-AU"/>
        </w:rPr>
      </w:pPr>
      <w:r w:rsidRPr="00782640">
        <w:rPr>
          <w:rFonts w:ascii="Calibri" w:eastAsia="Times New Roman" w:hAnsi="Calibri" w:cs="Times New Roman"/>
          <w:bCs/>
          <w:iCs/>
          <w:color w:val="000000"/>
          <w:sz w:val="24"/>
          <w:szCs w:val="24"/>
          <w:lang w:eastAsia="en-AU"/>
        </w:rPr>
        <w:t xml:space="preserve">The main resource used in the NT and many other remote regions are CARPA and related manuals. Importantly, their use is enshrined in legislation, in that nurses and Aboriginal Health Practitioners can only supply medications according to CARPA guidelines – any deviation from these guidelines requires medical input. </w:t>
      </w:r>
    </w:p>
    <w:p w14:paraId="7B64B242"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 xml:space="preserve">While the material on renal diseases is limited, general practitioners are expected to go beyond CARPA and remote Primary Health Care manuals when making decisions. This is where the KHA-CARI Guidelines would be most useful - not in replacing CARPA but going beyond CARPA to advise on complex management issues in renal disease.  </w:t>
      </w:r>
    </w:p>
    <w:p w14:paraId="61178722" w14:textId="77777777" w:rsidR="00782640" w:rsidRPr="00782640" w:rsidRDefault="00782640" w:rsidP="00782640">
      <w:pPr>
        <w:spacing w:after="0" w:line="240" w:lineRule="auto"/>
        <w:jc w:val="both"/>
        <w:rPr>
          <w:rFonts w:ascii="Calibri" w:eastAsia="Calibri" w:hAnsi="Calibri" w:cs="Times New Roman"/>
          <w:sz w:val="24"/>
          <w:szCs w:val="24"/>
        </w:rPr>
      </w:pPr>
    </w:p>
    <w:p w14:paraId="5EA8189D" w14:textId="77777777" w:rsidR="00782640" w:rsidRPr="00782640" w:rsidRDefault="00782640" w:rsidP="00782640">
      <w:pPr>
        <w:spacing w:after="0" w:line="240" w:lineRule="auto"/>
        <w:contextualSpacing/>
        <w:jc w:val="both"/>
        <w:rPr>
          <w:rFonts w:ascii="Calibri" w:eastAsia="Calibri" w:hAnsi="Calibri" w:cs="Times New Roman"/>
          <w:sz w:val="24"/>
          <w:szCs w:val="24"/>
        </w:rPr>
      </w:pPr>
    </w:p>
    <w:p w14:paraId="71C52323" w14:textId="77777777" w:rsidR="00782640" w:rsidRPr="00E1017A" w:rsidRDefault="00782640" w:rsidP="00782640">
      <w:pPr>
        <w:spacing w:after="0" w:line="240" w:lineRule="auto"/>
        <w:jc w:val="both"/>
        <w:rPr>
          <w:rFonts w:ascii="Adelle Sans Light" w:eastAsia="Calibri" w:hAnsi="Adelle Sans Light" w:cs="Times New Roman"/>
          <w:color w:val="C00000"/>
          <w:sz w:val="40"/>
          <w:szCs w:val="40"/>
        </w:rPr>
      </w:pPr>
      <w:r w:rsidRPr="00E1017A">
        <w:rPr>
          <w:rFonts w:ascii="Adelle Sans Light" w:eastAsia="Calibri" w:hAnsi="Adelle Sans Light" w:cs="Times New Roman"/>
          <w:color w:val="C00000"/>
          <w:sz w:val="40"/>
          <w:szCs w:val="40"/>
        </w:rPr>
        <w:t xml:space="preserve">5. The </w:t>
      </w:r>
      <w:proofErr w:type="spellStart"/>
      <w:r w:rsidRPr="00E1017A">
        <w:rPr>
          <w:rFonts w:ascii="Adelle Sans Light" w:eastAsia="Calibri" w:hAnsi="Adelle Sans Light" w:cs="Times New Roman"/>
          <w:color w:val="C00000"/>
          <w:sz w:val="40"/>
          <w:szCs w:val="40"/>
        </w:rPr>
        <w:t>HealthPathways</w:t>
      </w:r>
      <w:proofErr w:type="spellEnd"/>
      <w:r w:rsidRPr="00E1017A">
        <w:rPr>
          <w:rFonts w:ascii="Adelle Sans Light" w:eastAsia="Calibri" w:hAnsi="Adelle Sans Light" w:cs="Times New Roman"/>
          <w:color w:val="C00000"/>
          <w:sz w:val="40"/>
          <w:szCs w:val="40"/>
        </w:rPr>
        <w:t xml:space="preserve"> Community Care Plans</w:t>
      </w:r>
    </w:p>
    <w:p w14:paraId="32E1E955" w14:textId="77777777" w:rsidR="00782640" w:rsidRPr="00E1017A" w:rsidRDefault="00D32AD3" w:rsidP="00782640">
      <w:pPr>
        <w:spacing w:after="0" w:line="240" w:lineRule="auto"/>
        <w:rPr>
          <w:rFonts w:ascii="Adelle Sans SemiBold" w:eastAsia="Calibri" w:hAnsi="Adelle Sans SemiBold" w:cs="Times New Roman"/>
          <w:b/>
          <w:bCs/>
          <w:color w:val="C00000"/>
          <w:sz w:val="28"/>
          <w:szCs w:val="28"/>
        </w:rPr>
      </w:pPr>
      <w:hyperlink r:id="rId89" w:history="1">
        <w:r w:rsidR="00782640" w:rsidRPr="00E1017A">
          <w:rPr>
            <w:rFonts w:ascii="Adelle Sans SemiBold" w:eastAsia="Calibri" w:hAnsi="Adelle Sans SemiBold" w:cs="Times New Roman"/>
            <w:b/>
            <w:bCs/>
            <w:color w:val="C00000"/>
            <w:sz w:val="28"/>
            <w:szCs w:val="28"/>
          </w:rPr>
          <w:t>www.healthpathwayscommunity.org</w:t>
        </w:r>
      </w:hyperlink>
    </w:p>
    <w:p w14:paraId="1FC11FD9" w14:textId="77777777" w:rsidR="00782640" w:rsidRPr="00782640" w:rsidRDefault="00782640" w:rsidP="00782640">
      <w:pPr>
        <w:spacing w:after="0" w:line="240" w:lineRule="auto"/>
        <w:jc w:val="both"/>
        <w:rPr>
          <w:rFonts w:ascii="Calibri" w:eastAsia="Calibri" w:hAnsi="Calibri" w:cs="Times New Roman"/>
          <w:sz w:val="24"/>
          <w:szCs w:val="24"/>
          <w:u w:val="single"/>
        </w:rPr>
      </w:pPr>
    </w:p>
    <w:p w14:paraId="4EEF83A0" w14:textId="77777777" w:rsidR="00782640" w:rsidRPr="00782640" w:rsidRDefault="00782640" w:rsidP="00782640">
      <w:pPr>
        <w:spacing w:after="0" w:line="240" w:lineRule="auto"/>
        <w:jc w:val="both"/>
        <w:rPr>
          <w:rFonts w:ascii="Calibri" w:eastAsia="Calibri" w:hAnsi="Calibri" w:cs="Times New Roman"/>
          <w:sz w:val="24"/>
          <w:szCs w:val="24"/>
        </w:rPr>
      </w:pPr>
      <w:proofErr w:type="spellStart"/>
      <w:r w:rsidRPr="00782640">
        <w:rPr>
          <w:rFonts w:ascii="Calibri" w:eastAsia="Calibri" w:hAnsi="Calibri" w:cs="Times New Roman"/>
          <w:sz w:val="24"/>
          <w:szCs w:val="24"/>
        </w:rPr>
        <w:t>HealthPathways</w:t>
      </w:r>
      <w:proofErr w:type="spellEnd"/>
      <w:r w:rsidRPr="00782640">
        <w:rPr>
          <w:rFonts w:ascii="Calibri" w:eastAsia="Calibri" w:hAnsi="Calibri" w:cs="Times New Roman"/>
          <w:sz w:val="24"/>
          <w:szCs w:val="24"/>
        </w:rPr>
        <w:t xml:space="preserve"> is an initiative led by Primary Health Networks (PHN) in conjunction with Local Health District (LHD) and Local Health Networks (LHN) across Australia and in other countries.  Via an online portal, </w:t>
      </w:r>
      <w:proofErr w:type="spellStart"/>
      <w:r w:rsidRPr="00782640">
        <w:rPr>
          <w:rFonts w:ascii="Calibri" w:eastAsia="Calibri" w:hAnsi="Calibri" w:cs="Times New Roman"/>
          <w:sz w:val="24"/>
          <w:szCs w:val="24"/>
        </w:rPr>
        <w:t>HealthPathways</w:t>
      </w:r>
      <w:proofErr w:type="spellEnd"/>
      <w:r w:rsidRPr="00782640">
        <w:rPr>
          <w:rFonts w:ascii="Calibri" w:eastAsia="Calibri" w:hAnsi="Calibri" w:cs="Times New Roman"/>
          <w:sz w:val="24"/>
          <w:szCs w:val="24"/>
        </w:rPr>
        <w:t xml:space="preserve"> is providing general practitioners and other health professionals with easy access to comprehensive, evidence-based assessment, management and localised referral resources, for approximately 500 specific health conditions. Adaptation of </w:t>
      </w:r>
      <w:proofErr w:type="spellStart"/>
      <w:r w:rsidRPr="00782640">
        <w:rPr>
          <w:rFonts w:ascii="Calibri" w:eastAsia="Calibri" w:hAnsi="Calibri" w:cs="Times New Roman"/>
          <w:sz w:val="24"/>
          <w:szCs w:val="24"/>
        </w:rPr>
        <w:t>HealthPathways</w:t>
      </w:r>
      <w:proofErr w:type="spellEnd"/>
      <w:r w:rsidRPr="00782640">
        <w:rPr>
          <w:rFonts w:ascii="Calibri" w:eastAsia="Calibri" w:hAnsi="Calibri" w:cs="Times New Roman"/>
          <w:sz w:val="24"/>
          <w:szCs w:val="24"/>
        </w:rPr>
        <w:t xml:space="preserve"> content for specific jurisdictions occurs through </w:t>
      </w:r>
      <w:r w:rsidRPr="00782640">
        <w:rPr>
          <w:rFonts w:ascii="Calibri" w:eastAsia="Calibri" w:hAnsi="Calibri" w:cs="Times New Roman"/>
          <w:sz w:val="24"/>
          <w:szCs w:val="24"/>
        </w:rPr>
        <w:lastRenderedPageBreak/>
        <w:t xml:space="preserve">collaboration of primary and specialist services, to develop models of care suited to the local context. </w:t>
      </w:r>
    </w:p>
    <w:p w14:paraId="55996904" w14:textId="77777777" w:rsidR="00782640" w:rsidRPr="00782640" w:rsidRDefault="00782640" w:rsidP="00782640">
      <w:pPr>
        <w:spacing w:after="0" w:line="240" w:lineRule="auto"/>
        <w:jc w:val="both"/>
        <w:rPr>
          <w:rFonts w:ascii="Calibri" w:eastAsia="Calibri" w:hAnsi="Calibri" w:cs="Times New Roman"/>
          <w:sz w:val="24"/>
          <w:szCs w:val="24"/>
        </w:rPr>
      </w:pPr>
    </w:p>
    <w:p w14:paraId="795E9AC3" w14:textId="77777777" w:rsidR="00782640" w:rsidRPr="00782640" w:rsidRDefault="00782640" w:rsidP="00782640">
      <w:pPr>
        <w:spacing w:after="0" w:line="240" w:lineRule="auto"/>
        <w:jc w:val="both"/>
        <w:rPr>
          <w:rFonts w:ascii="Calibri" w:eastAsia="Calibri" w:hAnsi="Calibri" w:cs="Times New Roman"/>
          <w:sz w:val="24"/>
          <w:szCs w:val="24"/>
        </w:rPr>
      </w:pPr>
      <w:r w:rsidRPr="00E1017A">
        <w:rPr>
          <w:rFonts w:ascii="Adelle Sans SemiBold" w:eastAsia="Calibri" w:hAnsi="Adelle Sans SemiBold" w:cs="Times New Roman"/>
          <w:b/>
          <w:bCs/>
          <w:i/>
          <w:iCs/>
          <w:color w:val="C00000"/>
          <w:sz w:val="22"/>
        </w:rPr>
        <w:t xml:space="preserve">Awareness and Use:  </w:t>
      </w:r>
      <w:r w:rsidRPr="00782640">
        <w:rPr>
          <w:rFonts w:ascii="Calibri" w:eastAsia="Calibri" w:hAnsi="Calibri" w:cs="Times New Roman"/>
          <w:sz w:val="24"/>
          <w:szCs w:val="24"/>
        </w:rPr>
        <w:t xml:space="preserve">The Web-based nature of </w:t>
      </w:r>
      <w:proofErr w:type="spellStart"/>
      <w:r w:rsidRPr="00782640">
        <w:rPr>
          <w:rFonts w:ascii="Calibri" w:eastAsia="Calibri" w:hAnsi="Calibri" w:cs="Times New Roman"/>
          <w:sz w:val="24"/>
          <w:szCs w:val="24"/>
        </w:rPr>
        <w:t>HealthPathways</w:t>
      </w:r>
      <w:proofErr w:type="spellEnd"/>
      <w:r w:rsidRPr="00782640">
        <w:rPr>
          <w:rFonts w:ascii="Calibri" w:eastAsia="Calibri" w:hAnsi="Calibri" w:cs="Times New Roman"/>
          <w:sz w:val="24"/>
          <w:szCs w:val="24"/>
        </w:rPr>
        <w:t xml:space="preserve"> enables these to be easily maintained, updated and accessed, although access requires pre-registration and is not open. Online-only access is not always useful in some remote areas.  There is substantial variation between jurisdictions with respect to the development of CKD-specific pathways, and they are not comprehensive. Overtime, the importance of these guidelines is likely to increase in guiding clinical practice at a local level, addressing resources, availabilities and needs. </w:t>
      </w:r>
    </w:p>
    <w:p w14:paraId="3D6422A7" w14:textId="77777777" w:rsidR="00782640" w:rsidRPr="00782640" w:rsidRDefault="00782640" w:rsidP="00782640">
      <w:pPr>
        <w:spacing w:after="0" w:line="240" w:lineRule="auto"/>
        <w:jc w:val="both"/>
        <w:rPr>
          <w:rFonts w:ascii="Calibri" w:eastAsia="Calibri" w:hAnsi="Calibri" w:cs="Times New Roman"/>
          <w:sz w:val="24"/>
          <w:szCs w:val="24"/>
        </w:rPr>
      </w:pPr>
    </w:p>
    <w:p w14:paraId="4592253A" w14:textId="77777777" w:rsidR="00782640" w:rsidRPr="00782640" w:rsidRDefault="00782640" w:rsidP="00782640">
      <w:pPr>
        <w:spacing w:after="0" w:line="240" w:lineRule="auto"/>
        <w:jc w:val="both"/>
        <w:rPr>
          <w:rFonts w:ascii="Calibri" w:eastAsia="Calibri" w:hAnsi="Calibri" w:cs="Times New Roman"/>
          <w:sz w:val="24"/>
          <w:szCs w:val="24"/>
          <w:u w:val="single"/>
        </w:rPr>
      </w:pPr>
    </w:p>
    <w:p w14:paraId="12AB03A1" w14:textId="77777777" w:rsidR="00782640" w:rsidRPr="00E1017A" w:rsidRDefault="00782640" w:rsidP="00782640">
      <w:pPr>
        <w:spacing w:after="0" w:line="240" w:lineRule="auto"/>
        <w:jc w:val="both"/>
        <w:rPr>
          <w:rFonts w:ascii="Adelle Sans Light" w:eastAsia="Calibri" w:hAnsi="Adelle Sans Light" w:cs="Times New Roman"/>
          <w:color w:val="C00000"/>
          <w:sz w:val="40"/>
          <w:szCs w:val="40"/>
        </w:rPr>
      </w:pPr>
      <w:r w:rsidRPr="00E1017A">
        <w:rPr>
          <w:rFonts w:ascii="Adelle Sans Light" w:eastAsia="Calibri" w:hAnsi="Adelle Sans Light" w:cs="Times New Roman"/>
          <w:color w:val="C00000"/>
          <w:sz w:val="40"/>
          <w:szCs w:val="40"/>
        </w:rPr>
        <w:t xml:space="preserve">6. Local Protocols for CKD care: </w:t>
      </w:r>
    </w:p>
    <w:p w14:paraId="45B6FDFF" w14:textId="77777777" w:rsidR="00782640" w:rsidRPr="00782640" w:rsidRDefault="00782640" w:rsidP="00782640">
      <w:pPr>
        <w:spacing w:after="0" w:line="240" w:lineRule="auto"/>
        <w:jc w:val="both"/>
        <w:rPr>
          <w:rFonts w:ascii="Calibri" w:eastAsia="Calibri" w:hAnsi="Calibri" w:cs="Times New Roman"/>
          <w:sz w:val="24"/>
          <w:szCs w:val="24"/>
        </w:rPr>
      </w:pPr>
    </w:p>
    <w:p w14:paraId="183AF68E"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Several panel members reported that their local jurisdictions had developed their own protocols or guidelines for care of Aboriginal and Torres Strait Islander patients with CKD. Awareness and use of these resources are largely limited to those jurisdictions. Local/regional adaptations were considered more useful than the KHA-CARI guidelines or other resources because they are a better fit with local practices and conditions, and therefore more used by the primary care health workforce (GPs, nurses, healthcare workers).</w:t>
      </w:r>
    </w:p>
    <w:p w14:paraId="2911740A" w14:textId="77777777" w:rsidR="00782640" w:rsidRPr="00782640" w:rsidRDefault="00782640" w:rsidP="00782640">
      <w:pPr>
        <w:spacing w:after="0" w:line="240" w:lineRule="auto"/>
        <w:jc w:val="both"/>
        <w:rPr>
          <w:rFonts w:ascii="Calibri" w:eastAsia="Calibri" w:hAnsi="Calibri" w:cs="Times New Roman"/>
          <w:sz w:val="24"/>
          <w:szCs w:val="24"/>
        </w:rPr>
      </w:pPr>
    </w:p>
    <w:p w14:paraId="1D9D5DEE"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For example, The Kimberley Aboriginal Medical Services (KAMS) and WA Country Health Service (WACHS) have developed multiple protocols including one for CKD, which is used like their ‘bible’ and follows the Kidney Health Australia Handbook and KDIGO Guidelines closely, but adapted for Kimberley populations. These adaptations incorporate local epidemiology (screening) and referral pathways affected by limited visiting services, time, and distances.</w:t>
      </w:r>
    </w:p>
    <w:p w14:paraId="39293313" w14:textId="77777777" w:rsidR="00782640" w:rsidRPr="00782640" w:rsidRDefault="00782640" w:rsidP="00782640">
      <w:pPr>
        <w:spacing w:after="0" w:line="240" w:lineRule="auto"/>
        <w:jc w:val="both"/>
        <w:rPr>
          <w:rFonts w:ascii="Calibri" w:eastAsia="Calibri" w:hAnsi="Calibri" w:cs="Times New Roman"/>
          <w:sz w:val="24"/>
          <w:szCs w:val="24"/>
        </w:rPr>
      </w:pPr>
    </w:p>
    <w:p w14:paraId="7C9941E8" w14:textId="77777777" w:rsidR="00782640" w:rsidRPr="00E1017A" w:rsidRDefault="00782640" w:rsidP="00782640">
      <w:pPr>
        <w:spacing w:after="0" w:line="240" w:lineRule="auto"/>
        <w:jc w:val="both"/>
        <w:rPr>
          <w:rFonts w:ascii="Calibri" w:eastAsia="Calibri" w:hAnsi="Calibri" w:cs="Times New Roman"/>
          <w:color w:val="C00000"/>
          <w:sz w:val="24"/>
          <w:szCs w:val="24"/>
        </w:rPr>
      </w:pPr>
      <w:r w:rsidRPr="00782640">
        <w:rPr>
          <w:rFonts w:ascii="Calibri" w:eastAsia="Calibri" w:hAnsi="Calibri" w:cs="Times New Roman"/>
          <w:sz w:val="24"/>
          <w:szCs w:val="24"/>
        </w:rPr>
        <w:t xml:space="preserve">The </w:t>
      </w:r>
      <w:proofErr w:type="spellStart"/>
      <w:r w:rsidRPr="00782640">
        <w:rPr>
          <w:rFonts w:ascii="Calibri" w:eastAsia="Calibri" w:hAnsi="Calibri" w:cs="Times New Roman"/>
          <w:sz w:val="24"/>
          <w:szCs w:val="24"/>
        </w:rPr>
        <w:t>Apunipima</w:t>
      </w:r>
      <w:proofErr w:type="spellEnd"/>
      <w:r w:rsidRPr="00782640">
        <w:rPr>
          <w:rFonts w:ascii="Calibri" w:eastAsia="Calibri" w:hAnsi="Calibri" w:cs="Times New Roman"/>
          <w:sz w:val="24"/>
          <w:szCs w:val="24"/>
        </w:rPr>
        <w:t xml:space="preserve"> Cape York Health Council’s Chronic Conditions Manual: Prevention and Management of Chronic Conditions in Australia in conjunction with the Royal Flying Doctor Service Qld has published the Chronic Conditions Manual: Prevention and Management of Chronic Conditions in Australia </w:t>
      </w:r>
      <w:hyperlink r:id="rId90" w:history="1">
        <w:r w:rsidRPr="00E1017A">
          <w:rPr>
            <w:rFonts w:ascii="Adelle Sans SemiBold" w:eastAsia="Calibri" w:hAnsi="Adelle Sans SemiBold" w:cs="Times New Roman"/>
            <w:b/>
            <w:bCs/>
            <w:color w:val="C00000"/>
            <w:sz w:val="28"/>
            <w:szCs w:val="28"/>
          </w:rPr>
          <w:t>https://publications.qld.gov.au/dataset/chronic-conditions-manual</w:t>
        </w:r>
      </w:hyperlink>
      <w:r w:rsidRPr="00E1017A">
        <w:rPr>
          <w:rFonts w:ascii="Calibri" w:eastAsia="Calibri" w:hAnsi="Calibri" w:cs="Times New Roman"/>
          <w:color w:val="C00000"/>
          <w:sz w:val="24"/>
          <w:szCs w:val="24"/>
        </w:rPr>
        <w:t xml:space="preserve">  </w:t>
      </w:r>
    </w:p>
    <w:p w14:paraId="1E82519A" w14:textId="77777777" w:rsidR="00782640" w:rsidRPr="00782640" w:rsidRDefault="00782640" w:rsidP="00782640">
      <w:pPr>
        <w:spacing w:after="0" w:line="240" w:lineRule="auto"/>
        <w:jc w:val="both"/>
        <w:rPr>
          <w:rFonts w:ascii="Calibri" w:eastAsia="Calibri" w:hAnsi="Calibri" w:cs="Times New Roman"/>
          <w:sz w:val="24"/>
          <w:szCs w:val="24"/>
        </w:rPr>
      </w:pPr>
    </w:p>
    <w:p w14:paraId="08813F37"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 xml:space="preserve">This has a large section on CKD management drawn from the KHA-CARI Guidelines and Kidney Health Australia Handbook with minimal adaptation for Aboriginal and Torres Strait Islander patients. </w:t>
      </w:r>
    </w:p>
    <w:p w14:paraId="6162D248" w14:textId="77777777" w:rsidR="00782640" w:rsidRPr="00782640" w:rsidRDefault="00782640" w:rsidP="00782640">
      <w:pPr>
        <w:spacing w:after="0" w:line="240" w:lineRule="auto"/>
        <w:jc w:val="both"/>
        <w:rPr>
          <w:rFonts w:ascii="Calibri" w:eastAsia="Calibri" w:hAnsi="Calibri" w:cs="Times New Roman"/>
          <w:b/>
          <w:i/>
          <w:sz w:val="24"/>
          <w:szCs w:val="24"/>
        </w:rPr>
      </w:pPr>
      <w:r w:rsidRPr="00782640">
        <w:rPr>
          <w:rFonts w:ascii="Calibri" w:eastAsia="Calibri" w:hAnsi="Calibri" w:cs="Times New Roman"/>
          <w:noProof/>
          <w:sz w:val="24"/>
          <w:szCs w:val="24"/>
          <w:lang w:eastAsia="en-AU"/>
        </w:rPr>
        <w:lastRenderedPageBreak/>
        <mc:AlternateContent>
          <mc:Choice Requires="wps">
            <w:drawing>
              <wp:inline distT="0" distB="0" distL="0" distR="0" wp14:anchorId="2CCC3052" wp14:editId="3354D911">
                <wp:extent cx="5791200" cy="2182439"/>
                <wp:effectExtent l="0" t="0" r="19050" b="27940"/>
                <wp:docPr id="260" name="Rectangle: Rounded Corners 3"/>
                <wp:cNvGraphicFramePr/>
                <a:graphic xmlns:a="http://schemas.openxmlformats.org/drawingml/2006/main">
                  <a:graphicData uri="http://schemas.microsoft.com/office/word/2010/wordprocessingShape">
                    <wps:wsp>
                      <wps:cNvSpPr/>
                      <wps:spPr>
                        <a:xfrm>
                          <a:off x="0" y="0"/>
                          <a:ext cx="5791200" cy="2182439"/>
                        </a:xfrm>
                        <a:prstGeom prst="roundRect">
                          <a:avLst/>
                        </a:prstGeom>
                        <a:solidFill>
                          <a:srgbClr val="ED7D31">
                            <a:lumMod val="20000"/>
                            <a:lumOff val="80000"/>
                          </a:srgbClr>
                        </a:solidFill>
                        <a:ln w="6350" cap="flat" cmpd="sng" algn="ctr">
                          <a:solidFill>
                            <a:sysClr val="windowText" lastClr="000000"/>
                          </a:solidFill>
                          <a:prstDash val="solid"/>
                          <a:miter lim="800000"/>
                        </a:ln>
                        <a:effectLst/>
                      </wps:spPr>
                      <wps:txbx>
                        <w:txbxContent>
                          <w:p w14:paraId="2B35AD15" w14:textId="77777777" w:rsidR="00A41391" w:rsidRDefault="00A41391" w:rsidP="00782640">
                            <w:r>
                              <w:rPr>
                                <w:b/>
                              </w:rPr>
                              <w:t xml:space="preserve">Box 1:  </w:t>
                            </w:r>
                            <w:r w:rsidRPr="004D1F87">
                              <w:rPr>
                                <w:b/>
                              </w:rPr>
                              <w:t>Summary</w:t>
                            </w:r>
                            <w:r>
                              <w:rPr>
                                <w:b/>
                              </w:rPr>
                              <w:t xml:space="preserve"> of Existing Guidelines for CKD Management</w:t>
                            </w:r>
                            <w:r w:rsidRPr="004D1F87">
                              <w:rPr>
                                <w:b/>
                              </w:rPr>
                              <w:t>:</w:t>
                            </w:r>
                            <w:r w:rsidRPr="00C07F71">
                              <w:t xml:space="preserve"> </w:t>
                            </w:r>
                          </w:p>
                          <w:p w14:paraId="453DCE47" w14:textId="77777777" w:rsidR="00A41391" w:rsidRDefault="00A41391" w:rsidP="00782640"/>
                          <w:p w14:paraId="6F1F56DA" w14:textId="77777777" w:rsidR="00A41391" w:rsidRDefault="00A41391" w:rsidP="00782640">
                            <w:pPr>
                              <w:jc w:val="both"/>
                            </w:pPr>
                            <w:r>
                              <w:t xml:space="preserve">There is substantial variation across Australia with respect to CKD guideline use although the Kidney Health Australia CKD Management Handbook appears to be widely used in indigenous primary care. </w:t>
                            </w:r>
                            <w:r w:rsidRPr="00C07F71">
                              <w:t>A pyramid effect is noted, with evidence-based national guidelines</w:t>
                            </w:r>
                            <w:r>
                              <w:t xml:space="preserve"> (KHA-CARI content)</w:t>
                            </w:r>
                            <w:r w:rsidRPr="00C07F71">
                              <w:t xml:space="preserve"> </w:t>
                            </w:r>
                            <w:r>
                              <w:t>as</w:t>
                            </w:r>
                            <w:r w:rsidRPr="00C07F71">
                              <w:t xml:space="preserve"> the base</w:t>
                            </w:r>
                            <w:r>
                              <w:t xml:space="preserve"> although they have minimal indigenous-specific content</w:t>
                            </w:r>
                            <w:r w:rsidRPr="00C07F71">
                              <w:t>.  While these are</w:t>
                            </w:r>
                            <w:r>
                              <w:t xml:space="preserve"> directly</w:t>
                            </w:r>
                            <w:r w:rsidRPr="00C07F71">
                              <w:t xml:space="preserve"> used infrequently, they are interpreted and adapted for use in other national resources (</w:t>
                            </w:r>
                            <w:r>
                              <w:t>Kidney Health Australia Handbook, RACGP Guidelines</w:t>
                            </w:r>
                            <w:r w:rsidRPr="00C07F71">
                              <w:t xml:space="preserve">, </w:t>
                            </w:r>
                            <w:r>
                              <w:t>Health</w:t>
                            </w:r>
                            <w:r w:rsidRPr="00C07F71">
                              <w:t>Pathways) and as regional/local resources (CARPA manual, KAMS CKD protocol and Apunipima</w:t>
                            </w:r>
                            <w:r>
                              <w:t xml:space="preserve"> </w:t>
                            </w:r>
                            <w:r w:rsidRPr="00C07F71">
                              <w:t>chronic conditions manual</w:t>
                            </w:r>
                            <w:r>
                              <w:t xml:space="preserve">). </w:t>
                            </w:r>
                            <w:r w:rsidRPr="00C07F71">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CCC3052" id="Rectangle: Rounded Corners 3" o:spid="_x0000_s1207" style="width:456pt;height:171.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" fillcolor="#fbe5d6" strokecolor="windowText" strokeweight=".5pt">
                <v:stroke joinstyle="miter"/>
                <v:textbox>
                  <w:txbxContent>
                    <w:p w14:paraId="2B35AD15" w14:textId="77777777" w:rsidR="00A41391" w:rsidRDefault="00A41391" w:rsidP="00782640">
                      <w:r>
                        <w:rPr>
                          <w:b/>
                        </w:rPr>
                        <w:t xml:space="preserve">Box 1:  </w:t>
                      </w:r>
                      <w:r w:rsidRPr="004D1F87">
                        <w:rPr>
                          <w:b/>
                        </w:rPr>
                        <w:t>Summary</w:t>
                      </w:r>
                      <w:r>
                        <w:rPr>
                          <w:b/>
                        </w:rPr>
                        <w:t xml:space="preserve"> of Existing Guidelines for CKD Management</w:t>
                      </w:r>
                      <w:r w:rsidRPr="004D1F87">
                        <w:rPr>
                          <w:b/>
                        </w:rPr>
                        <w:t>:</w:t>
                      </w:r>
                      <w:r w:rsidRPr="00C07F71">
                        <w:t xml:space="preserve"> </w:t>
                      </w:r>
                    </w:p>
                    <w:p w14:paraId="453DCE47" w14:textId="77777777" w:rsidR="00A41391" w:rsidRDefault="00A41391" w:rsidP="00782640"/>
                    <w:p w14:paraId="6F1F56DA" w14:textId="77777777" w:rsidR="00A41391" w:rsidRDefault="00A41391" w:rsidP="00782640">
                      <w:pPr>
                        <w:jc w:val="both"/>
                      </w:pPr>
                      <w:r>
                        <w:t xml:space="preserve">There is substantial variation across Australia with respect to CKD guideline use although the Kidney Health Australia CKD Management Handbook appears to be widely used in indigenous primary care. </w:t>
                      </w:r>
                      <w:r w:rsidRPr="00C07F71">
                        <w:t>A pyramid effect is noted, with evidence-based national guidelines</w:t>
                      </w:r>
                      <w:r>
                        <w:t xml:space="preserve"> (KHA-CARI content)</w:t>
                      </w:r>
                      <w:r w:rsidRPr="00C07F71">
                        <w:t xml:space="preserve"> </w:t>
                      </w:r>
                      <w:r>
                        <w:t>as</w:t>
                      </w:r>
                      <w:r w:rsidRPr="00C07F71">
                        <w:t xml:space="preserve"> the base</w:t>
                      </w:r>
                      <w:r>
                        <w:t xml:space="preserve"> although they have minimal indigenous-specific content</w:t>
                      </w:r>
                      <w:r w:rsidRPr="00C07F71">
                        <w:t>.  While these are</w:t>
                      </w:r>
                      <w:r>
                        <w:t xml:space="preserve"> directly</w:t>
                      </w:r>
                      <w:r w:rsidRPr="00C07F71">
                        <w:t xml:space="preserve"> used infrequently, they are interpreted and adapted for use in other national resources (</w:t>
                      </w:r>
                      <w:r>
                        <w:t>Kidney Health Australia Handbook, RACGP Guidelines</w:t>
                      </w:r>
                      <w:r w:rsidRPr="00C07F71">
                        <w:t xml:space="preserve">, </w:t>
                      </w:r>
                      <w:r>
                        <w:t>Health</w:t>
                      </w:r>
                      <w:r w:rsidRPr="00C07F71">
                        <w:t>Pathways) and as regional/local resources (CARPA manual, KAMS CKD protocol and Apunipima</w:t>
                      </w:r>
                      <w:r>
                        <w:t xml:space="preserve"> </w:t>
                      </w:r>
                      <w:r w:rsidRPr="00C07F71">
                        <w:t>chronic conditions manual</w:t>
                      </w:r>
                      <w:r>
                        <w:t xml:space="preserve">). </w:t>
                      </w:r>
                      <w:r w:rsidRPr="00C07F71">
                        <w:t xml:space="preserve"> </w:t>
                      </w:r>
                    </w:p>
                  </w:txbxContent>
                </v:textbox>
                <w10:anchorlock/>
              </v:roundrect>
            </w:pict>
          </mc:Fallback>
        </mc:AlternateContent>
      </w:r>
      <w:r w:rsidRPr="00782640">
        <w:rPr>
          <w:rFonts w:ascii="Calibri" w:eastAsia="Calibri" w:hAnsi="Calibri" w:cs="Times New Roman"/>
          <w:b/>
          <w:i/>
          <w:sz w:val="24"/>
          <w:szCs w:val="24"/>
        </w:rPr>
        <w:br w:type="page"/>
      </w:r>
    </w:p>
    <w:p w14:paraId="272A01EE" w14:textId="77777777" w:rsidR="00782640" w:rsidRPr="00E1017A" w:rsidRDefault="00782640" w:rsidP="00782640">
      <w:pPr>
        <w:spacing w:after="0" w:line="240" w:lineRule="auto"/>
        <w:jc w:val="both"/>
        <w:rPr>
          <w:rFonts w:ascii="Adelle Sans ExtraBold" w:eastAsia="Calibri" w:hAnsi="Adelle Sans ExtraBold" w:cs="Times New Roman"/>
          <w:b/>
          <w:bCs/>
          <w:color w:val="C00000"/>
          <w:sz w:val="40"/>
          <w:szCs w:val="40"/>
        </w:rPr>
      </w:pPr>
      <w:r w:rsidRPr="00E1017A">
        <w:rPr>
          <w:rFonts w:ascii="Adelle Sans ExtraBold" w:eastAsia="Calibri" w:hAnsi="Adelle Sans ExtraBold" w:cs="Times New Roman"/>
          <w:b/>
          <w:bCs/>
          <w:color w:val="C00000"/>
          <w:sz w:val="40"/>
          <w:szCs w:val="40"/>
        </w:rPr>
        <w:lastRenderedPageBreak/>
        <w:t xml:space="preserve">E. Barriers to the use of guidelines for managing CKD in Aboriginal and Torres Strait Islander patients </w:t>
      </w:r>
    </w:p>
    <w:p w14:paraId="1198BEE9" w14:textId="77777777" w:rsidR="00782640" w:rsidRPr="00782640" w:rsidRDefault="00782640" w:rsidP="00782640">
      <w:pPr>
        <w:spacing w:after="0" w:line="240" w:lineRule="auto"/>
        <w:jc w:val="both"/>
        <w:rPr>
          <w:rFonts w:ascii="Calibri" w:eastAsia="Calibri" w:hAnsi="Calibri" w:cs="Times New Roman"/>
          <w:b/>
          <w:i/>
          <w:sz w:val="24"/>
          <w:szCs w:val="24"/>
        </w:rPr>
      </w:pPr>
    </w:p>
    <w:p w14:paraId="2BE0B402"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 xml:space="preserve">The panel highlighted a range of issues that, in their experience, had influenced the ability to implement guidelines in Indigenous chronic disease care. The panel reflected that many of these concepts had been raised over many years by multiple groups, however tangible action had been slow in many areas. </w:t>
      </w:r>
    </w:p>
    <w:p w14:paraId="66666F84" w14:textId="77777777" w:rsidR="00782640" w:rsidRPr="00782640" w:rsidRDefault="00782640" w:rsidP="00782640">
      <w:pPr>
        <w:spacing w:after="0" w:line="240" w:lineRule="auto"/>
        <w:jc w:val="both"/>
        <w:rPr>
          <w:rFonts w:ascii="Calibri" w:eastAsia="Calibri" w:hAnsi="Calibri" w:cs="Times New Roman"/>
          <w:sz w:val="24"/>
          <w:szCs w:val="24"/>
        </w:rPr>
      </w:pPr>
    </w:p>
    <w:p w14:paraId="02D0FD0A" w14:textId="77777777" w:rsidR="00782640" w:rsidRPr="00E1017A" w:rsidRDefault="00782640" w:rsidP="00782640">
      <w:pPr>
        <w:spacing w:after="0" w:line="240" w:lineRule="auto"/>
        <w:jc w:val="both"/>
        <w:rPr>
          <w:rFonts w:ascii="Adelle Sans Light" w:eastAsia="Calibri" w:hAnsi="Adelle Sans Light" w:cs="Times New Roman"/>
          <w:color w:val="C00000"/>
          <w:sz w:val="40"/>
          <w:szCs w:val="40"/>
        </w:rPr>
      </w:pPr>
      <w:r w:rsidRPr="00E1017A">
        <w:rPr>
          <w:rFonts w:ascii="Adelle Sans Light" w:eastAsia="Calibri" w:hAnsi="Adelle Sans Light" w:cs="Times New Roman"/>
          <w:color w:val="C00000"/>
          <w:sz w:val="40"/>
          <w:szCs w:val="40"/>
        </w:rPr>
        <w:t>1. Patient-related factors</w:t>
      </w:r>
    </w:p>
    <w:p w14:paraId="26881332" w14:textId="77777777" w:rsidR="00782640" w:rsidRPr="00782640" w:rsidRDefault="00782640" w:rsidP="00782640">
      <w:pPr>
        <w:spacing w:after="0" w:line="240" w:lineRule="auto"/>
        <w:ind w:left="720"/>
        <w:jc w:val="both"/>
        <w:rPr>
          <w:rFonts w:ascii="Calibri" w:eastAsia="MS Mincho" w:hAnsi="Calibri" w:cs="Times New Roman"/>
          <w:sz w:val="24"/>
          <w:szCs w:val="24"/>
        </w:rPr>
      </w:pPr>
    </w:p>
    <w:p w14:paraId="4D551F3C" w14:textId="77777777" w:rsidR="00782640" w:rsidRPr="00782640" w:rsidRDefault="00782640" w:rsidP="00782640">
      <w:pPr>
        <w:spacing w:after="0" w:line="240" w:lineRule="auto"/>
        <w:jc w:val="both"/>
        <w:rPr>
          <w:rFonts w:ascii="Adelle Sans SemiBold" w:eastAsia="Calibri" w:hAnsi="Adelle Sans SemiBold" w:cs="Times New Roman"/>
          <w:b/>
          <w:bCs/>
          <w:i/>
          <w:iCs/>
          <w:color w:val="FF0000"/>
          <w:sz w:val="22"/>
        </w:rPr>
      </w:pPr>
      <w:r w:rsidRPr="00E1017A">
        <w:rPr>
          <w:rFonts w:ascii="Adelle Sans SemiBold" w:eastAsia="Calibri" w:hAnsi="Adelle Sans SemiBold" w:cs="Times New Roman"/>
          <w:b/>
          <w:bCs/>
          <w:i/>
          <w:iCs/>
          <w:color w:val="C00000"/>
          <w:sz w:val="22"/>
        </w:rPr>
        <w:t>Awareness of Early Stage CKD:</w:t>
      </w:r>
    </w:p>
    <w:p w14:paraId="559C28DF" w14:textId="77777777" w:rsidR="00782640" w:rsidRPr="00782640" w:rsidRDefault="00782640" w:rsidP="00782640">
      <w:pPr>
        <w:spacing w:after="0" w:line="240" w:lineRule="auto"/>
        <w:jc w:val="both"/>
        <w:rPr>
          <w:rFonts w:ascii="Calibri" w:eastAsia="MS Mincho" w:hAnsi="Calibri" w:cs="Times New Roman"/>
          <w:sz w:val="24"/>
          <w:szCs w:val="24"/>
        </w:rPr>
      </w:pPr>
      <w:r w:rsidRPr="00782640">
        <w:rPr>
          <w:rFonts w:ascii="Calibri" w:eastAsia="MS Mincho" w:hAnsi="Calibri" w:cs="Times New Roman"/>
          <w:sz w:val="24"/>
          <w:szCs w:val="24"/>
        </w:rPr>
        <w:t xml:space="preserve"> </w:t>
      </w:r>
    </w:p>
    <w:p w14:paraId="62D8D850" w14:textId="77777777" w:rsidR="00782640" w:rsidRPr="00782640" w:rsidRDefault="00782640" w:rsidP="00782640">
      <w:pPr>
        <w:numPr>
          <w:ilvl w:val="0"/>
          <w:numId w:val="95"/>
        </w:numPr>
        <w:spacing w:after="0" w:line="240" w:lineRule="auto"/>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The panel agreed that getting the concept of ‘early stage kidney disease’ across to Aboriginal and Torres Strait Islander patients is vital in managing the progression of kidney disease as promoted in CKD guidelines. </w:t>
      </w:r>
    </w:p>
    <w:p w14:paraId="33EF6515" w14:textId="77777777" w:rsidR="00782640" w:rsidRPr="00782640" w:rsidRDefault="00782640" w:rsidP="00782640">
      <w:pPr>
        <w:spacing w:after="0" w:line="240" w:lineRule="auto"/>
        <w:jc w:val="both"/>
        <w:rPr>
          <w:rFonts w:ascii="Calibri" w:eastAsia="MS Mincho" w:hAnsi="Calibri" w:cs="Times New Roman"/>
          <w:sz w:val="24"/>
          <w:szCs w:val="24"/>
        </w:rPr>
      </w:pPr>
    </w:p>
    <w:p w14:paraId="02059F50" w14:textId="77777777" w:rsidR="00782640" w:rsidRPr="00782640" w:rsidRDefault="00782640" w:rsidP="00782640">
      <w:pPr>
        <w:numPr>
          <w:ilvl w:val="0"/>
          <w:numId w:val="95"/>
        </w:numPr>
        <w:spacing w:after="0" w:line="240" w:lineRule="auto"/>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Achieving early diagnosis of CKD (at stage 1-2) is a significant issue within the Indigenous community. Often patients only become aware of their kidneys or seek help when they reach CKD stage 3 or beyond. </w:t>
      </w:r>
    </w:p>
    <w:p w14:paraId="2CBD7AE2" w14:textId="77777777" w:rsidR="00782640" w:rsidRPr="00782640" w:rsidRDefault="00782640" w:rsidP="00782640">
      <w:pPr>
        <w:spacing w:after="0" w:line="240" w:lineRule="auto"/>
        <w:jc w:val="both"/>
        <w:rPr>
          <w:rFonts w:ascii="Calibri" w:eastAsia="MS Mincho" w:hAnsi="Calibri" w:cs="Times New Roman"/>
          <w:sz w:val="24"/>
          <w:szCs w:val="24"/>
        </w:rPr>
      </w:pPr>
    </w:p>
    <w:p w14:paraId="7C1FFA21" w14:textId="77777777" w:rsidR="00782640" w:rsidRPr="00782640" w:rsidRDefault="00782640" w:rsidP="00782640">
      <w:pPr>
        <w:numPr>
          <w:ilvl w:val="0"/>
          <w:numId w:val="95"/>
        </w:numPr>
        <w:spacing w:after="0" w:line="240" w:lineRule="auto"/>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Awareness about primary and secondary prevention of kidney disease is low within the primary health care workforce and among kidney patients.  Efforts to raise awareness of earlier stage CKD in Aboriginal Medical Services can be frustrated by healthcare workers’ perception that “they don’t die of Stages 1 or 2 [of CKD] so why discuss it”. </w:t>
      </w:r>
    </w:p>
    <w:p w14:paraId="71CBC683" w14:textId="77777777" w:rsidR="00782640" w:rsidRPr="00782640" w:rsidRDefault="00782640" w:rsidP="00782640">
      <w:pPr>
        <w:spacing w:after="0" w:line="240" w:lineRule="auto"/>
        <w:jc w:val="both"/>
        <w:rPr>
          <w:rFonts w:ascii="Calibri" w:eastAsia="MS Mincho" w:hAnsi="Calibri" w:cs="Times New Roman"/>
          <w:sz w:val="24"/>
          <w:szCs w:val="24"/>
        </w:rPr>
      </w:pPr>
    </w:p>
    <w:p w14:paraId="318B799D" w14:textId="77777777" w:rsidR="00782640" w:rsidRPr="00782640" w:rsidRDefault="00782640" w:rsidP="00782640">
      <w:pPr>
        <w:numPr>
          <w:ilvl w:val="0"/>
          <w:numId w:val="95"/>
        </w:numPr>
        <w:spacing w:after="0" w:line="240" w:lineRule="auto"/>
        <w:contextualSpacing/>
        <w:jc w:val="both"/>
        <w:rPr>
          <w:rFonts w:ascii="Calibri" w:eastAsia="MS Mincho" w:hAnsi="Calibri" w:cs="Times New Roman"/>
          <w:sz w:val="24"/>
          <w:szCs w:val="24"/>
        </w:rPr>
      </w:pPr>
      <w:r w:rsidRPr="00782640">
        <w:rPr>
          <w:rFonts w:ascii="Calibri" w:eastAsia="MS Mincho" w:hAnsi="Calibri" w:cs="Times New Roman"/>
          <w:sz w:val="24"/>
          <w:szCs w:val="24"/>
        </w:rPr>
        <w:t>In addition, competing health priorities may lead to early stage CKD being de-prioritised, even when other priorities are co-morbidities such as diabetes, which can lead to CKD.</w:t>
      </w:r>
    </w:p>
    <w:p w14:paraId="4EC556C6" w14:textId="77777777" w:rsidR="00782640" w:rsidRPr="00782640" w:rsidRDefault="00782640" w:rsidP="00782640">
      <w:pPr>
        <w:spacing w:after="0" w:line="240" w:lineRule="auto"/>
        <w:jc w:val="both"/>
        <w:rPr>
          <w:rFonts w:ascii="Calibri" w:eastAsia="MS Mincho" w:hAnsi="Calibri" w:cs="Times New Roman"/>
          <w:sz w:val="24"/>
          <w:szCs w:val="24"/>
        </w:rPr>
      </w:pPr>
    </w:p>
    <w:p w14:paraId="039EC280" w14:textId="77777777" w:rsidR="00782640" w:rsidRPr="00917039" w:rsidRDefault="00782640" w:rsidP="00782640">
      <w:pPr>
        <w:spacing w:after="0" w:line="240" w:lineRule="auto"/>
        <w:jc w:val="both"/>
        <w:rPr>
          <w:rFonts w:ascii="Adelle Sans SemiBold" w:eastAsia="Calibri" w:hAnsi="Adelle Sans SemiBold" w:cs="Times New Roman"/>
          <w:b/>
          <w:bCs/>
          <w:i/>
          <w:iCs/>
          <w:color w:val="C00000"/>
          <w:sz w:val="22"/>
        </w:rPr>
      </w:pPr>
      <w:r w:rsidRPr="00917039">
        <w:rPr>
          <w:rFonts w:ascii="Adelle Sans SemiBold" w:eastAsia="Calibri" w:hAnsi="Adelle Sans SemiBold" w:cs="Times New Roman"/>
          <w:b/>
          <w:bCs/>
          <w:i/>
          <w:iCs/>
          <w:color w:val="C00000"/>
          <w:sz w:val="22"/>
        </w:rPr>
        <w:t xml:space="preserve">Fear of Kidney Disease: </w:t>
      </w:r>
    </w:p>
    <w:p w14:paraId="7C98506F" w14:textId="77777777" w:rsidR="00782640" w:rsidRPr="00782640" w:rsidRDefault="00782640" w:rsidP="00782640">
      <w:pPr>
        <w:spacing w:after="0" w:line="240" w:lineRule="auto"/>
        <w:jc w:val="both"/>
        <w:rPr>
          <w:rFonts w:ascii="Calibri" w:eastAsia="MS Mincho" w:hAnsi="Calibri" w:cs="Times New Roman"/>
          <w:i/>
          <w:sz w:val="24"/>
          <w:szCs w:val="24"/>
        </w:rPr>
      </w:pPr>
    </w:p>
    <w:p w14:paraId="7A52AB68" w14:textId="77777777" w:rsidR="00782640" w:rsidRPr="00782640" w:rsidRDefault="00782640" w:rsidP="00782640">
      <w:pPr>
        <w:numPr>
          <w:ilvl w:val="0"/>
          <w:numId w:val="114"/>
        </w:numPr>
        <w:spacing w:after="0" w:line="240" w:lineRule="auto"/>
        <w:ind w:left="360"/>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At present there is little understanding among the broader health professional community regarding the psycho-social and spiritual support needs of Aboriginal and Torres Strait Islander peoples living with CKD. This should be a Guidelines priority.   </w:t>
      </w:r>
    </w:p>
    <w:p w14:paraId="5086A300" w14:textId="77777777" w:rsidR="00782640" w:rsidRPr="00782640" w:rsidRDefault="00782640" w:rsidP="00782640">
      <w:pPr>
        <w:spacing w:after="0" w:line="240" w:lineRule="auto"/>
        <w:ind w:left="360"/>
        <w:contextualSpacing/>
        <w:jc w:val="both"/>
        <w:rPr>
          <w:rFonts w:ascii="Calibri" w:eastAsia="MS Mincho" w:hAnsi="Calibri" w:cs="Times New Roman"/>
          <w:sz w:val="24"/>
          <w:szCs w:val="24"/>
        </w:rPr>
      </w:pPr>
    </w:p>
    <w:p w14:paraId="58281855" w14:textId="77777777" w:rsidR="00782640" w:rsidRPr="00782640" w:rsidRDefault="00782640" w:rsidP="00782640">
      <w:pPr>
        <w:numPr>
          <w:ilvl w:val="0"/>
          <w:numId w:val="114"/>
        </w:numPr>
        <w:spacing w:after="0" w:line="240" w:lineRule="auto"/>
        <w:ind w:left="360"/>
        <w:contextualSpacing/>
        <w:jc w:val="both"/>
        <w:rPr>
          <w:rFonts w:ascii="Calibri" w:eastAsia="MS Mincho" w:hAnsi="Calibri" w:cs="Times New Roman"/>
          <w:sz w:val="24"/>
          <w:szCs w:val="24"/>
        </w:rPr>
      </w:pPr>
      <w:r w:rsidRPr="00782640">
        <w:rPr>
          <w:rFonts w:ascii="Calibri" w:eastAsia="MS Mincho" w:hAnsi="Calibri" w:cs="Times New Roman"/>
          <w:sz w:val="24"/>
          <w:szCs w:val="24"/>
        </w:rPr>
        <w:t>Health professionals may minimise early stages of chronic kidney disease.</w:t>
      </w:r>
    </w:p>
    <w:p w14:paraId="153A4CD9" w14:textId="77777777" w:rsidR="00782640" w:rsidRPr="00782640" w:rsidRDefault="00782640" w:rsidP="00782640">
      <w:pPr>
        <w:spacing w:after="0" w:line="240" w:lineRule="auto"/>
        <w:jc w:val="both"/>
        <w:rPr>
          <w:rFonts w:ascii="Calibri" w:eastAsia="MS Mincho" w:hAnsi="Calibri" w:cs="Times New Roman"/>
          <w:sz w:val="24"/>
          <w:szCs w:val="24"/>
        </w:rPr>
      </w:pPr>
    </w:p>
    <w:p w14:paraId="78A2DDBF" w14:textId="77777777" w:rsidR="00782640" w:rsidRPr="00782640" w:rsidRDefault="00782640" w:rsidP="00782640">
      <w:pPr>
        <w:numPr>
          <w:ilvl w:val="0"/>
          <w:numId w:val="114"/>
        </w:numPr>
        <w:spacing w:after="0" w:line="240" w:lineRule="auto"/>
        <w:ind w:left="360"/>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Guideline usefulness is hampered by the difficulties faced by health professionals when trying to educate patients to understand the importance of looking after their kidneys, without causing fear. </w:t>
      </w:r>
    </w:p>
    <w:p w14:paraId="1B21DC14" w14:textId="77777777" w:rsidR="00782640" w:rsidRPr="00782640" w:rsidRDefault="00782640" w:rsidP="00782640">
      <w:pPr>
        <w:spacing w:after="0" w:line="240" w:lineRule="auto"/>
        <w:jc w:val="both"/>
        <w:rPr>
          <w:rFonts w:ascii="Calibri" w:eastAsia="MS Mincho" w:hAnsi="Calibri" w:cs="Times New Roman"/>
          <w:sz w:val="24"/>
          <w:szCs w:val="24"/>
        </w:rPr>
      </w:pPr>
    </w:p>
    <w:p w14:paraId="7D396CD5" w14:textId="16BCD23E" w:rsidR="00782640" w:rsidRPr="00EC7110" w:rsidRDefault="00782640" w:rsidP="00782640">
      <w:pPr>
        <w:numPr>
          <w:ilvl w:val="0"/>
          <w:numId w:val="114"/>
        </w:numPr>
        <w:spacing w:after="0" w:line="240" w:lineRule="auto"/>
        <w:ind w:left="360"/>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Health professionals may minimise the severity of kidney disease in order to engage patients e.g. “you just got a little bit of kidney trouble” or “Your kidneys aren’t quite 100%”. </w:t>
      </w:r>
    </w:p>
    <w:p w14:paraId="1F113419" w14:textId="77777777" w:rsidR="00782640" w:rsidRPr="00782640" w:rsidRDefault="00782640" w:rsidP="00782640">
      <w:pPr>
        <w:numPr>
          <w:ilvl w:val="0"/>
          <w:numId w:val="114"/>
        </w:numPr>
        <w:spacing w:after="0" w:line="240" w:lineRule="auto"/>
        <w:ind w:left="360"/>
        <w:contextualSpacing/>
        <w:jc w:val="both"/>
        <w:rPr>
          <w:rFonts w:ascii="Calibri" w:eastAsia="MS Mincho" w:hAnsi="Calibri" w:cs="Times New Roman"/>
          <w:sz w:val="24"/>
          <w:szCs w:val="24"/>
        </w:rPr>
      </w:pPr>
      <w:r w:rsidRPr="00782640">
        <w:rPr>
          <w:rFonts w:ascii="Calibri" w:eastAsia="MS Mincho" w:hAnsi="Calibri" w:cs="Times New Roman"/>
          <w:sz w:val="24"/>
          <w:szCs w:val="24"/>
        </w:rPr>
        <w:lastRenderedPageBreak/>
        <w:t xml:space="preserve">The word ‘Disease’ always implies end-stage kidney disease even when used to describe early CKD stages. A diagnosis of kidney disease leads to a pessimism among patients, irrespective of CKD stage. This is a major barrier to strategies targeted at earlier stage CKD. </w:t>
      </w:r>
    </w:p>
    <w:p w14:paraId="72085B5A" w14:textId="77777777" w:rsidR="00782640" w:rsidRPr="00782640" w:rsidRDefault="00782640" w:rsidP="00782640">
      <w:pPr>
        <w:spacing w:after="0" w:line="240" w:lineRule="auto"/>
        <w:jc w:val="both"/>
        <w:rPr>
          <w:rFonts w:ascii="Calibri" w:eastAsia="MS Mincho" w:hAnsi="Calibri" w:cs="Times New Roman"/>
          <w:sz w:val="24"/>
          <w:szCs w:val="24"/>
        </w:rPr>
      </w:pPr>
    </w:p>
    <w:p w14:paraId="45A57558" w14:textId="77777777" w:rsidR="00782640" w:rsidRPr="00782640" w:rsidRDefault="00782640" w:rsidP="00782640">
      <w:pPr>
        <w:numPr>
          <w:ilvl w:val="0"/>
          <w:numId w:val="114"/>
        </w:numPr>
        <w:spacing w:after="0" w:line="240" w:lineRule="auto"/>
        <w:ind w:left="360"/>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Dialysis is almost always the main treatment that patients mentally associate with kidney disease at any stage, and this impedes focus on earlier preventative measures. </w:t>
      </w:r>
    </w:p>
    <w:p w14:paraId="77938F4D" w14:textId="77777777" w:rsidR="00782640" w:rsidRPr="00782640" w:rsidRDefault="00782640" w:rsidP="00782640">
      <w:pPr>
        <w:spacing w:after="0" w:line="240" w:lineRule="auto"/>
        <w:jc w:val="both"/>
        <w:rPr>
          <w:rFonts w:ascii="Calibri" w:eastAsia="MS Mincho" w:hAnsi="Calibri" w:cs="Times New Roman"/>
          <w:sz w:val="24"/>
          <w:szCs w:val="24"/>
        </w:rPr>
      </w:pPr>
    </w:p>
    <w:p w14:paraId="72ED711C" w14:textId="77777777" w:rsidR="00782640" w:rsidRPr="00782640" w:rsidRDefault="00782640" w:rsidP="00782640">
      <w:pPr>
        <w:numPr>
          <w:ilvl w:val="0"/>
          <w:numId w:val="114"/>
        </w:numPr>
        <w:spacing w:after="0" w:line="240" w:lineRule="auto"/>
        <w:ind w:left="360"/>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Important messages can be lost or distorted when the patient feels the doctor is not taking a holistic approach or when the patient is “blindsided” by a health assessment which reveals a multitude of health issues.  </w:t>
      </w:r>
    </w:p>
    <w:p w14:paraId="1A192DFE" w14:textId="77777777" w:rsidR="00782640" w:rsidRPr="00782640" w:rsidRDefault="00782640" w:rsidP="00782640">
      <w:pPr>
        <w:spacing w:after="0" w:line="240" w:lineRule="auto"/>
        <w:jc w:val="both"/>
        <w:rPr>
          <w:rFonts w:ascii="Calibri" w:eastAsia="MS Mincho" w:hAnsi="Calibri" w:cs="Times New Roman"/>
          <w:sz w:val="24"/>
          <w:szCs w:val="24"/>
        </w:rPr>
      </w:pPr>
    </w:p>
    <w:p w14:paraId="530635A0" w14:textId="77777777" w:rsidR="00782640" w:rsidRPr="00782640" w:rsidRDefault="00782640" w:rsidP="00782640">
      <w:pPr>
        <w:numPr>
          <w:ilvl w:val="0"/>
          <w:numId w:val="114"/>
        </w:numPr>
        <w:spacing w:after="0" w:line="240" w:lineRule="auto"/>
        <w:ind w:left="360"/>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Patients may be overwhelmed when they attend health consultations for a specific problems or issue, but the subsequent comprehensive health assessment reveals many more problems. </w:t>
      </w:r>
    </w:p>
    <w:p w14:paraId="3044187D" w14:textId="77777777" w:rsidR="00782640" w:rsidRPr="00782640" w:rsidRDefault="00782640" w:rsidP="00782640">
      <w:pPr>
        <w:spacing w:after="0" w:line="240" w:lineRule="auto"/>
        <w:jc w:val="both"/>
        <w:rPr>
          <w:rFonts w:ascii="Calibri" w:eastAsia="MS Mincho" w:hAnsi="Calibri" w:cs="Times New Roman"/>
          <w:i/>
          <w:sz w:val="24"/>
          <w:szCs w:val="24"/>
        </w:rPr>
      </w:pPr>
    </w:p>
    <w:p w14:paraId="3F6C3353" w14:textId="77777777" w:rsidR="00782640" w:rsidRPr="00917039" w:rsidRDefault="00782640" w:rsidP="00782640">
      <w:pPr>
        <w:spacing w:after="0" w:line="240" w:lineRule="auto"/>
        <w:jc w:val="both"/>
        <w:rPr>
          <w:rFonts w:ascii="Adelle Sans SemiBold" w:eastAsia="Calibri" w:hAnsi="Adelle Sans SemiBold" w:cs="Times New Roman"/>
          <w:b/>
          <w:bCs/>
          <w:i/>
          <w:iCs/>
          <w:color w:val="C00000"/>
          <w:sz w:val="22"/>
        </w:rPr>
      </w:pPr>
      <w:r w:rsidRPr="00917039">
        <w:rPr>
          <w:rFonts w:ascii="Adelle Sans SemiBold" w:eastAsia="Calibri" w:hAnsi="Adelle Sans SemiBold" w:cs="Times New Roman"/>
          <w:b/>
          <w:bCs/>
          <w:i/>
          <w:iCs/>
          <w:color w:val="C00000"/>
          <w:sz w:val="22"/>
        </w:rPr>
        <w:t>Inadequate Communication of Guideline Recommendations to Patients:</w:t>
      </w:r>
    </w:p>
    <w:p w14:paraId="34F9CEAB" w14:textId="77777777" w:rsidR="00782640" w:rsidRPr="00782640" w:rsidRDefault="00782640" w:rsidP="00782640">
      <w:pPr>
        <w:spacing w:after="0" w:line="240" w:lineRule="auto"/>
        <w:jc w:val="both"/>
        <w:rPr>
          <w:rFonts w:ascii="Calibri" w:eastAsia="MS Mincho" w:hAnsi="Calibri" w:cs="Times New Roman"/>
          <w:i/>
          <w:sz w:val="24"/>
          <w:szCs w:val="24"/>
        </w:rPr>
      </w:pPr>
      <w:r w:rsidRPr="00782640">
        <w:rPr>
          <w:rFonts w:ascii="Calibri" w:eastAsia="MS Mincho" w:hAnsi="Calibri" w:cs="Times New Roman"/>
          <w:i/>
          <w:sz w:val="24"/>
          <w:szCs w:val="24"/>
        </w:rPr>
        <w:t xml:space="preserve"> </w:t>
      </w:r>
    </w:p>
    <w:p w14:paraId="6E7A55F4" w14:textId="77777777" w:rsidR="00782640" w:rsidRPr="00782640" w:rsidRDefault="00782640" w:rsidP="00782640">
      <w:pPr>
        <w:numPr>
          <w:ilvl w:val="0"/>
          <w:numId w:val="115"/>
        </w:numPr>
        <w:spacing w:after="0" w:line="240" w:lineRule="auto"/>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The western approach is to develop guidelines based on evidence and apply these consistently to all persons. This approach is not culturally aware or respectful, and may cause harm to patients or disengage patients from their health care. </w:t>
      </w:r>
    </w:p>
    <w:p w14:paraId="664057B1" w14:textId="77777777" w:rsidR="00782640" w:rsidRPr="00782640" w:rsidRDefault="00782640" w:rsidP="00782640">
      <w:pPr>
        <w:spacing w:after="0" w:line="240" w:lineRule="auto"/>
        <w:jc w:val="both"/>
        <w:rPr>
          <w:rFonts w:ascii="Calibri" w:eastAsia="MS Mincho" w:hAnsi="Calibri" w:cs="Times New Roman"/>
          <w:sz w:val="24"/>
          <w:szCs w:val="24"/>
        </w:rPr>
      </w:pPr>
    </w:p>
    <w:p w14:paraId="4D710A6D" w14:textId="77777777" w:rsidR="00782640" w:rsidRPr="00782640" w:rsidRDefault="00782640" w:rsidP="00782640">
      <w:pPr>
        <w:numPr>
          <w:ilvl w:val="0"/>
          <w:numId w:val="115"/>
        </w:numPr>
        <w:spacing w:after="0" w:line="240" w:lineRule="auto"/>
        <w:contextualSpacing/>
        <w:jc w:val="both"/>
        <w:rPr>
          <w:rFonts w:ascii="Calibri" w:eastAsia="MS Mincho" w:hAnsi="Calibri" w:cs="Times New Roman"/>
          <w:sz w:val="24"/>
          <w:szCs w:val="24"/>
        </w:rPr>
      </w:pPr>
      <w:r w:rsidRPr="00782640">
        <w:rPr>
          <w:rFonts w:ascii="Calibri" w:eastAsia="MS Mincho" w:hAnsi="Calibri" w:cs="Times New Roman"/>
          <w:sz w:val="24"/>
          <w:szCs w:val="24"/>
        </w:rPr>
        <w:t>The terminology used within the guidelines is often not suitable for translation to Aboriginal and Torres Strait Islander peoples. For example, routine eGFR reporting has assisted in providing a language framework to use when explaining kidney disease but this is not useful in all patients due to language and understanding barriers.</w:t>
      </w:r>
    </w:p>
    <w:p w14:paraId="04A9CB5F" w14:textId="77777777" w:rsidR="00782640" w:rsidRPr="00782640" w:rsidRDefault="00782640" w:rsidP="00782640">
      <w:pPr>
        <w:spacing w:after="0" w:line="240" w:lineRule="auto"/>
        <w:ind w:left="360"/>
        <w:contextualSpacing/>
        <w:jc w:val="both"/>
        <w:rPr>
          <w:rFonts w:ascii="Calibri" w:eastAsia="MS Mincho" w:hAnsi="Calibri" w:cs="Times New Roman"/>
          <w:sz w:val="24"/>
          <w:szCs w:val="24"/>
        </w:rPr>
      </w:pPr>
    </w:p>
    <w:p w14:paraId="00EBB1D7" w14:textId="77777777" w:rsidR="00782640" w:rsidRPr="00782640" w:rsidRDefault="00782640" w:rsidP="00782640">
      <w:pPr>
        <w:numPr>
          <w:ilvl w:val="0"/>
          <w:numId w:val="115"/>
        </w:numPr>
        <w:spacing w:after="0" w:line="240" w:lineRule="auto"/>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The benefits of chronic disease treatment are not always explained or are explained in broad terms that have little tangible meaning. This is particularly relevant for asymptomatic disease states. </w:t>
      </w:r>
    </w:p>
    <w:p w14:paraId="6D122CAA" w14:textId="77777777" w:rsidR="00782640" w:rsidRPr="00782640" w:rsidRDefault="00782640" w:rsidP="00782640">
      <w:pPr>
        <w:spacing w:after="0" w:line="240" w:lineRule="auto"/>
        <w:ind w:left="360"/>
        <w:contextualSpacing/>
        <w:jc w:val="both"/>
        <w:rPr>
          <w:rFonts w:ascii="Calibri" w:eastAsia="MS Mincho" w:hAnsi="Calibri" w:cs="Times New Roman"/>
          <w:sz w:val="24"/>
          <w:szCs w:val="24"/>
        </w:rPr>
      </w:pPr>
    </w:p>
    <w:p w14:paraId="6D48725D" w14:textId="77777777" w:rsidR="00782640" w:rsidRPr="00782640" w:rsidRDefault="00782640" w:rsidP="00782640">
      <w:pPr>
        <w:numPr>
          <w:ilvl w:val="0"/>
          <w:numId w:val="115"/>
        </w:numPr>
        <w:spacing w:after="0" w:line="240" w:lineRule="auto"/>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Inadequate communication is a central root cause of perceived patient non-adherence, and perpetuate unfair judgement of Indigenous patients by health care providers. </w:t>
      </w:r>
    </w:p>
    <w:p w14:paraId="0F5841DD" w14:textId="77777777" w:rsidR="00782640" w:rsidRPr="00782640" w:rsidRDefault="00782640" w:rsidP="00782640">
      <w:pPr>
        <w:spacing w:after="0" w:line="240" w:lineRule="auto"/>
        <w:jc w:val="both"/>
        <w:rPr>
          <w:rFonts w:ascii="Calibri" w:eastAsia="MS Mincho" w:hAnsi="Calibri" w:cs="Times New Roman"/>
          <w:sz w:val="24"/>
          <w:szCs w:val="24"/>
        </w:rPr>
      </w:pPr>
    </w:p>
    <w:p w14:paraId="47E37A4D" w14:textId="77777777" w:rsidR="00782640" w:rsidRPr="00782640" w:rsidRDefault="00782640" w:rsidP="00782640">
      <w:pPr>
        <w:numPr>
          <w:ilvl w:val="0"/>
          <w:numId w:val="115"/>
        </w:numPr>
        <w:spacing w:after="0" w:line="240" w:lineRule="auto"/>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Aboriginal people respond better to intergenerational learning. Their knowledge is obtained through first-hand (family/personal) experiences. Addressing the care needs of indigenous patients without inclusion of family and support persons can limit the success of the interaction, and may lead to lack of understanding about why certain treatments or interventions are recommended. Decision-making often requires further family and community involvement. </w:t>
      </w:r>
    </w:p>
    <w:p w14:paraId="613DA7AA" w14:textId="77777777" w:rsidR="00EC7110" w:rsidRDefault="00EC7110" w:rsidP="00782640">
      <w:pPr>
        <w:spacing w:after="0" w:line="240" w:lineRule="auto"/>
        <w:jc w:val="both"/>
        <w:rPr>
          <w:rFonts w:ascii="Adelle Sans SemiBold" w:eastAsia="Calibri" w:hAnsi="Adelle Sans SemiBold" w:cs="Times New Roman"/>
          <w:b/>
          <w:bCs/>
          <w:i/>
          <w:iCs/>
          <w:color w:val="C00000"/>
          <w:sz w:val="22"/>
        </w:rPr>
      </w:pPr>
    </w:p>
    <w:p w14:paraId="79052E23" w14:textId="1D625AAF" w:rsidR="00782640" w:rsidRPr="00782640" w:rsidRDefault="00782640" w:rsidP="00782640">
      <w:pPr>
        <w:spacing w:after="0" w:line="240" w:lineRule="auto"/>
        <w:jc w:val="both"/>
        <w:rPr>
          <w:rFonts w:ascii="Adelle Sans SemiBold" w:eastAsia="Calibri" w:hAnsi="Adelle Sans SemiBold" w:cs="Times New Roman"/>
          <w:b/>
          <w:bCs/>
          <w:i/>
          <w:iCs/>
          <w:color w:val="FF0000"/>
          <w:sz w:val="22"/>
        </w:rPr>
      </w:pPr>
      <w:r w:rsidRPr="00917039">
        <w:rPr>
          <w:rFonts w:ascii="Adelle Sans SemiBold" w:eastAsia="Calibri" w:hAnsi="Adelle Sans SemiBold" w:cs="Times New Roman"/>
          <w:b/>
          <w:bCs/>
          <w:i/>
          <w:iCs/>
          <w:color w:val="C00000"/>
          <w:sz w:val="22"/>
        </w:rPr>
        <w:t>Biological Variations:</w:t>
      </w:r>
    </w:p>
    <w:p w14:paraId="56C7FCB5" w14:textId="77777777" w:rsidR="00782640" w:rsidRPr="00782640" w:rsidRDefault="00782640" w:rsidP="00782640">
      <w:pPr>
        <w:spacing w:after="0" w:line="240" w:lineRule="auto"/>
        <w:jc w:val="both"/>
        <w:rPr>
          <w:rFonts w:ascii="Calibri" w:eastAsia="MS Mincho" w:hAnsi="Calibri" w:cs="Times New Roman"/>
          <w:i/>
          <w:sz w:val="24"/>
          <w:szCs w:val="24"/>
        </w:rPr>
      </w:pPr>
    </w:p>
    <w:p w14:paraId="51369FAB" w14:textId="77777777" w:rsidR="00782640" w:rsidRPr="00782640" w:rsidRDefault="00782640" w:rsidP="00782640">
      <w:pPr>
        <w:numPr>
          <w:ilvl w:val="0"/>
          <w:numId w:val="116"/>
        </w:numPr>
        <w:spacing w:after="0" w:line="240" w:lineRule="auto"/>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The panel did not strongly feel there were significant biological variations between Indigenous and non-indigenous patients that would preclude the utility of general CKD </w:t>
      </w:r>
      <w:r w:rsidRPr="00782640">
        <w:rPr>
          <w:rFonts w:ascii="Calibri" w:eastAsia="MS Mincho" w:hAnsi="Calibri" w:cs="Times New Roman"/>
          <w:sz w:val="24"/>
          <w:szCs w:val="24"/>
        </w:rPr>
        <w:lastRenderedPageBreak/>
        <w:t xml:space="preserve">guidelines. A lack of research with Indigenous groups to explore biological variability was noted. </w:t>
      </w:r>
    </w:p>
    <w:p w14:paraId="37983CE3" w14:textId="77777777" w:rsidR="00782640" w:rsidRPr="00782640" w:rsidRDefault="00782640" w:rsidP="00782640">
      <w:pPr>
        <w:spacing w:after="0" w:line="240" w:lineRule="auto"/>
        <w:ind w:left="360"/>
        <w:contextualSpacing/>
        <w:jc w:val="both"/>
        <w:rPr>
          <w:rFonts w:ascii="Calibri" w:eastAsia="MS Mincho" w:hAnsi="Calibri" w:cs="Times New Roman"/>
          <w:sz w:val="24"/>
          <w:szCs w:val="24"/>
        </w:rPr>
      </w:pPr>
    </w:p>
    <w:p w14:paraId="66649B2B" w14:textId="77777777" w:rsidR="00782640" w:rsidRPr="00782640" w:rsidRDefault="00782640" w:rsidP="00782640">
      <w:pPr>
        <w:numPr>
          <w:ilvl w:val="0"/>
          <w:numId w:val="116"/>
        </w:numPr>
        <w:spacing w:after="0" w:line="240" w:lineRule="auto"/>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Transplantation (especially tissue typing and organ matching) was one area where biological variation is likely to exist and this should be addressed in any Guidelines related to transplantation care. </w:t>
      </w:r>
    </w:p>
    <w:p w14:paraId="3CA19E22" w14:textId="77777777" w:rsidR="00782640" w:rsidRPr="00782640" w:rsidRDefault="00782640" w:rsidP="00782640">
      <w:pPr>
        <w:spacing w:after="0" w:line="240" w:lineRule="auto"/>
        <w:jc w:val="both"/>
        <w:rPr>
          <w:rFonts w:ascii="Calibri" w:eastAsia="MS Mincho" w:hAnsi="Calibri" w:cs="Times New Roman"/>
          <w:sz w:val="24"/>
          <w:szCs w:val="24"/>
        </w:rPr>
      </w:pPr>
    </w:p>
    <w:p w14:paraId="1F3C4C34" w14:textId="77777777" w:rsidR="00782640" w:rsidRPr="00782640" w:rsidRDefault="00782640" w:rsidP="00782640">
      <w:pPr>
        <w:numPr>
          <w:ilvl w:val="0"/>
          <w:numId w:val="116"/>
        </w:numPr>
        <w:spacing w:after="0" w:line="240" w:lineRule="auto"/>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The treatment pathways for early stage kidney disease were thought to be the same for all patients. </w:t>
      </w:r>
    </w:p>
    <w:p w14:paraId="6744362A" w14:textId="77777777" w:rsidR="00782640" w:rsidRPr="00782640" w:rsidRDefault="00782640" w:rsidP="00782640">
      <w:pPr>
        <w:spacing w:after="0" w:line="240" w:lineRule="auto"/>
        <w:jc w:val="both"/>
        <w:rPr>
          <w:rFonts w:ascii="Calibri" w:eastAsia="MS Mincho" w:hAnsi="Calibri" w:cs="Times New Roman"/>
          <w:sz w:val="24"/>
          <w:szCs w:val="24"/>
        </w:rPr>
      </w:pPr>
    </w:p>
    <w:p w14:paraId="3EDEC9D7" w14:textId="77777777" w:rsidR="00782640" w:rsidRPr="00782640" w:rsidRDefault="00782640" w:rsidP="00782640">
      <w:pPr>
        <w:numPr>
          <w:ilvl w:val="0"/>
          <w:numId w:val="116"/>
        </w:numPr>
        <w:spacing w:after="0" w:line="240" w:lineRule="auto"/>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There was some consideration that disease progress may be more aggressive in Aboriginal and Torres Strait Islander peoples especially for diabetic kidney disease. </w:t>
      </w:r>
    </w:p>
    <w:p w14:paraId="03F21C1E" w14:textId="77777777" w:rsidR="00782640" w:rsidRPr="00782640" w:rsidRDefault="00782640" w:rsidP="00782640">
      <w:pPr>
        <w:spacing w:after="0" w:line="240" w:lineRule="auto"/>
        <w:jc w:val="both"/>
        <w:rPr>
          <w:rFonts w:ascii="Calibri" w:eastAsia="MS Mincho" w:hAnsi="Calibri" w:cs="Times New Roman"/>
          <w:sz w:val="24"/>
          <w:szCs w:val="24"/>
        </w:rPr>
      </w:pPr>
    </w:p>
    <w:p w14:paraId="7A2D6AA9" w14:textId="77777777" w:rsidR="00782640" w:rsidRPr="00782640" w:rsidRDefault="00782640" w:rsidP="00782640">
      <w:pPr>
        <w:numPr>
          <w:ilvl w:val="0"/>
          <w:numId w:val="116"/>
        </w:numPr>
        <w:spacing w:after="0" w:line="240" w:lineRule="auto"/>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There is no clear evidence on variation in drug metabolism for Indigenous patients, but it was noted that research is occurring especially with immunosuppressive agents. </w:t>
      </w:r>
    </w:p>
    <w:p w14:paraId="3B61C557" w14:textId="77777777" w:rsidR="00782640" w:rsidRPr="00782640" w:rsidRDefault="00782640" w:rsidP="00782640">
      <w:pPr>
        <w:spacing w:after="0" w:line="240" w:lineRule="auto"/>
        <w:jc w:val="both"/>
        <w:rPr>
          <w:rFonts w:ascii="Calibri" w:eastAsia="MS Mincho" w:hAnsi="Calibri" w:cs="Times New Roman"/>
          <w:color w:val="7F7F7F"/>
          <w:sz w:val="24"/>
          <w:szCs w:val="24"/>
        </w:rPr>
      </w:pPr>
    </w:p>
    <w:p w14:paraId="30DC5C78" w14:textId="77777777" w:rsidR="00782640" w:rsidRPr="00782640" w:rsidRDefault="00782640" w:rsidP="00782640">
      <w:pPr>
        <w:spacing w:after="0" w:line="240" w:lineRule="auto"/>
        <w:jc w:val="both"/>
        <w:rPr>
          <w:rFonts w:ascii="Adelle Sans SemiBold" w:eastAsia="Calibri" w:hAnsi="Adelle Sans SemiBold" w:cs="Times New Roman"/>
          <w:b/>
          <w:bCs/>
          <w:i/>
          <w:iCs/>
          <w:color w:val="FF0000"/>
          <w:sz w:val="22"/>
        </w:rPr>
      </w:pPr>
      <w:r w:rsidRPr="00917039">
        <w:rPr>
          <w:rFonts w:ascii="Adelle Sans SemiBold" w:eastAsia="Calibri" w:hAnsi="Adelle Sans SemiBold" w:cs="Times New Roman"/>
          <w:b/>
          <w:bCs/>
          <w:i/>
          <w:iCs/>
          <w:color w:val="C00000"/>
          <w:sz w:val="22"/>
        </w:rPr>
        <w:t xml:space="preserve">Demographic and Logistical Issues: </w:t>
      </w:r>
    </w:p>
    <w:p w14:paraId="10D43479" w14:textId="77777777" w:rsidR="00782640" w:rsidRPr="00782640" w:rsidRDefault="00782640" w:rsidP="00782640">
      <w:pPr>
        <w:spacing w:after="0" w:line="240" w:lineRule="auto"/>
        <w:jc w:val="both"/>
        <w:rPr>
          <w:rFonts w:ascii="Calibri" w:eastAsia="MS Mincho" w:hAnsi="Calibri" w:cs="Times New Roman"/>
          <w:i/>
          <w:sz w:val="24"/>
          <w:szCs w:val="24"/>
        </w:rPr>
      </w:pPr>
    </w:p>
    <w:p w14:paraId="37EDC75F" w14:textId="77777777" w:rsidR="00782640" w:rsidRPr="00782640" w:rsidRDefault="00782640" w:rsidP="00782640">
      <w:pPr>
        <w:numPr>
          <w:ilvl w:val="0"/>
          <w:numId w:val="117"/>
        </w:numPr>
        <w:spacing w:after="0" w:line="240" w:lineRule="auto"/>
        <w:contextualSpacing/>
        <w:jc w:val="both"/>
        <w:rPr>
          <w:rFonts w:ascii="Calibri" w:eastAsia="MS Mincho" w:hAnsi="Calibri" w:cs="Times New Roman"/>
          <w:sz w:val="24"/>
          <w:szCs w:val="24"/>
        </w:rPr>
      </w:pPr>
      <w:r w:rsidRPr="00782640">
        <w:rPr>
          <w:rFonts w:ascii="Calibri" w:eastAsia="MS Mincho" w:hAnsi="Calibri" w:cs="Times New Roman"/>
          <w:sz w:val="24"/>
          <w:szCs w:val="24"/>
        </w:rPr>
        <w:t>Substantial logistic issues were identified that might impede best-practice clinical care and these should be considered when planning guidelines implementation.</w:t>
      </w:r>
    </w:p>
    <w:p w14:paraId="380650F1" w14:textId="77777777" w:rsidR="00782640" w:rsidRPr="00782640" w:rsidRDefault="00782640" w:rsidP="00782640">
      <w:pPr>
        <w:spacing w:after="0" w:line="240" w:lineRule="auto"/>
        <w:jc w:val="both"/>
        <w:rPr>
          <w:rFonts w:ascii="Calibri" w:eastAsia="MS Mincho" w:hAnsi="Calibri" w:cs="Times New Roman"/>
          <w:sz w:val="24"/>
          <w:szCs w:val="24"/>
        </w:rPr>
      </w:pPr>
    </w:p>
    <w:p w14:paraId="655C07B0" w14:textId="77777777" w:rsidR="00782640" w:rsidRPr="00782640" w:rsidRDefault="00782640" w:rsidP="00782640">
      <w:pPr>
        <w:numPr>
          <w:ilvl w:val="0"/>
          <w:numId w:val="117"/>
        </w:numPr>
        <w:spacing w:after="0" w:line="240" w:lineRule="auto"/>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Geographical disparity and travel burden were considered major issues limiting access to care. New initiatives to support dialysis care in geographically remote areas were welcomed as potential facilitators of better early-stage CKD care, but the model is yet to be fully tested and does not address regions that are less than very remote, which is where the bulk of the population resides. </w:t>
      </w:r>
    </w:p>
    <w:p w14:paraId="169FD87C" w14:textId="77777777" w:rsidR="00782640" w:rsidRPr="00782640" w:rsidRDefault="00782640" w:rsidP="00782640">
      <w:pPr>
        <w:spacing w:after="0" w:line="240" w:lineRule="auto"/>
        <w:jc w:val="both"/>
        <w:rPr>
          <w:rFonts w:ascii="Calibri" w:eastAsia="MS Mincho" w:hAnsi="Calibri" w:cs="Times New Roman"/>
          <w:sz w:val="24"/>
          <w:szCs w:val="24"/>
        </w:rPr>
      </w:pPr>
    </w:p>
    <w:p w14:paraId="0D40D5F5" w14:textId="77777777" w:rsidR="00782640" w:rsidRPr="00782640" w:rsidRDefault="00782640" w:rsidP="00782640">
      <w:pPr>
        <w:numPr>
          <w:ilvl w:val="0"/>
          <w:numId w:val="117"/>
        </w:numPr>
        <w:spacing w:after="0" w:line="240" w:lineRule="auto"/>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Health professionals noted there is a real “battle” between an individual’s desire to seek health care and desire to remain within community. Patients are constantly forced into making this choice to the detriment of their health. </w:t>
      </w:r>
    </w:p>
    <w:p w14:paraId="0B5CC15E" w14:textId="77777777" w:rsidR="00782640" w:rsidRPr="00782640" w:rsidRDefault="00782640" w:rsidP="00782640">
      <w:pPr>
        <w:spacing w:after="0" w:line="240" w:lineRule="auto"/>
        <w:ind w:left="360"/>
        <w:contextualSpacing/>
        <w:jc w:val="both"/>
        <w:rPr>
          <w:rFonts w:ascii="Calibri" w:eastAsia="MS Mincho" w:hAnsi="Calibri" w:cs="Times New Roman"/>
          <w:sz w:val="24"/>
          <w:szCs w:val="24"/>
        </w:rPr>
      </w:pPr>
    </w:p>
    <w:p w14:paraId="0072F0D2" w14:textId="77777777" w:rsidR="00782640" w:rsidRPr="00782640" w:rsidRDefault="00782640" w:rsidP="00782640">
      <w:pPr>
        <w:numPr>
          <w:ilvl w:val="0"/>
          <w:numId w:val="117"/>
        </w:numPr>
        <w:spacing w:after="0" w:line="240" w:lineRule="auto"/>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There are also important socioeconomic burdens for Aboriginal people, and it was noted these have been outlined in the Renal Road Map developed by Minister for Indigenous Health, the Hon. Ken Wyatt AM, MP. Renal care should be approached in a holistic manner but it was acknowledged these Guidelines cannot address all relevant social and demographic issues that impact on kidney care.  </w:t>
      </w:r>
    </w:p>
    <w:p w14:paraId="22F79882" w14:textId="77777777" w:rsidR="00EC7110" w:rsidRDefault="00EC7110" w:rsidP="00782640">
      <w:pPr>
        <w:spacing w:after="0" w:line="240" w:lineRule="auto"/>
        <w:jc w:val="both"/>
        <w:rPr>
          <w:rFonts w:ascii="Adelle Sans Light" w:eastAsia="Calibri" w:hAnsi="Adelle Sans Light" w:cs="Times New Roman"/>
          <w:color w:val="C00000"/>
          <w:sz w:val="40"/>
          <w:szCs w:val="40"/>
        </w:rPr>
      </w:pPr>
    </w:p>
    <w:p w14:paraId="730363C3" w14:textId="11FBCE49" w:rsidR="00782640" w:rsidRPr="00917039" w:rsidRDefault="00782640" w:rsidP="00782640">
      <w:pPr>
        <w:spacing w:after="0" w:line="240" w:lineRule="auto"/>
        <w:jc w:val="both"/>
        <w:rPr>
          <w:rFonts w:ascii="Adelle Sans Light" w:eastAsia="Calibri" w:hAnsi="Adelle Sans Light" w:cs="Times New Roman"/>
          <w:color w:val="C00000"/>
          <w:sz w:val="40"/>
          <w:szCs w:val="40"/>
        </w:rPr>
      </w:pPr>
      <w:r w:rsidRPr="00917039">
        <w:rPr>
          <w:rFonts w:ascii="Adelle Sans Light" w:eastAsia="Calibri" w:hAnsi="Adelle Sans Light" w:cs="Times New Roman"/>
          <w:color w:val="C00000"/>
          <w:sz w:val="40"/>
          <w:szCs w:val="40"/>
        </w:rPr>
        <w:t xml:space="preserve">2. Health Professional-related </w:t>
      </w:r>
      <w:r w:rsidR="00917039">
        <w:rPr>
          <w:rFonts w:ascii="Adelle Sans Light" w:eastAsia="Calibri" w:hAnsi="Adelle Sans Light" w:cs="Times New Roman"/>
          <w:color w:val="C00000"/>
          <w:sz w:val="40"/>
          <w:szCs w:val="40"/>
        </w:rPr>
        <w:t>f</w:t>
      </w:r>
      <w:r w:rsidRPr="00917039">
        <w:rPr>
          <w:rFonts w:ascii="Adelle Sans Light" w:eastAsia="Calibri" w:hAnsi="Adelle Sans Light" w:cs="Times New Roman"/>
          <w:color w:val="C00000"/>
          <w:sz w:val="40"/>
          <w:szCs w:val="40"/>
        </w:rPr>
        <w:t xml:space="preserve">actors </w:t>
      </w:r>
    </w:p>
    <w:p w14:paraId="64172DB8" w14:textId="77777777" w:rsidR="00782640" w:rsidRPr="00782640" w:rsidRDefault="00782640" w:rsidP="00782640">
      <w:pPr>
        <w:spacing w:after="0" w:line="240" w:lineRule="auto"/>
        <w:contextualSpacing/>
        <w:jc w:val="both"/>
        <w:rPr>
          <w:rFonts w:ascii="Calibri" w:eastAsia="MS Mincho" w:hAnsi="Calibri" w:cs="Times New Roman"/>
          <w:sz w:val="24"/>
          <w:szCs w:val="24"/>
          <w:u w:val="single"/>
        </w:rPr>
      </w:pPr>
    </w:p>
    <w:p w14:paraId="6841CBAD" w14:textId="77777777" w:rsidR="00782640" w:rsidRPr="00782640" w:rsidRDefault="00782640" w:rsidP="00782640">
      <w:pPr>
        <w:spacing w:after="0" w:line="240" w:lineRule="auto"/>
        <w:jc w:val="both"/>
        <w:rPr>
          <w:rFonts w:ascii="Adelle Sans SemiBold" w:eastAsia="Calibri" w:hAnsi="Adelle Sans SemiBold" w:cs="Times New Roman"/>
          <w:b/>
          <w:bCs/>
          <w:i/>
          <w:iCs/>
          <w:color w:val="FF0000"/>
          <w:sz w:val="22"/>
        </w:rPr>
      </w:pPr>
      <w:r w:rsidRPr="00917039">
        <w:rPr>
          <w:rFonts w:ascii="Adelle Sans SemiBold" w:eastAsia="Calibri" w:hAnsi="Adelle Sans SemiBold" w:cs="Times New Roman"/>
          <w:b/>
          <w:bCs/>
          <w:i/>
          <w:iCs/>
          <w:color w:val="C00000"/>
          <w:sz w:val="22"/>
        </w:rPr>
        <w:t>Health Professional Communication:</w:t>
      </w:r>
    </w:p>
    <w:p w14:paraId="3F2F91E6" w14:textId="77777777" w:rsidR="00782640" w:rsidRPr="00782640" w:rsidRDefault="00782640" w:rsidP="00782640">
      <w:pPr>
        <w:spacing w:after="0" w:line="240" w:lineRule="auto"/>
        <w:jc w:val="both"/>
        <w:rPr>
          <w:rFonts w:ascii="Calibri" w:eastAsia="MS Mincho" w:hAnsi="Calibri" w:cs="Times New Roman"/>
          <w:i/>
          <w:sz w:val="24"/>
          <w:szCs w:val="24"/>
        </w:rPr>
      </w:pPr>
      <w:r w:rsidRPr="00782640">
        <w:rPr>
          <w:rFonts w:ascii="Calibri" w:eastAsia="MS Mincho" w:hAnsi="Calibri" w:cs="Times New Roman"/>
          <w:i/>
          <w:sz w:val="24"/>
          <w:szCs w:val="24"/>
        </w:rPr>
        <w:t xml:space="preserve"> </w:t>
      </w:r>
    </w:p>
    <w:p w14:paraId="1EFD0D88" w14:textId="77777777" w:rsidR="00782640" w:rsidRPr="00782640" w:rsidRDefault="00782640" w:rsidP="00782640">
      <w:pPr>
        <w:numPr>
          <w:ilvl w:val="0"/>
          <w:numId w:val="121"/>
        </w:numPr>
        <w:spacing w:after="0" w:line="240" w:lineRule="auto"/>
        <w:ind w:left="360"/>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Inadequate training regarding culturally appropriate communication with Aboriginal and Torres Strait Islander patients can lead to difficulty in implementing guideline recommendations due to patient disengagement and frustration on both sides. </w:t>
      </w:r>
    </w:p>
    <w:p w14:paraId="6CFCE03D" w14:textId="77777777" w:rsidR="00782640" w:rsidRPr="00782640" w:rsidRDefault="00782640" w:rsidP="00782640">
      <w:pPr>
        <w:spacing w:after="0" w:line="240" w:lineRule="auto"/>
        <w:jc w:val="both"/>
        <w:rPr>
          <w:rFonts w:ascii="Calibri" w:eastAsia="MS Mincho" w:hAnsi="Calibri" w:cs="Times New Roman"/>
          <w:sz w:val="24"/>
          <w:szCs w:val="24"/>
        </w:rPr>
      </w:pPr>
    </w:p>
    <w:p w14:paraId="3C336917" w14:textId="77777777" w:rsidR="00782640" w:rsidRPr="00782640" w:rsidRDefault="00782640" w:rsidP="00782640">
      <w:pPr>
        <w:numPr>
          <w:ilvl w:val="0"/>
          <w:numId w:val="121"/>
        </w:numPr>
        <w:spacing w:after="0" w:line="240" w:lineRule="auto"/>
        <w:ind w:left="284"/>
        <w:contextualSpacing/>
        <w:jc w:val="both"/>
        <w:rPr>
          <w:rFonts w:ascii="Calibri" w:eastAsia="MS Mincho" w:hAnsi="Calibri" w:cs="Times New Roman"/>
          <w:sz w:val="24"/>
          <w:szCs w:val="24"/>
        </w:rPr>
      </w:pPr>
      <w:r w:rsidRPr="00782640">
        <w:rPr>
          <w:rFonts w:ascii="Calibri" w:eastAsia="MS Mincho" w:hAnsi="Calibri" w:cs="Times New Roman"/>
          <w:sz w:val="24"/>
          <w:szCs w:val="24"/>
        </w:rPr>
        <w:lastRenderedPageBreak/>
        <w:t>Health professionals may not have time or capacity to undertake extensive patient education. This is particularly important for asymptomatic conditions that require drug therapy (for example hypertension, proteinuria).</w:t>
      </w:r>
    </w:p>
    <w:p w14:paraId="1B53649C" w14:textId="77777777" w:rsidR="00782640" w:rsidRPr="00782640" w:rsidRDefault="00782640" w:rsidP="00782640">
      <w:pPr>
        <w:spacing w:after="0" w:line="240" w:lineRule="auto"/>
        <w:jc w:val="both"/>
        <w:rPr>
          <w:rFonts w:ascii="Calibri" w:eastAsia="MS Mincho" w:hAnsi="Calibri" w:cs="Times New Roman"/>
          <w:sz w:val="24"/>
          <w:szCs w:val="24"/>
        </w:rPr>
      </w:pPr>
    </w:p>
    <w:p w14:paraId="6947728F" w14:textId="77777777" w:rsidR="00782640" w:rsidRPr="00782640" w:rsidRDefault="00782640" w:rsidP="00782640">
      <w:pPr>
        <w:numPr>
          <w:ilvl w:val="0"/>
          <w:numId w:val="121"/>
        </w:numPr>
        <w:spacing w:after="0" w:line="240" w:lineRule="auto"/>
        <w:ind w:left="360"/>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Language barriers are also a source of frustration for health professionals. Health professionals may not have the ability to access interpreters or utilise them appropriately or repeatedly. </w:t>
      </w:r>
    </w:p>
    <w:p w14:paraId="7502D97F" w14:textId="77777777" w:rsidR="00782640" w:rsidRPr="00782640" w:rsidRDefault="00782640" w:rsidP="00782640">
      <w:pPr>
        <w:spacing w:after="0" w:line="240" w:lineRule="auto"/>
        <w:ind w:left="720"/>
        <w:contextualSpacing/>
        <w:rPr>
          <w:rFonts w:ascii="Calibri" w:eastAsia="MS Mincho" w:hAnsi="Calibri" w:cs="Times New Roman"/>
          <w:sz w:val="24"/>
          <w:szCs w:val="24"/>
        </w:rPr>
      </w:pPr>
    </w:p>
    <w:p w14:paraId="095EDF84" w14:textId="77777777" w:rsidR="00782640" w:rsidRPr="00782640" w:rsidRDefault="00782640" w:rsidP="00782640">
      <w:pPr>
        <w:numPr>
          <w:ilvl w:val="0"/>
          <w:numId w:val="121"/>
        </w:numPr>
        <w:spacing w:after="0" w:line="240" w:lineRule="auto"/>
        <w:ind w:left="360"/>
        <w:contextualSpacing/>
        <w:jc w:val="both"/>
        <w:rPr>
          <w:rFonts w:ascii="Calibri" w:eastAsia="MS Mincho" w:hAnsi="Calibri" w:cs="Times New Roman"/>
          <w:b/>
          <w:sz w:val="24"/>
          <w:szCs w:val="24"/>
        </w:rPr>
      </w:pPr>
      <w:r w:rsidRPr="00782640">
        <w:rPr>
          <w:rFonts w:ascii="Calibri" w:eastAsia="Calibri" w:hAnsi="Calibri" w:cs="Times New Roman"/>
          <w:bCs/>
          <w:iCs/>
          <w:color w:val="000000"/>
          <w:sz w:val="24"/>
          <w:szCs w:val="24"/>
        </w:rPr>
        <w:t>It is particularly worrisome that specialists often describe Primary Health Care in negative terms. It is an issue as it contributes to the view that the Primary Health Care sector, and in particular the Aboriginal Community Controlled Health Service sector, is failing. This needs to be addressed in these guidelines and in ongoing work.</w:t>
      </w:r>
    </w:p>
    <w:p w14:paraId="17B18088" w14:textId="77777777" w:rsidR="00782640" w:rsidRPr="00782640" w:rsidRDefault="00782640" w:rsidP="00782640">
      <w:pPr>
        <w:spacing w:after="0" w:line="240" w:lineRule="auto"/>
        <w:jc w:val="both"/>
        <w:rPr>
          <w:rFonts w:ascii="Calibri" w:eastAsia="MS Mincho" w:hAnsi="Calibri" w:cs="Times New Roman"/>
          <w:sz w:val="24"/>
          <w:szCs w:val="24"/>
        </w:rPr>
      </w:pPr>
    </w:p>
    <w:p w14:paraId="0F9C9004" w14:textId="77777777" w:rsidR="00782640" w:rsidRPr="00782640" w:rsidRDefault="00782640" w:rsidP="00782640">
      <w:pPr>
        <w:spacing w:after="0" w:line="240" w:lineRule="auto"/>
        <w:jc w:val="both"/>
        <w:rPr>
          <w:rFonts w:ascii="Calibri" w:eastAsia="MS Mincho" w:hAnsi="Calibri" w:cs="Times New Roman"/>
          <w:sz w:val="24"/>
          <w:szCs w:val="24"/>
        </w:rPr>
      </w:pPr>
      <w:r w:rsidRPr="00917039">
        <w:rPr>
          <w:rFonts w:ascii="Adelle Sans SemiBold" w:eastAsia="Calibri" w:hAnsi="Adelle Sans SemiBold" w:cs="Times New Roman"/>
          <w:b/>
          <w:bCs/>
          <w:i/>
          <w:iCs/>
          <w:color w:val="C00000"/>
          <w:sz w:val="22"/>
        </w:rPr>
        <w:t>Applying Guidelines to Individual Patients:</w:t>
      </w:r>
      <w:r w:rsidRPr="00782640">
        <w:rPr>
          <w:rFonts w:ascii="Calibri" w:eastAsia="MS Mincho" w:hAnsi="Calibri" w:cs="Times New Roman"/>
          <w:sz w:val="24"/>
          <w:szCs w:val="24"/>
        </w:rPr>
        <w:t xml:space="preserve"> </w:t>
      </w:r>
    </w:p>
    <w:p w14:paraId="044D9C2F" w14:textId="77777777" w:rsidR="00782640" w:rsidRPr="00782640" w:rsidRDefault="00782640" w:rsidP="00782640">
      <w:pPr>
        <w:spacing w:after="0" w:line="240" w:lineRule="auto"/>
        <w:jc w:val="both"/>
        <w:rPr>
          <w:rFonts w:ascii="Calibri" w:eastAsia="MS Mincho" w:hAnsi="Calibri" w:cs="Times New Roman"/>
          <w:sz w:val="24"/>
          <w:szCs w:val="24"/>
        </w:rPr>
      </w:pPr>
    </w:p>
    <w:p w14:paraId="306D696D" w14:textId="77777777" w:rsidR="00782640" w:rsidRPr="00782640" w:rsidRDefault="00782640" w:rsidP="00782640">
      <w:pPr>
        <w:numPr>
          <w:ilvl w:val="0"/>
          <w:numId w:val="118"/>
        </w:numPr>
        <w:spacing w:after="0" w:line="240" w:lineRule="auto"/>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Guidelines should facilitate the contextualisation of evidence-based medicine but are often too prescriptive. </w:t>
      </w:r>
    </w:p>
    <w:p w14:paraId="707256D5" w14:textId="77777777" w:rsidR="00782640" w:rsidRPr="00782640" w:rsidRDefault="00782640" w:rsidP="00782640">
      <w:pPr>
        <w:spacing w:after="0" w:line="240" w:lineRule="auto"/>
        <w:jc w:val="both"/>
        <w:rPr>
          <w:rFonts w:ascii="Calibri" w:eastAsia="MS Mincho" w:hAnsi="Calibri" w:cs="Times New Roman"/>
          <w:sz w:val="24"/>
          <w:szCs w:val="24"/>
        </w:rPr>
      </w:pPr>
    </w:p>
    <w:p w14:paraId="6D7A1A38" w14:textId="77777777" w:rsidR="00782640" w:rsidRPr="00782640" w:rsidRDefault="00782640" w:rsidP="00782640">
      <w:pPr>
        <w:numPr>
          <w:ilvl w:val="0"/>
          <w:numId w:val="118"/>
        </w:numPr>
        <w:spacing w:after="0" w:line="240" w:lineRule="auto"/>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While guidelines may outline best-practice care, the limitations of guidelines application should be acknowledged – particularly for the indigenous cohort and setting.  </w:t>
      </w:r>
    </w:p>
    <w:p w14:paraId="004CC577" w14:textId="77777777" w:rsidR="00782640" w:rsidRPr="00782640" w:rsidRDefault="00782640" w:rsidP="00782640">
      <w:pPr>
        <w:spacing w:after="0" w:line="240" w:lineRule="auto"/>
        <w:jc w:val="both"/>
        <w:rPr>
          <w:rFonts w:ascii="Calibri" w:eastAsia="MS Mincho" w:hAnsi="Calibri" w:cs="Times New Roman"/>
          <w:sz w:val="24"/>
          <w:szCs w:val="24"/>
        </w:rPr>
      </w:pPr>
    </w:p>
    <w:p w14:paraId="1C402818" w14:textId="77777777" w:rsidR="00782640" w:rsidRPr="00782640" w:rsidRDefault="00782640" w:rsidP="00782640">
      <w:pPr>
        <w:numPr>
          <w:ilvl w:val="0"/>
          <w:numId w:val="118"/>
        </w:numPr>
        <w:spacing w:after="0" w:line="240" w:lineRule="auto"/>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Clinicians want and expect to exercise their clinical judgment when treating the patient “in front of them”, and therefore guidelines that are rigid were unhelpful and less likely to be followed. </w:t>
      </w:r>
    </w:p>
    <w:p w14:paraId="644EED98" w14:textId="77777777" w:rsidR="00782640" w:rsidRPr="00782640" w:rsidRDefault="00782640" w:rsidP="00782640">
      <w:pPr>
        <w:spacing w:after="0" w:line="240" w:lineRule="auto"/>
        <w:jc w:val="both"/>
        <w:rPr>
          <w:rFonts w:ascii="Calibri" w:eastAsia="MS Mincho" w:hAnsi="Calibri" w:cs="Times New Roman"/>
          <w:sz w:val="24"/>
          <w:szCs w:val="24"/>
        </w:rPr>
      </w:pPr>
    </w:p>
    <w:p w14:paraId="42FDD661" w14:textId="77777777" w:rsidR="00782640" w:rsidRPr="00782640" w:rsidRDefault="00782640" w:rsidP="00782640">
      <w:pPr>
        <w:numPr>
          <w:ilvl w:val="0"/>
          <w:numId w:val="118"/>
        </w:numPr>
        <w:spacing w:after="0" w:line="240" w:lineRule="auto"/>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A disconnect between guideline recommendations and what actually occurs in practice was noted.  </w:t>
      </w:r>
    </w:p>
    <w:p w14:paraId="1F16323D" w14:textId="77777777" w:rsidR="00782640" w:rsidRPr="00782640" w:rsidRDefault="00782640" w:rsidP="00782640">
      <w:pPr>
        <w:spacing w:after="0" w:line="240" w:lineRule="auto"/>
        <w:jc w:val="both"/>
        <w:rPr>
          <w:rFonts w:ascii="Calibri" w:eastAsia="MS Mincho" w:hAnsi="Calibri" w:cs="Times New Roman"/>
          <w:sz w:val="24"/>
          <w:szCs w:val="24"/>
        </w:rPr>
      </w:pPr>
    </w:p>
    <w:p w14:paraId="31921053" w14:textId="77777777" w:rsidR="00782640" w:rsidRPr="00782640" w:rsidRDefault="00782640" w:rsidP="00782640">
      <w:pPr>
        <w:spacing w:after="0" w:line="240" w:lineRule="auto"/>
        <w:jc w:val="both"/>
        <w:rPr>
          <w:rFonts w:ascii="Adelle Sans SemiBold" w:eastAsia="Calibri" w:hAnsi="Adelle Sans SemiBold" w:cs="Times New Roman"/>
          <w:b/>
          <w:bCs/>
          <w:i/>
          <w:iCs/>
          <w:color w:val="FF0000"/>
          <w:sz w:val="22"/>
        </w:rPr>
      </w:pPr>
      <w:r w:rsidRPr="00917039">
        <w:rPr>
          <w:rFonts w:ascii="Adelle Sans SemiBold" w:eastAsia="Calibri" w:hAnsi="Adelle Sans SemiBold" w:cs="Times New Roman"/>
          <w:b/>
          <w:bCs/>
          <w:i/>
          <w:iCs/>
          <w:color w:val="C00000"/>
          <w:sz w:val="22"/>
        </w:rPr>
        <w:t xml:space="preserve">Competing Pressures on Health Professionals for Chronic Disease Care: </w:t>
      </w:r>
    </w:p>
    <w:p w14:paraId="4B89028A" w14:textId="77777777" w:rsidR="00782640" w:rsidRPr="00782640" w:rsidRDefault="00782640" w:rsidP="00782640">
      <w:pPr>
        <w:spacing w:after="0" w:line="240" w:lineRule="auto"/>
        <w:jc w:val="both"/>
        <w:rPr>
          <w:rFonts w:ascii="Calibri" w:eastAsia="MS Mincho" w:hAnsi="Calibri" w:cs="Times New Roman"/>
          <w:i/>
          <w:sz w:val="24"/>
          <w:szCs w:val="24"/>
        </w:rPr>
      </w:pPr>
    </w:p>
    <w:p w14:paraId="62333F6C" w14:textId="77777777" w:rsidR="00782640" w:rsidRPr="00782640" w:rsidRDefault="00782640" w:rsidP="00782640">
      <w:pPr>
        <w:numPr>
          <w:ilvl w:val="0"/>
          <w:numId w:val="119"/>
        </w:numPr>
        <w:spacing w:after="0" w:line="240" w:lineRule="auto"/>
        <w:ind w:left="360"/>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The panel emphasised that health professionals have many competing diseases to address, time-pressures and lack of resources compared with demand which are all major barriers within the primary and secondary care space. </w:t>
      </w:r>
    </w:p>
    <w:p w14:paraId="63150386" w14:textId="77777777" w:rsidR="00782640" w:rsidRPr="00782640" w:rsidRDefault="00782640" w:rsidP="00782640">
      <w:pPr>
        <w:spacing w:after="0" w:line="240" w:lineRule="auto"/>
        <w:jc w:val="both"/>
        <w:rPr>
          <w:rFonts w:ascii="Calibri" w:eastAsia="MS Mincho" w:hAnsi="Calibri" w:cs="Times New Roman"/>
          <w:sz w:val="24"/>
          <w:szCs w:val="24"/>
        </w:rPr>
      </w:pPr>
    </w:p>
    <w:p w14:paraId="38351E19" w14:textId="77777777" w:rsidR="00782640" w:rsidRPr="00782640" w:rsidRDefault="00782640" w:rsidP="00782640">
      <w:pPr>
        <w:numPr>
          <w:ilvl w:val="0"/>
          <w:numId w:val="119"/>
        </w:numPr>
        <w:spacing w:after="0" w:line="240" w:lineRule="auto"/>
        <w:ind w:left="360"/>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Health professionals may be overwhelmed by the range of chronic diseases to address, therefore streamlining guideline recommendations was recommended. </w:t>
      </w:r>
    </w:p>
    <w:p w14:paraId="68D06691" w14:textId="77777777" w:rsidR="00782640" w:rsidRPr="00782640" w:rsidRDefault="00782640" w:rsidP="00782640">
      <w:pPr>
        <w:spacing w:after="0" w:line="240" w:lineRule="auto"/>
        <w:jc w:val="both"/>
        <w:rPr>
          <w:rFonts w:ascii="Calibri" w:eastAsia="MS Mincho" w:hAnsi="Calibri" w:cs="Times New Roman"/>
          <w:sz w:val="24"/>
          <w:szCs w:val="24"/>
        </w:rPr>
      </w:pPr>
    </w:p>
    <w:p w14:paraId="1DFBBF71" w14:textId="77777777" w:rsidR="00782640" w:rsidRPr="00782640" w:rsidRDefault="00782640" w:rsidP="00782640">
      <w:pPr>
        <w:numPr>
          <w:ilvl w:val="0"/>
          <w:numId w:val="119"/>
        </w:numPr>
        <w:spacing w:after="0" w:line="240" w:lineRule="auto"/>
        <w:ind w:left="360"/>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Kidney health should be part of a holistic management consultation for diabetes, cardiovascular disease and other chronic disease (see below). </w:t>
      </w:r>
    </w:p>
    <w:p w14:paraId="5DEC01B4" w14:textId="77777777" w:rsidR="00782640" w:rsidRPr="00782640" w:rsidRDefault="00782640" w:rsidP="00782640">
      <w:pPr>
        <w:spacing w:after="0" w:line="240" w:lineRule="auto"/>
        <w:jc w:val="both"/>
        <w:rPr>
          <w:rFonts w:ascii="Calibri" w:eastAsia="MS Mincho" w:hAnsi="Calibri" w:cs="Times New Roman"/>
          <w:sz w:val="24"/>
          <w:szCs w:val="24"/>
        </w:rPr>
      </w:pPr>
    </w:p>
    <w:p w14:paraId="420A4450" w14:textId="77777777" w:rsidR="00782640" w:rsidRPr="00782640" w:rsidRDefault="00782640" w:rsidP="00782640">
      <w:pPr>
        <w:numPr>
          <w:ilvl w:val="0"/>
          <w:numId w:val="119"/>
        </w:numPr>
        <w:spacing w:after="0" w:line="240" w:lineRule="auto"/>
        <w:ind w:left="360"/>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Even though the “competing” chronic diseases are linked with kidney disease, the panel noted some health professionals do not see prevention of kidney disease as a top priority, as patients “do not die of stages 1-2 CKD”. </w:t>
      </w:r>
    </w:p>
    <w:p w14:paraId="1EEB7673" w14:textId="77777777" w:rsidR="00782640" w:rsidRPr="00782640" w:rsidRDefault="00782640" w:rsidP="00782640">
      <w:pPr>
        <w:spacing w:after="0" w:line="240" w:lineRule="auto"/>
        <w:jc w:val="both"/>
        <w:rPr>
          <w:rFonts w:ascii="Calibri" w:eastAsia="MS Mincho" w:hAnsi="Calibri" w:cs="Times New Roman"/>
          <w:sz w:val="24"/>
          <w:szCs w:val="24"/>
        </w:rPr>
      </w:pPr>
    </w:p>
    <w:p w14:paraId="4A2BD4E5" w14:textId="77777777" w:rsidR="00782640" w:rsidRPr="00782640" w:rsidRDefault="00782640" w:rsidP="00782640">
      <w:pPr>
        <w:numPr>
          <w:ilvl w:val="0"/>
          <w:numId w:val="119"/>
        </w:numPr>
        <w:spacing w:after="0" w:line="240" w:lineRule="auto"/>
        <w:ind w:left="360"/>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Best-practice recommendations around disease prevention, or slowing progression (for example, blood pressure targets), were considered harder to implement than </w:t>
      </w:r>
      <w:r w:rsidRPr="00782640">
        <w:rPr>
          <w:rFonts w:ascii="Calibri" w:eastAsia="MS Mincho" w:hAnsi="Calibri" w:cs="Times New Roman"/>
          <w:sz w:val="24"/>
          <w:szCs w:val="24"/>
        </w:rPr>
        <w:lastRenderedPageBreak/>
        <w:t xml:space="preserve">recommendations for acute management of active disease (for example referral to tertiary services for end-stage CKD care).  </w:t>
      </w:r>
    </w:p>
    <w:p w14:paraId="0E933B19" w14:textId="77777777" w:rsidR="00782640" w:rsidRPr="00782640" w:rsidRDefault="00782640" w:rsidP="00782640">
      <w:pPr>
        <w:spacing w:after="0" w:line="240" w:lineRule="auto"/>
        <w:jc w:val="both"/>
        <w:rPr>
          <w:rFonts w:ascii="Calibri" w:eastAsia="MS Mincho" w:hAnsi="Calibri" w:cs="Times New Roman"/>
          <w:sz w:val="24"/>
          <w:szCs w:val="24"/>
        </w:rPr>
      </w:pPr>
    </w:p>
    <w:p w14:paraId="414EE2C2" w14:textId="77777777" w:rsidR="00782640" w:rsidRPr="00EC7110" w:rsidRDefault="00782640" w:rsidP="00782640">
      <w:pPr>
        <w:spacing w:after="0" w:line="240" w:lineRule="auto"/>
        <w:jc w:val="both"/>
        <w:rPr>
          <w:rFonts w:ascii="Adelle Sans Light" w:eastAsia="Calibri" w:hAnsi="Adelle Sans Light" w:cs="Times New Roman"/>
          <w:color w:val="C00000"/>
          <w:sz w:val="40"/>
          <w:szCs w:val="40"/>
        </w:rPr>
      </w:pPr>
      <w:r w:rsidRPr="00EC7110">
        <w:rPr>
          <w:rFonts w:ascii="Adelle Sans Light" w:eastAsia="Calibri" w:hAnsi="Adelle Sans Light" w:cs="Times New Roman"/>
          <w:color w:val="C00000"/>
          <w:sz w:val="40"/>
          <w:szCs w:val="40"/>
        </w:rPr>
        <w:t>3. Guideline factors</w:t>
      </w:r>
    </w:p>
    <w:p w14:paraId="0A5DFA8E" w14:textId="77777777" w:rsidR="00782640" w:rsidRPr="00782640" w:rsidRDefault="00782640" w:rsidP="00782640">
      <w:pPr>
        <w:spacing w:after="0" w:line="240" w:lineRule="auto"/>
        <w:contextualSpacing/>
        <w:jc w:val="both"/>
        <w:rPr>
          <w:rFonts w:ascii="Calibri" w:eastAsia="MS Mincho" w:hAnsi="Calibri" w:cs="Times New Roman"/>
          <w:sz w:val="24"/>
          <w:szCs w:val="24"/>
          <w:u w:val="single"/>
        </w:rPr>
      </w:pPr>
    </w:p>
    <w:p w14:paraId="5261D767" w14:textId="77777777" w:rsidR="00782640" w:rsidRPr="00782640" w:rsidRDefault="00782640" w:rsidP="00782640">
      <w:pPr>
        <w:spacing w:after="0" w:line="240" w:lineRule="auto"/>
        <w:jc w:val="both"/>
        <w:rPr>
          <w:rFonts w:ascii="Adelle Sans SemiBold" w:eastAsia="Calibri" w:hAnsi="Adelle Sans SemiBold" w:cs="Times New Roman"/>
          <w:b/>
          <w:bCs/>
          <w:i/>
          <w:iCs/>
          <w:color w:val="FF0000"/>
          <w:sz w:val="22"/>
        </w:rPr>
      </w:pPr>
      <w:r w:rsidRPr="00917039">
        <w:rPr>
          <w:rFonts w:ascii="Adelle Sans SemiBold" w:eastAsia="Calibri" w:hAnsi="Adelle Sans SemiBold" w:cs="Times New Roman"/>
          <w:b/>
          <w:bCs/>
          <w:i/>
          <w:iCs/>
          <w:color w:val="C00000"/>
          <w:sz w:val="22"/>
        </w:rPr>
        <w:t xml:space="preserve">Integration of Chronic Disease Guidelines: </w:t>
      </w:r>
    </w:p>
    <w:p w14:paraId="0E915EA4" w14:textId="77777777" w:rsidR="00782640" w:rsidRPr="00782640" w:rsidRDefault="00782640" w:rsidP="00782640">
      <w:pPr>
        <w:spacing w:after="0" w:line="240" w:lineRule="auto"/>
        <w:jc w:val="both"/>
        <w:rPr>
          <w:rFonts w:ascii="Calibri" w:eastAsia="MS Mincho" w:hAnsi="Calibri" w:cs="Times New Roman"/>
          <w:i/>
          <w:sz w:val="24"/>
          <w:szCs w:val="24"/>
        </w:rPr>
      </w:pPr>
    </w:p>
    <w:p w14:paraId="79E87358" w14:textId="77777777" w:rsidR="00782640" w:rsidRPr="00782640" w:rsidRDefault="00782640" w:rsidP="00782640">
      <w:pPr>
        <w:numPr>
          <w:ilvl w:val="0"/>
          <w:numId w:val="95"/>
        </w:numPr>
        <w:spacing w:after="0" w:line="240" w:lineRule="auto"/>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Cohesive guidelines that incorporate other conditions that share risk factors and treatments, particularly diabetes, hypertension and cardiovascular disease, was strongly encouraged by the panel. </w:t>
      </w:r>
    </w:p>
    <w:p w14:paraId="659DF8E4" w14:textId="77777777" w:rsidR="00782640" w:rsidRPr="00782640" w:rsidRDefault="00782640" w:rsidP="00782640">
      <w:pPr>
        <w:spacing w:after="0" w:line="240" w:lineRule="auto"/>
        <w:ind w:left="360"/>
        <w:contextualSpacing/>
        <w:jc w:val="both"/>
        <w:rPr>
          <w:rFonts w:ascii="Calibri" w:eastAsia="MS Mincho" w:hAnsi="Calibri" w:cs="Times New Roman"/>
          <w:sz w:val="24"/>
          <w:szCs w:val="24"/>
        </w:rPr>
      </w:pPr>
    </w:p>
    <w:p w14:paraId="786241D4" w14:textId="77777777" w:rsidR="00782640" w:rsidRPr="00782640" w:rsidRDefault="00782640" w:rsidP="00782640">
      <w:pPr>
        <w:numPr>
          <w:ilvl w:val="0"/>
          <w:numId w:val="95"/>
        </w:numPr>
        <w:spacing w:after="0" w:line="240" w:lineRule="auto"/>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Guidelines that exist in disease “silos” or “divide the body” were less useful. </w:t>
      </w:r>
    </w:p>
    <w:p w14:paraId="6C845DA5" w14:textId="77777777" w:rsidR="00782640" w:rsidRPr="00782640" w:rsidRDefault="00782640" w:rsidP="00782640">
      <w:pPr>
        <w:spacing w:after="0" w:line="240" w:lineRule="auto"/>
        <w:ind w:left="360"/>
        <w:contextualSpacing/>
        <w:jc w:val="both"/>
        <w:rPr>
          <w:rFonts w:ascii="Calibri" w:eastAsia="MS Mincho" w:hAnsi="Calibri" w:cs="Times New Roman"/>
          <w:sz w:val="24"/>
          <w:szCs w:val="24"/>
        </w:rPr>
      </w:pPr>
    </w:p>
    <w:p w14:paraId="2D09780E" w14:textId="77777777" w:rsidR="00782640" w:rsidRPr="00782640" w:rsidRDefault="00782640" w:rsidP="00782640">
      <w:pPr>
        <w:numPr>
          <w:ilvl w:val="0"/>
          <w:numId w:val="95"/>
        </w:numPr>
        <w:spacing w:after="0" w:line="240" w:lineRule="auto"/>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The usefulness of diabetes / hypertension / cardiovascular disease / infection guidelines would be enhanced by consistent inclusion of information about the identification and treatment of kidney disease within those disease states. </w:t>
      </w:r>
    </w:p>
    <w:p w14:paraId="5F4F8754" w14:textId="77777777" w:rsidR="00782640" w:rsidRPr="00782640" w:rsidRDefault="00782640" w:rsidP="00782640">
      <w:pPr>
        <w:spacing w:after="0" w:line="240" w:lineRule="auto"/>
        <w:ind w:left="720"/>
        <w:contextualSpacing/>
        <w:rPr>
          <w:rFonts w:ascii="Calibri" w:eastAsia="MS Mincho" w:hAnsi="Calibri" w:cs="Times New Roman"/>
          <w:sz w:val="24"/>
          <w:szCs w:val="24"/>
        </w:rPr>
      </w:pPr>
    </w:p>
    <w:p w14:paraId="09077DFB" w14:textId="77777777" w:rsidR="00782640" w:rsidRPr="00782640" w:rsidRDefault="00782640" w:rsidP="00782640">
      <w:pPr>
        <w:numPr>
          <w:ilvl w:val="0"/>
          <w:numId w:val="95"/>
        </w:numPr>
        <w:spacing w:after="0" w:line="240" w:lineRule="auto"/>
        <w:contextualSpacing/>
        <w:jc w:val="both"/>
        <w:rPr>
          <w:rFonts w:ascii="Calibri" w:eastAsia="MS Mincho" w:hAnsi="Calibri" w:cs="Times New Roman"/>
          <w:sz w:val="24"/>
          <w:szCs w:val="24"/>
        </w:rPr>
      </w:pPr>
      <w:r w:rsidRPr="00782640">
        <w:rPr>
          <w:rFonts w:ascii="Calibri" w:eastAsia="MS Mincho" w:hAnsi="Calibri" w:cs="Times New Roman"/>
          <w:sz w:val="24"/>
          <w:szCs w:val="24"/>
        </w:rPr>
        <w:t>Mainstream services find it challenging to read multiple disease-specific guidelines and keep up to date with new developments. Over time, overarching standards and guidelines should be developed on chronic diseases that share risk factors, which can be adapted locally and be referred to in disease-specific guidelines.</w:t>
      </w:r>
    </w:p>
    <w:p w14:paraId="7F78BF33" w14:textId="77777777" w:rsidR="00782640" w:rsidRPr="00782640" w:rsidRDefault="00782640" w:rsidP="00782640">
      <w:pPr>
        <w:spacing w:after="0" w:line="240" w:lineRule="auto"/>
        <w:jc w:val="both"/>
        <w:rPr>
          <w:rFonts w:ascii="Calibri" w:eastAsia="MS Mincho" w:hAnsi="Calibri" w:cs="Times New Roman"/>
          <w:sz w:val="24"/>
          <w:szCs w:val="24"/>
        </w:rPr>
      </w:pPr>
    </w:p>
    <w:p w14:paraId="564C107F" w14:textId="77777777" w:rsidR="00782640" w:rsidRPr="00782640" w:rsidRDefault="00782640" w:rsidP="00782640">
      <w:pPr>
        <w:spacing w:after="0" w:line="240" w:lineRule="auto"/>
        <w:jc w:val="both"/>
        <w:rPr>
          <w:rFonts w:ascii="Adelle Sans SemiBold" w:eastAsia="Calibri" w:hAnsi="Adelle Sans SemiBold" w:cs="Times New Roman"/>
          <w:b/>
          <w:bCs/>
          <w:i/>
          <w:iCs/>
          <w:color w:val="FF0000"/>
          <w:sz w:val="22"/>
        </w:rPr>
      </w:pPr>
      <w:r w:rsidRPr="00917039">
        <w:rPr>
          <w:rFonts w:ascii="Adelle Sans SemiBold" w:eastAsia="Calibri" w:hAnsi="Adelle Sans SemiBold" w:cs="Times New Roman"/>
          <w:b/>
          <w:bCs/>
          <w:i/>
          <w:iCs/>
          <w:color w:val="C00000"/>
          <w:sz w:val="22"/>
        </w:rPr>
        <w:t>Format of Guidelines:</w:t>
      </w:r>
    </w:p>
    <w:p w14:paraId="3F21B37A" w14:textId="77777777" w:rsidR="00782640" w:rsidRPr="00782640" w:rsidRDefault="00782640" w:rsidP="00782640">
      <w:pPr>
        <w:spacing w:after="0" w:line="240" w:lineRule="auto"/>
        <w:jc w:val="both"/>
        <w:rPr>
          <w:rFonts w:ascii="Calibri" w:eastAsia="MS Mincho" w:hAnsi="Calibri" w:cs="Times New Roman"/>
          <w:i/>
          <w:sz w:val="24"/>
          <w:szCs w:val="24"/>
        </w:rPr>
      </w:pPr>
      <w:r w:rsidRPr="00782640">
        <w:rPr>
          <w:rFonts w:ascii="Calibri" w:eastAsia="MS Mincho" w:hAnsi="Calibri" w:cs="Times New Roman"/>
          <w:i/>
          <w:sz w:val="24"/>
          <w:szCs w:val="24"/>
        </w:rPr>
        <w:t xml:space="preserve"> </w:t>
      </w:r>
    </w:p>
    <w:p w14:paraId="0AEF12E9" w14:textId="77777777" w:rsidR="00782640" w:rsidRPr="00782640" w:rsidRDefault="00782640" w:rsidP="00782640">
      <w:pPr>
        <w:numPr>
          <w:ilvl w:val="0"/>
          <w:numId w:val="95"/>
        </w:numPr>
        <w:spacing w:after="0" w:line="240" w:lineRule="auto"/>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Complexity, academic language, and difficulty of access were considered barriers to guidelines use.  </w:t>
      </w:r>
    </w:p>
    <w:p w14:paraId="10B521FB" w14:textId="77777777" w:rsidR="00782640" w:rsidRPr="00782640" w:rsidRDefault="00782640" w:rsidP="00782640">
      <w:pPr>
        <w:spacing w:after="0" w:line="240" w:lineRule="auto"/>
        <w:ind w:left="360"/>
        <w:contextualSpacing/>
        <w:jc w:val="both"/>
        <w:rPr>
          <w:rFonts w:ascii="Calibri" w:eastAsia="MS Mincho" w:hAnsi="Calibri" w:cs="Times New Roman"/>
          <w:sz w:val="24"/>
          <w:szCs w:val="24"/>
        </w:rPr>
      </w:pPr>
    </w:p>
    <w:p w14:paraId="0FE5498B" w14:textId="77777777" w:rsidR="00782640" w:rsidRPr="00782640" w:rsidRDefault="00782640" w:rsidP="00782640">
      <w:pPr>
        <w:numPr>
          <w:ilvl w:val="0"/>
          <w:numId w:val="95"/>
        </w:numPr>
        <w:spacing w:after="0" w:line="240" w:lineRule="auto"/>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Rigorous synthesis of the evidence base in the format of the KHA-CARI guidelines was considered essential and unavoidable, however translation of this into easy-to-follow recommendations did not always occur. </w:t>
      </w:r>
    </w:p>
    <w:p w14:paraId="6A43052D" w14:textId="77777777" w:rsidR="00782640" w:rsidRPr="00782640" w:rsidRDefault="00782640" w:rsidP="00782640">
      <w:pPr>
        <w:spacing w:after="0" w:line="240" w:lineRule="auto"/>
        <w:ind w:left="360"/>
        <w:contextualSpacing/>
        <w:jc w:val="both"/>
        <w:rPr>
          <w:rFonts w:ascii="Calibri" w:eastAsia="MS Mincho" w:hAnsi="Calibri" w:cs="Times New Roman"/>
          <w:sz w:val="24"/>
          <w:szCs w:val="24"/>
        </w:rPr>
      </w:pPr>
    </w:p>
    <w:p w14:paraId="282A8B95" w14:textId="77777777" w:rsidR="00782640" w:rsidRPr="00782640" w:rsidRDefault="00782640" w:rsidP="00782640">
      <w:pPr>
        <w:numPr>
          <w:ilvl w:val="0"/>
          <w:numId w:val="95"/>
        </w:numPr>
        <w:spacing w:after="0" w:line="240" w:lineRule="auto"/>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PDF documents and large folders were less useful than smaller handbooks that could be carried easily by health professionals in daily practice or located quickly. </w:t>
      </w:r>
    </w:p>
    <w:p w14:paraId="03398CC1" w14:textId="77777777" w:rsidR="00782640" w:rsidRPr="00782640" w:rsidRDefault="00782640" w:rsidP="00782640">
      <w:pPr>
        <w:spacing w:after="0" w:line="240" w:lineRule="auto"/>
        <w:jc w:val="both"/>
        <w:rPr>
          <w:rFonts w:ascii="Calibri" w:eastAsia="MS Mincho" w:hAnsi="Calibri" w:cs="Times New Roman"/>
          <w:sz w:val="24"/>
          <w:szCs w:val="24"/>
        </w:rPr>
      </w:pPr>
    </w:p>
    <w:p w14:paraId="51D96F60" w14:textId="77777777" w:rsidR="00782640" w:rsidRPr="00782640" w:rsidRDefault="00782640" w:rsidP="00782640">
      <w:pPr>
        <w:spacing w:after="0" w:line="240" w:lineRule="auto"/>
        <w:jc w:val="both"/>
        <w:rPr>
          <w:rFonts w:ascii="Adelle Sans SemiBold" w:eastAsia="Calibri" w:hAnsi="Adelle Sans SemiBold" w:cs="Times New Roman"/>
          <w:b/>
          <w:bCs/>
          <w:i/>
          <w:iCs/>
          <w:color w:val="FF0000"/>
          <w:sz w:val="22"/>
        </w:rPr>
      </w:pPr>
      <w:r w:rsidRPr="00917039">
        <w:rPr>
          <w:rFonts w:ascii="Adelle Sans SemiBold" w:eastAsia="Calibri" w:hAnsi="Adelle Sans SemiBold" w:cs="Times New Roman"/>
          <w:b/>
          <w:bCs/>
          <w:i/>
          <w:iCs/>
          <w:color w:val="C00000"/>
          <w:sz w:val="22"/>
        </w:rPr>
        <w:t>Awareness of guidelines among health professionals – promotion and training:</w:t>
      </w:r>
    </w:p>
    <w:p w14:paraId="1D92969D" w14:textId="77777777" w:rsidR="00782640" w:rsidRPr="00782640" w:rsidRDefault="00782640" w:rsidP="00782640">
      <w:pPr>
        <w:spacing w:after="0" w:line="240" w:lineRule="auto"/>
        <w:jc w:val="both"/>
        <w:rPr>
          <w:rFonts w:ascii="Calibri" w:eastAsia="MS Mincho" w:hAnsi="Calibri" w:cs="Times New Roman"/>
          <w:i/>
          <w:sz w:val="24"/>
          <w:szCs w:val="24"/>
        </w:rPr>
      </w:pPr>
    </w:p>
    <w:p w14:paraId="1BA8BC43" w14:textId="77777777" w:rsidR="00782640" w:rsidRPr="00782640" w:rsidRDefault="00782640" w:rsidP="00782640">
      <w:pPr>
        <w:numPr>
          <w:ilvl w:val="0"/>
          <w:numId w:val="112"/>
        </w:numPr>
        <w:spacing w:after="0" w:line="240" w:lineRule="auto"/>
        <w:ind w:left="360"/>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Guidelines were not always actively promoted to key health professionals “on the ground” – this was particularly noted for national guidelines. </w:t>
      </w:r>
    </w:p>
    <w:p w14:paraId="334B04CC" w14:textId="77777777" w:rsidR="00782640" w:rsidRPr="00782640" w:rsidRDefault="00782640" w:rsidP="00782640">
      <w:pPr>
        <w:spacing w:after="0" w:line="240" w:lineRule="auto"/>
        <w:jc w:val="both"/>
        <w:rPr>
          <w:rFonts w:ascii="Calibri" w:eastAsia="MS Mincho" w:hAnsi="Calibri" w:cs="Times New Roman"/>
          <w:sz w:val="24"/>
          <w:szCs w:val="24"/>
        </w:rPr>
      </w:pPr>
    </w:p>
    <w:p w14:paraId="6003D143" w14:textId="77777777" w:rsidR="00782640" w:rsidRPr="00782640" w:rsidRDefault="00782640" w:rsidP="00782640">
      <w:pPr>
        <w:numPr>
          <w:ilvl w:val="0"/>
          <w:numId w:val="112"/>
        </w:numPr>
        <w:spacing w:after="0" w:line="240" w:lineRule="auto"/>
        <w:ind w:left="360"/>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Health professionals involved in care of Aboriginal and Torres Strait Islander patients may not always receive education regarding how best to use guidelines in daily practice. Therefore, guidelines are developed and distributed, but in the absence of strategies and training for implementation, they are not followed. </w:t>
      </w:r>
    </w:p>
    <w:p w14:paraId="0D7FD84D" w14:textId="77777777" w:rsidR="00782640" w:rsidRPr="00782640" w:rsidRDefault="00782640" w:rsidP="00782640">
      <w:pPr>
        <w:spacing w:after="0" w:line="240" w:lineRule="auto"/>
        <w:jc w:val="both"/>
        <w:rPr>
          <w:rFonts w:ascii="Calibri" w:eastAsia="MS Mincho" w:hAnsi="Calibri" w:cs="Times New Roman"/>
          <w:sz w:val="24"/>
          <w:szCs w:val="24"/>
        </w:rPr>
      </w:pPr>
    </w:p>
    <w:p w14:paraId="7C99B718" w14:textId="77777777" w:rsidR="00782640" w:rsidRPr="00782640" w:rsidRDefault="00782640" w:rsidP="00782640">
      <w:pPr>
        <w:numPr>
          <w:ilvl w:val="0"/>
          <w:numId w:val="112"/>
        </w:numPr>
        <w:spacing w:after="0" w:line="240" w:lineRule="auto"/>
        <w:ind w:left="360"/>
        <w:contextualSpacing/>
        <w:jc w:val="both"/>
        <w:rPr>
          <w:rFonts w:ascii="Calibri" w:eastAsia="MS Mincho" w:hAnsi="Calibri" w:cs="Times New Roman"/>
          <w:sz w:val="24"/>
          <w:szCs w:val="24"/>
        </w:rPr>
      </w:pPr>
      <w:r w:rsidRPr="00782640">
        <w:rPr>
          <w:rFonts w:ascii="Calibri" w:eastAsia="MS Mincho" w:hAnsi="Calibri" w:cs="Times New Roman"/>
          <w:sz w:val="24"/>
          <w:szCs w:val="24"/>
        </w:rPr>
        <w:lastRenderedPageBreak/>
        <w:t xml:space="preserve">Guidelines were not always promoted to all levels of staff within health services, and could be considered something only doctors or experts used. Educating non-medical health practitioners about guidelines can improve uptake and embedding into practice. </w:t>
      </w:r>
    </w:p>
    <w:p w14:paraId="30120B9B" w14:textId="77777777" w:rsidR="00782640" w:rsidRPr="00782640" w:rsidRDefault="00782640" w:rsidP="00782640">
      <w:pPr>
        <w:spacing w:after="0" w:line="240" w:lineRule="auto"/>
        <w:ind w:left="360"/>
        <w:contextualSpacing/>
        <w:jc w:val="both"/>
        <w:rPr>
          <w:rFonts w:ascii="Calibri" w:eastAsia="MS Mincho" w:hAnsi="Calibri" w:cs="Times New Roman"/>
          <w:sz w:val="24"/>
          <w:szCs w:val="24"/>
        </w:rPr>
      </w:pPr>
    </w:p>
    <w:p w14:paraId="3F5404C3" w14:textId="77777777" w:rsidR="00782640" w:rsidRPr="00782640" w:rsidRDefault="00782640" w:rsidP="00782640">
      <w:pPr>
        <w:spacing w:after="0" w:line="240" w:lineRule="auto"/>
        <w:jc w:val="both"/>
        <w:rPr>
          <w:rFonts w:ascii="Adelle Sans SemiBold" w:eastAsia="Calibri" w:hAnsi="Adelle Sans SemiBold" w:cs="Times New Roman"/>
          <w:b/>
          <w:bCs/>
          <w:i/>
          <w:iCs/>
          <w:color w:val="FF0000"/>
          <w:sz w:val="22"/>
        </w:rPr>
      </w:pPr>
      <w:r w:rsidRPr="00917039">
        <w:rPr>
          <w:rFonts w:ascii="Adelle Sans SemiBold" w:eastAsia="Calibri" w:hAnsi="Adelle Sans SemiBold" w:cs="Times New Roman"/>
          <w:b/>
          <w:bCs/>
          <w:i/>
          <w:iCs/>
          <w:color w:val="C00000"/>
          <w:sz w:val="22"/>
        </w:rPr>
        <w:t>Consumer Engagement in Guidelines Development:</w:t>
      </w:r>
    </w:p>
    <w:p w14:paraId="1547834F" w14:textId="77777777" w:rsidR="00782640" w:rsidRPr="00782640" w:rsidRDefault="00782640" w:rsidP="00782640">
      <w:pPr>
        <w:spacing w:after="0" w:line="240" w:lineRule="auto"/>
        <w:jc w:val="both"/>
        <w:rPr>
          <w:rFonts w:ascii="Calibri" w:eastAsia="MS Mincho" w:hAnsi="Calibri" w:cs="Times New Roman"/>
          <w:i/>
          <w:sz w:val="24"/>
          <w:szCs w:val="24"/>
        </w:rPr>
      </w:pPr>
    </w:p>
    <w:p w14:paraId="738538B3" w14:textId="77777777" w:rsidR="00782640" w:rsidRPr="00782640" w:rsidRDefault="00782640" w:rsidP="00782640">
      <w:pPr>
        <w:numPr>
          <w:ilvl w:val="0"/>
          <w:numId w:val="120"/>
        </w:numPr>
        <w:spacing w:after="0" w:line="240" w:lineRule="auto"/>
        <w:ind w:left="360"/>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Guidelines are often developed without input from the patients and consumers most affected. The enhanced consumer involvement at KHA-CARI was welcomed. </w:t>
      </w:r>
    </w:p>
    <w:p w14:paraId="58DD2469" w14:textId="77777777" w:rsidR="00782640" w:rsidRPr="00782640" w:rsidRDefault="00782640" w:rsidP="00782640">
      <w:pPr>
        <w:spacing w:after="0" w:line="240" w:lineRule="auto"/>
        <w:jc w:val="both"/>
        <w:rPr>
          <w:rFonts w:ascii="Calibri" w:eastAsia="MS Mincho" w:hAnsi="Calibri" w:cs="Times New Roman"/>
          <w:sz w:val="24"/>
          <w:szCs w:val="24"/>
        </w:rPr>
      </w:pPr>
    </w:p>
    <w:p w14:paraId="36CAB3E0" w14:textId="77777777" w:rsidR="00782640" w:rsidRPr="00782640" w:rsidRDefault="00782640" w:rsidP="00782640">
      <w:pPr>
        <w:numPr>
          <w:ilvl w:val="0"/>
          <w:numId w:val="120"/>
        </w:numPr>
        <w:spacing w:after="0" w:line="240" w:lineRule="auto"/>
        <w:ind w:left="360"/>
        <w:contextualSpacing/>
        <w:jc w:val="both"/>
        <w:rPr>
          <w:rFonts w:ascii="Calibri" w:eastAsia="MS Mincho" w:hAnsi="Calibri" w:cs="Times New Roman"/>
          <w:sz w:val="24"/>
          <w:szCs w:val="24"/>
        </w:rPr>
      </w:pPr>
      <w:r w:rsidRPr="00782640">
        <w:rPr>
          <w:rFonts w:ascii="Calibri" w:eastAsia="MS Mincho" w:hAnsi="Calibri" w:cs="Times New Roman"/>
          <w:sz w:val="24"/>
          <w:szCs w:val="24"/>
        </w:rPr>
        <w:t xml:space="preserve">In the absence of appropriate and meaningful consumer engagement and consultation the Guidelines are likely to be poorly utilised. </w:t>
      </w:r>
    </w:p>
    <w:p w14:paraId="19636926" w14:textId="77777777" w:rsidR="00782640" w:rsidRPr="00782640" w:rsidRDefault="00782640" w:rsidP="00782640">
      <w:pPr>
        <w:spacing w:after="0" w:line="240" w:lineRule="auto"/>
        <w:ind w:left="720"/>
        <w:jc w:val="both"/>
        <w:rPr>
          <w:rFonts w:ascii="Calibri" w:eastAsia="MS Mincho" w:hAnsi="Calibri" w:cs="Times New Roman"/>
          <w:sz w:val="24"/>
          <w:szCs w:val="24"/>
        </w:rPr>
      </w:pPr>
    </w:p>
    <w:p w14:paraId="15C5A94E" w14:textId="77777777" w:rsidR="00782640" w:rsidRPr="00782640" w:rsidRDefault="00782640" w:rsidP="00782640">
      <w:pPr>
        <w:spacing w:after="0" w:line="240" w:lineRule="auto"/>
        <w:jc w:val="both"/>
        <w:rPr>
          <w:rFonts w:ascii="Calibri" w:eastAsia="Calibri" w:hAnsi="Calibri" w:cs="Times New Roman"/>
          <w:b/>
          <w:i/>
          <w:sz w:val="24"/>
          <w:szCs w:val="24"/>
        </w:rPr>
      </w:pPr>
      <w:r w:rsidRPr="00782640">
        <w:rPr>
          <w:rFonts w:ascii="Calibri" w:eastAsia="Calibri" w:hAnsi="Calibri" w:cs="Times New Roman"/>
          <w:b/>
          <w:i/>
          <w:sz w:val="24"/>
          <w:szCs w:val="24"/>
        </w:rPr>
        <w:br w:type="page"/>
      </w:r>
    </w:p>
    <w:p w14:paraId="5AFCC849" w14:textId="77777777" w:rsidR="00782640" w:rsidRPr="00EC7110" w:rsidRDefault="00782640" w:rsidP="00782640">
      <w:pPr>
        <w:spacing w:after="0" w:line="240" w:lineRule="auto"/>
        <w:jc w:val="both"/>
        <w:rPr>
          <w:rFonts w:ascii="Adelle Sans ExtraBold" w:eastAsia="Calibri" w:hAnsi="Adelle Sans ExtraBold" w:cs="Times New Roman"/>
          <w:b/>
          <w:bCs/>
          <w:color w:val="C00000"/>
          <w:sz w:val="40"/>
          <w:szCs w:val="40"/>
        </w:rPr>
      </w:pPr>
      <w:r w:rsidRPr="00EC7110">
        <w:rPr>
          <w:rFonts w:ascii="Adelle Sans ExtraBold" w:eastAsia="Calibri" w:hAnsi="Adelle Sans ExtraBold" w:cs="Times New Roman"/>
          <w:b/>
          <w:bCs/>
          <w:color w:val="C00000"/>
          <w:sz w:val="40"/>
          <w:szCs w:val="40"/>
        </w:rPr>
        <w:lastRenderedPageBreak/>
        <w:t>F. Recommendations to Improve Usefulness and Implementation of Guidelines</w:t>
      </w:r>
    </w:p>
    <w:p w14:paraId="2E9C8624" w14:textId="77777777" w:rsidR="00782640" w:rsidRPr="00782640" w:rsidRDefault="00782640" w:rsidP="00782640">
      <w:pPr>
        <w:spacing w:after="0" w:line="240" w:lineRule="auto"/>
        <w:jc w:val="both"/>
        <w:rPr>
          <w:rFonts w:ascii="Calibri" w:eastAsia="Calibri" w:hAnsi="Calibri" w:cs="Times New Roman"/>
          <w:b/>
          <w:i/>
          <w:sz w:val="24"/>
          <w:szCs w:val="24"/>
        </w:rPr>
      </w:pPr>
    </w:p>
    <w:p w14:paraId="45D2E2F4"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 xml:space="preserve">The panel discussed a range of aspects to consider for developing useful CKD guidelines, including the format and delivery, accessibility, consumer engagement, healthcare professional engagement and technology. The panel was asked to consider approaches that had been successful and unsuccessful in their experience. </w:t>
      </w:r>
    </w:p>
    <w:p w14:paraId="4659763E" w14:textId="77777777" w:rsidR="00782640" w:rsidRPr="00782640" w:rsidRDefault="00782640" w:rsidP="00782640">
      <w:pPr>
        <w:spacing w:after="0" w:line="240" w:lineRule="auto"/>
        <w:jc w:val="both"/>
        <w:rPr>
          <w:rFonts w:ascii="Calibri" w:eastAsia="Calibri" w:hAnsi="Calibri" w:cs="Times New Roman"/>
          <w:sz w:val="24"/>
          <w:szCs w:val="24"/>
          <w:u w:val="single"/>
        </w:rPr>
      </w:pPr>
    </w:p>
    <w:p w14:paraId="711A0CED" w14:textId="77777777" w:rsidR="00782640" w:rsidRPr="00EC7110" w:rsidRDefault="00782640" w:rsidP="00782640">
      <w:pPr>
        <w:spacing w:after="0" w:line="240" w:lineRule="auto"/>
        <w:jc w:val="both"/>
        <w:rPr>
          <w:rFonts w:ascii="Adelle Sans Light" w:eastAsia="Calibri" w:hAnsi="Adelle Sans Light" w:cs="Times New Roman"/>
          <w:color w:val="C00000"/>
          <w:sz w:val="40"/>
          <w:szCs w:val="40"/>
        </w:rPr>
      </w:pPr>
      <w:r w:rsidRPr="00EC7110">
        <w:rPr>
          <w:rFonts w:ascii="Adelle Sans Light" w:eastAsia="Calibri" w:hAnsi="Adelle Sans Light" w:cs="Times New Roman"/>
          <w:color w:val="C00000"/>
          <w:sz w:val="40"/>
          <w:szCs w:val="40"/>
        </w:rPr>
        <w:t xml:space="preserve">1. Format and Delivery </w:t>
      </w:r>
    </w:p>
    <w:p w14:paraId="0F6EC93A" w14:textId="77777777" w:rsidR="00782640" w:rsidRPr="00782640" w:rsidRDefault="00782640" w:rsidP="00782640">
      <w:pPr>
        <w:spacing w:after="0" w:line="240" w:lineRule="auto"/>
        <w:jc w:val="both"/>
        <w:rPr>
          <w:rFonts w:ascii="Calibri" w:eastAsia="Calibri" w:hAnsi="Calibri" w:cs="Times New Roman"/>
          <w:sz w:val="24"/>
          <w:szCs w:val="24"/>
        </w:rPr>
      </w:pPr>
    </w:p>
    <w:p w14:paraId="282A638E" w14:textId="77777777" w:rsidR="00782640" w:rsidRPr="00782640" w:rsidRDefault="00782640" w:rsidP="00782640">
      <w:pPr>
        <w:numPr>
          <w:ilvl w:val="0"/>
          <w:numId w:val="95"/>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The format and delivery will likely determine the success of the CKD guidelines.  </w:t>
      </w:r>
    </w:p>
    <w:p w14:paraId="7D39FBE0" w14:textId="77777777" w:rsidR="00782640" w:rsidRPr="00782640" w:rsidRDefault="00782640" w:rsidP="00782640">
      <w:pPr>
        <w:spacing w:after="0" w:line="240" w:lineRule="auto"/>
        <w:jc w:val="both"/>
        <w:rPr>
          <w:rFonts w:ascii="Calibri" w:eastAsia="Calibri" w:hAnsi="Calibri" w:cs="Times New Roman"/>
          <w:sz w:val="24"/>
          <w:szCs w:val="24"/>
        </w:rPr>
      </w:pPr>
    </w:p>
    <w:p w14:paraId="3480B08B" w14:textId="77777777" w:rsidR="00782640" w:rsidRPr="00782640" w:rsidRDefault="00782640" w:rsidP="00782640">
      <w:pPr>
        <w:numPr>
          <w:ilvl w:val="0"/>
          <w:numId w:val="95"/>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A compact, easy to use version of the guidelines to improve accessibility (without compromising the evidence base) will allow for greater utilisation “in the field”. </w:t>
      </w:r>
    </w:p>
    <w:p w14:paraId="48019B30" w14:textId="77777777" w:rsidR="00782640" w:rsidRPr="00782640" w:rsidRDefault="00782640" w:rsidP="00782640">
      <w:pPr>
        <w:spacing w:after="0" w:line="240" w:lineRule="auto"/>
        <w:jc w:val="both"/>
        <w:rPr>
          <w:rFonts w:ascii="Calibri" w:eastAsia="Calibri" w:hAnsi="Calibri" w:cs="Times New Roman"/>
          <w:sz w:val="24"/>
          <w:szCs w:val="24"/>
        </w:rPr>
      </w:pPr>
    </w:p>
    <w:p w14:paraId="00AB605A" w14:textId="77777777" w:rsidR="00782640" w:rsidRPr="00782640" w:rsidRDefault="00782640" w:rsidP="00782640">
      <w:pPr>
        <w:numPr>
          <w:ilvl w:val="0"/>
          <w:numId w:val="95"/>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Guidelines should be more economical in length, and offer health practitioners simplified treatment algorithms for CKD care integrated with other chronic disease conditions. This will create a more functional guideline for better utilisation and success. </w:t>
      </w:r>
    </w:p>
    <w:p w14:paraId="499BFCFD" w14:textId="77777777" w:rsidR="00782640" w:rsidRPr="00782640" w:rsidRDefault="00782640" w:rsidP="00782640">
      <w:pPr>
        <w:spacing w:after="0" w:line="240" w:lineRule="auto"/>
        <w:jc w:val="both"/>
        <w:rPr>
          <w:rFonts w:ascii="Calibri" w:eastAsia="Calibri" w:hAnsi="Calibri" w:cs="Times New Roman"/>
          <w:sz w:val="24"/>
          <w:szCs w:val="24"/>
        </w:rPr>
      </w:pPr>
    </w:p>
    <w:p w14:paraId="00455AC5" w14:textId="77777777" w:rsidR="00782640" w:rsidRPr="00782640" w:rsidRDefault="00782640" w:rsidP="00782640">
      <w:pPr>
        <w:numPr>
          <w:ilvl w:val="0"/>
          <w:numId w:val="95"/>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A unified document for chronic disease care will avoid confusion for health practitioners about where to find information and how to apply guideline recommendations for common risk factors for CKD, cardiovascular disease and diabetes.  </w:t>
      </w:r>
    </w:p>
    <w:p w14:paraId="7FB7E2DF" w14:textId="77777777" w:rsidR="00782640" w:rsidRPr="00782640" w:rsidRDefault="00782640" w:rsidP="00782640">
      <w:pPr>
        <w:spacing w:after="0" w:line="240" w:lineRule="auto"/>
        <w:ind w:left="360"/>
        <w:contextualSpacing/>
        <w:jc w:val="both"/>
        <w:rPr>
          <w:rFonts w:ascii="Calibri" w:eastAsia="Calibri" w:hAnsi="Calibri" w:cs="Times New Roman"/>
          <w:sz w:val="24"/>
          <w:szCs w:val="24"/>
        </w:rPr>
      </w:pPr>
    </w:p>
    <w:p w14:paraId="4C8784C4" w14:textId="77777777" w:rsidR="00782640" w:rsidRPr="00EC7110" w:rsidRDefault="00782640" w:rsidP="00782640">
      <w:pPr>
        <w:spacing w:after="0" w:line="240" w:lineRule="auto"/>
        <w:jc w:val="both"/>
        <w:rPr>
          <w:rFonts w:ascii="Adelle Sans Light" w:eastAsia="Calibri" w:hAnsi="Adelle Sans Light" w:cs="Times New Roman"/>
          <w:color w:val="C00000"/>
          <w:sz w:val="40"/>
          <w:szCs w:val="40"/>
        </w:rPr>
      </w:pPr>
      <w:r w:rsidRPr="00EC7110">
        <w:rPr>
          <w:rFonts w:ascii="Adelle Sans Light" w:eastAsia="Calibri" w:hAnsi="Adelle Sans Light" w:cs="Times New Roman"/>
          <w:color w:val="C00000"/>
          <w:sz w:val="40"/>
          <w:szCs w:val="40"/>
        </w:rPr>
        <w:t>2. Patient Resources, Education and Engagement of Aboriginal and Torres Strait Islander Patients and Communities</w:t>
      </w:r>
    </w:p>
    <w:p w14:paraId="05FD2FE5" w14:textId="77777777" w:rsidR="00782640" w:rsidRPr="00782640" w:rsidRDefault="00782640" w:rsidP="00782640">
      <w:pPr>
        <w:spacing w:after="0" w:line="240" w:lineRule="auto"/>
        <w:jc w:val="both"/>
        <w:rPr>
          <w:rFonts w:ascii="Calibri" w:eastAsia="Calibri" w:hAnsi="Calibri" w:cs="Times New Roman"/>
          <w:i/>
          <w:sz w:val="24"/>
          <w:szCs w:val="24"/>
        </w:rPr>
      </w:pPr>
    </w:p>
    <w:p w14:paraId="5D230BC1" w14:textId="77777777" w:rsidR="00782640" w:rsidRPr="00782640" w:rsidRDefault="00782640" w:rsidP="00782640">
      <w:pPr>
        <w:numPr>
          <w:ilvl w:val="0"/>
          <w:numId w:val="96"/>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It was considered essential to translate the guidelines into culturally and linguistically appropriate information for patients to help them navigate the CKD care process, understand the healthcare professional’s message, and communicate their wishes and decisions to the doctor. </w:t>
      </w:r>
    </w:p>
    <w:p w14:paraId="2486C15C" w14:textId="77777777" w:rsidR="00782640" w:rsidRPr="00782640" w:rsidRDefault="00782640" w:rsidP="00782640">
      <w:pPr>
        <w:spacing w:after="0" w:line="240" w:lineRule="auto"/>
        <w:jc w:val="both"/>
        <w:rPr>
          <w:rFonts w:ascii="Calibri" w:eastAsia="Calibri" w:hAnsi="Calibri" w:cs="Times New Roman"/>
          <w:sz w:val="24"/>
          <w:szCs w:val="24"/>
        </w:rPr>
      </w:pPr>
    </w:p>
    <w:p w14:paraId="60B49C85" w14:textId="77777777" w:rsidR="00782640" w:rsidRPr="00782640" w:rsidRDefault="00782640" w:rsidP="00782640">
      <w:pPr>
        <w:numPr>
          <w:ilvl w:val="0"/>
          <w:numId w:val="96"/>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Supporting patient empowerment through provision of kidney health knowledge and facilitating appropriate questions regarding their treatment should be underpinned by resources to assist patients, their families and communities to become more informed and engaged in their CKD care. </w:t>
      </w:r>
    </w:p>
    <w:p w14:paraId="0BE579B4" w14:textId="77777777" w:rsidR="00782640" w:rsidRPr="00782640" w:rsidRDefault="00782640" w:rsidP="00782640">
      <w:pPr>
        <w:spacing w:after="0" w:line="240" w:lineRule="auto"/>
        <w:jc w:val="both"/>
        <w:rPr>
          <w:rFonts w:ascii="Calibri" w:eastAsia="Calibri" w:hAnsi="Calibri" w:cs="Times New Roman"/>
          <w:sz w:val="24"/>
          <w:szCs w:val="24"/>
        </w:rPr>
      </w:pPr>
    </w:p>
    <w:p w14:paraId="372BB8FB" w14:textId="77777777" w:rsidR="0016723C" w:rsidRDefault="0016723C" w:rsidP="00782640">
      <w:pPr>
        <w:spacing w:after="0" w:line="240" w:lineRule="auto"/>
        <w:jc w:val="both"/>
        <w:rPr>
          <w:rFonts w:ascii="Adelle Sans SemiBold" w:eastAsia="Calibri" w:hAnsi="Adelle Sans SemiBold" w:cs="Times New Roman"/>
          <w:b/>
          <w:bCs/>
          <w:i/>
          <w:iCs/>
          <w:color w:val="C00000"/>
          <w:sz w:val="22"/>
        </w:rPr>
      </w:pPr>
    </w:p>
    <w:p w14:paraId="564A581D" w14:textId="77777777" w:rsidR="0016723C" w:rsidRDefault="0016723C" w:rsidP="00782640">
      <w:pPr>
        <w:spacing w:after="0" w:line="240" w:lineRule="auto"/>
        <w:jc w:val="both"/>
        <w:rPr>
          <w:rFonts w:ascii="Adelle Sans SemiBold" w:eastAsia="Calibri" w:hAnsi="Adelle Sans SemiBold" w:cs="Times New Roman"/>
          <w:b/>
          <w:bCs/>
          <w:i/>
          <w:iCs/>
          <w:color w:val="C00000"/>
          <w:sz w:val="22"/>
        </w:rPr>
      </w:pPr>
    </w:p>
    <w:p w14:paraId="4C7BCFC0" w14:textId="77777777" w:rsidR="0016723C" w:rsidRDefault="0016723C" w:rsidP="00782640">
      <w:pPr>
        <w:spacing w:after="0" w:line="240" w:lineRule="auto"/>
        <w:jc w:val="both"/>
        <w:rPr>
          <w:rFonts w:ascii="Adelle Sans SemiBold" w:eastAsia="Calibri" w:hAnsi="Adelle Sans SemiBold" w:cs="Times New Roman"/>
          <w:b/>
          <w:bCs/>
          <w:i/>
          <w:iCs/>
          <w:color w:val="C00000"/>
          <w:sz w:val="22"/>
        </w:rPr>
      </w:pPr>
    </w:p>
    <w:p w14:paraId="0B8BCC0D" w14:textId="77777777" w:rsidR="0016723C" w:rsidRDefault="0016723C" w:rsidP="00782640">
      <w:pPr>
        <w:spacing w:after="0" w:line="240" w:lineRule="auto"/>
        <w:jc w:val="both"/>
        <w:rPr>
          <w:rFonts w:ascii="Adelle Sans SemiBold" w:eastAsia="Calibri" w:hAnsi="Adelle Sans SemiBold" w:cs="Times New Roman"/>
          <w:b/>
          <w:bCs/>
          <w:i/>
          <w:iCs/>
          <w:color w:val="C00000"/>
          <w:sz w:val="22"/>
        </w:rPr>
      </w:pPr>
    </w:p>
    <w:p w14:paraId="7D7AAAA1" w14:textId="44DDC999" w:rsidR="00782640" w:rsidRPr="00782640" w:rsidRDefault="00782640" w:rsidP="00782640">
      <w:pPr>
        <w:spacing w:after="0" w:line="240" w:lineRule="auto"/>
        <w:jc w:val="both"/>
        <w:rPr>
          <w:rFonts w:ascii="Calibri" w:eastAsia="Calibri" w:hAnsi="Calibri" w:cs="Times New Roman"/>
          <w:sz w:val="24"/>
          <w:szCs w:val="24"/>
        </w:rPr>
      </w:pPr>
      <w:r w:rsidRPr="00917039">
        <w:rPr>
          <w:rFonts w:ascii="Adelle Sans SemiBold" w:eastAsia="Calibri" w:hAnsi="Adelle Sans SemiBold" w:cs="Times New Roman"/>
          <w:b/>
          <w:bCs/>
          <w:i/>
          <w:iCs/>
          <w:color w:val="C00000"/>
          <w:sz w:val="22"/>
        </w:rPr>
        <w:lastRenderedPageBreak/>
        <w:t xml:space="preserve">Educational Frameworks and Resources: </w:t>
      </w:r>
    </w:p>
    <w:p w14:paraId="65F0E430" w14:textId="77777777" w:rsidR="00782640" w:rsidRPr="00782640" w:rsidRDefault="00782640" w:rsidP="00782640">
      <w:pPr>
        <w:spacing w:after="0" w:line="240" w:lineRule="auto"/>
        <w:jc w:val="both"/>
        <w:rPr>
          <w:rFonts w:ascii="Calibri" w:eastAsia="Calibri" w:hAnsi="Calibri" w:cs="Times New Roman"/>
          <w:sz w:val="24"/>
          <w:szCs w:val="24"/>
        </w:rPr>
      </w:pPr>
    </w:p>
    <w:p w14:paraId="656EEF76" w14:textId="77777777" w:rsidR="00782640" w:rsidRPr="00782640" w:rsidRDefault="00782640" w:rsidP="00782640">
      <w:pPr>
        <w:numPr>
          <w:ilvl w:val="0"/>
          <w:numId w:val="97"/>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Consumers (patients, carers and community) should be involved to address language, cultural and educational issues and ensure the guideline recommendations are implemented in the ‘real-world’.</w:t>
      </w:r>
    </w:p>
    <w:p w14:paraId="6BE55C87" w14:textId="77777777" w:rsidR="00782640" w:rsidRPr="00782640" w:rsidRDefault="00782640" w:rsidP="00782640">
      <w:pPr>
        <w:spacing w:after="0" w:line="240" w:lineRule="auto"/>
        <w:jc w:val="both"/>
        <w:rPr>
          <w:rFonts w:ascii="Calibri" w:eastAsia="Calibri" w:hAnsi="Calibri" w:cs="Times New Roman"/>
          <w:sz w:val="24"/>
          <w:szCs w:val="24"/>
        </w:rPr>
      </w:pPr>
    </w:p>
    <w:p w14:paraId="591B9F01" w14:textId="77777777" w:rsidR="00782640" w:rsidRPr="00782640" w:rsidRDefault="00782640" w:rsidP="00782640">
      <w:pPr>
        <w:numPr>
          <w:ilvl w:val="0"/>
          <w:numId w:val="97"/>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Strengthening and evaluating the evidence-base regarding translation of guidelines content to consumers was highlighted as a key priority. Educational resources must have an evidence base demonstrating evaluation and successful use in Aboriginal and Torres Strait Islander cohorts. </w:t>
      </w:r>
    </w:p>
    <w:p w14:paraId="13AFBBDD" w14:textId="77777777" w:rsidR="00782640" w:rsidRPr="00782640" w:rsidRDefault="00782640" w:rsidP="00782640">
      <w:pPr>
        <w:spacing w:after="0" w:line="240" w:lineRule="auto"/>
        <w:ind w:left="720"/>
        <w:contextualSpacing/>
        <w:rPr>
          <w:rFonts w:ascii="Calibri" w:eastAsia="Calibri" w:hAnsi="Calibri" w:cs="Times New Roman"/>
          <w:sz w:val="24"/>
          <w:szCs w:val="24"/>
        </w:rPr>
      </w:pPr>
    </w:p>
    <w:p w14:paraId="57C6C03C" w14:textId="77777777" w:rsidR="00782640" w:rsidRPr="00782640" w:rsidRDefault="00782640" w:rsidP="00782640">
      <w:pPr>
        <w:numPr>
          <w:ilvl w:val="0"/>
          <w:numId w:val="97"/>
        </w:numPr>
        <w:spacing w:after="0" w:line="240" w:lineRule="auto"/>
        <w:contextualSpacing/>
        <w:jc w:val="both"/>
        <w:rPr>
          <w:rFonts w:ascii="Calibri" w:eastAsia="Calibri" w:hAnsi="Calibri" w:cs="Times New Roman"/>
          <w:iCs/>
          <w:sz w:val="24"/>
          <w:szCs w:val="24"/>
        </w:rPr>
      </w:pPr>
      <w:r w:rsidRPr="00782640">
        <w:rPr>
          <w:rFonts w:ascii="Calibri" w:eastAsia="Calibri" w:hAnsi="Calibri" w:cs="Times New Roman"/>
          <w:sz w:val="24"/>
          <w:szCs w:val="24"/>
        </w:rPr>
        <w:t>Aboriginal Educational Philosophy should be considered for all educational resources accompanying the guidelines. The '</w:t>
      </w:r>
      <w:r w:rsidRPr="00782640">
        <w:rPr>
          <w:rFonts w:ascii="Calibri" w:eastAsia="Calibri" w:hAnsi="Calibri" w:cs="Times New Roman"/>
          <w:i/>
          <w:iCs/>
          <w:sz w:val="24"/>
          <w:szCs w:val="24"/>
        </w:rPr>
        <w:t>8</w:t>
      </w:r>
      <w:r w:rsidRPr="00782640">
        <w:rPr>
          <w:rFonts w:ascii="Calibri" w:eastAsia="Calibri" w:hAnsi="Calibri" w:cs="Times New Roman"/>
          <w:sz w:val="24"/>
          <w:szCs w:val="24"/>
        </w:rPr>
        <w:t xml:space="preserve"> [</w:t>
      </w:r>
      <w:r w:rsidRPr="00782640">
        <w:rPr>
          <w:rFonts w:ascii="Calibri" w:eastAsia="Calibri" w:hAnsi="Calibri" w:cs="Times New Roman"/>
          <w:i/>
          <w:iCs/>
          <w:sz w:val="24"/>
          <w:szCs w:val="24"/>
        </w:rPr>
        <w:t>Aboriginal</w:t>
      </w:r>
      <w:r w:rsidRPr="00782640">
        <w:rPr>
          <w:rFonts w:ascii="Calibri" w:eastAsia="Calibri" w:hAnsi="Calibri" w:cs="Times New Roman"/>
          <w:sz w:val="24"/>
          <w:szCs w:val="24"/>
        </w:rPr>
        <w:t xml:space="preserve">] </w:t>
      </w:r>
      <w:r w:rsidRPr="00782640">
        <w:rPr>
          <w:rFonts w:ascii="Calibri" w:eastAsia="Calibri" w:hAnsi="Calibri" w:cs="Times New Roman"/>
          <w:i/>
          <w:iCs/>
          <w:sz w:val="24"/>
          <w:szCs w:val="24"/>
        </w:rPr>
        <w:t>Ways of Learning</w:t>
      </w:r>
      <w:r w:rsidRPr="00782640">
        <w:rPr>
          <w:rFonts w:ascii="Calibri" w:eastAsia="Calibri" w:hAnsi="Calibri" w:cs="Times New Roman"/>
          <w:sz w:val="24"/>
          <w:szCs w:val="24"/>
        </w:rPr>
        <w:t xml:space="preserve">' </w:t>
      </w:r>
      <w:r w:rsidRPr="00782640">
        <w:rPr>
          <w:rFonts w:ascii="Calibri" w:eastAsia="Calibri" w:hAnsi="Calibri" w:cs="Times New Roman"/>
          <w:i/>
          <w:iCs/>
          <w:sz w:val="24"/>
          <w:szCs w:val="24"/>
        </w:rPr>
        <w:t>framework (</w:t>
      </w:r>
      <w:r w:rsidRPr="00782640">
        <w:rPr>
          <w:rFonts w:ascii="Calibri" w:eastAsia="Calibri" w:hAnsi="Calibri" w:cs="Times New Roman"/>
          <w:sz w:val="24"/>
          <w:szCs w:val="24"/>
        </w:rPr>
        <w:t xml:space="preserve">Regional Aboriginal Education Team, Western area 2012, </w:t>
      </w:r>
      <w:r w:rsidRPr="00782640">
        <w:rPr>
          <w:rFonts w:ascii="Calibri" w:eastAsia="Calibri" w:hAnsi="Calibri" w:cs="Times New Roman"/>
          <w:i/>
          <w:iCs/>
          <w:sz w:val="24"/>
          <w:szCs w:val="24"/>
        </w:rPr>
        <w:t>8 ways: Aboriginal pedagogy from Western NSW</w:t>
      </w:r>
      <w:r w:rsidRPr="00782640">
        <w:rPr>
          <w:rFonts w:ascii="Calibri" w:eastAsia="Calibri" w:hAnsi="Calibri" w:cs="Times New Roman"/>
          <w:sz w:val="24"/>
          <w:szCs w:val="24"/>
        </w:rPr>
        <w:t>, RAET, Dept. of Education and Communities, Dubbo, N.S.W)</w:t>
      </w:r>
      <w:r w:rsidRPr="00782640">
        <w:rPr>
          <w:rFonts w:ascii="Calibri" w:eastAsia="Calibri" w:hAnsi="Calibri" w:cs="Times New Roman"/>
          <w:iCs/>
          <w:sz w:val="24"/>
          <w:szCs w:val="24"/>
        </w:rPr>
        <w:t xml:space="preserve"> has been widely utilised in Aboriginal education and provides a structure of teaching that is culturally competent, reflecting key processes (summary fact sheet  </w:t>
      </w:r>
      <w:hyperlink r:id="rId91" w:history="1">
        <w:r w:rsidRPr="00EC7110">
          <w:rPr>
            <w:rFonts w:ascii="Adelle Sans SemiBold" w:eastAsia="Calibri" w:hAnsi="Adelle Sans SemiBold" w:cs="Times New Roman"/>
            <w:b/>
            <w:bCs/>
            <w:color w:val="C00000"/>
            <w:sz w:val="28"/>
            <w:szCs w:val="28"/>
          </w:rPr>
          <w:t>https://www.painaustralia.org.au/static/uploads/files/8-aboriginal-ways-of-learning-factsheet2-wfklwmnralub.pdf</w:t>
        </w:r>
      </w:hyperlink>
      <w:r w:rsidRPr="00EC7110">
        <w:rPr>
          <w:rFonts w:ascii="Calibri" w:eastAsia="Calibri" w:hAnsi="Calibri" w:cs="Times New Roman"/>
          <w:iCs/>
          <w:color w:val="C00000"/>
          <w:sz w:val="24"/>
          <w:szCs w:val="24"/>
        </w:rPr>
        <w:t>)</w:t>
      </w:r>
      <w:r w:rsidRPr="00782640">
        <w:rPr>
          <w:rFonts w:ascii="Calibri" w:eastAsia="Calibri" w:hAnsi="Calibri" w:cs="Times New Roman"/>
          <w:iCs/>
          <w:sz w:val="24"/>
          <w:szCs w:val="24"/>
        </w:rPr>
        <w:t xml:space="preserve">. Non-verbal approaches, story-telling, pictorial learning maps, use of symbolism and connection with community are key aspects of “8 Ways” to incorporate. </w:t>
      </w:r>
    </w:p>
    <w:p w14:paraId="7EC9AB6A" w14:textId="77777777" w:rsidR="00782640" w:rsidRPr="00782640" w:rsidRDefault="00782640" w:rsidP="00782640">
      <w:pPr>
        <w:spacing w:after="0" w:line="240" w:lineRule="auto"/>
        <w:jc w:val="both"/>
        <w:rPr>
          <w:rFonts w:ascii="Calibri" w:eastAsia="Calibri" w:hAnsi="Calibri" w:cs="Times New Roman"/>
          <w:iCs/>
          <w:sz w:val="24"/>
          <w:szCs w:val="24"/>
        </w:rPr>
      </w:pPr>
    </w:p>
    <w:p w14:paraId="19C1F7BF" w14:textId="77777777" w:rsidR="00782640" w:rsidRPr="00782640" w:rsidRDefault="00782640" w:rsidP="00782640">
      <w:pPr>
        <w:numPr>
          <w:ilvl w:val="0"/>
          <w:numId w:val="97"/>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“Learning from each other” is a common form of learning for Aboriginal and Torres Strait Islander peoples by sharing of stories. The value of narrative (story-telling) as means of communication and learning was considered particularly important, particularly when it comes from someone who has kidney disease (see below re: patient preceptors).  </w:t>
      </w:r>
    </w:p>
    <w:p w14:paraId="414A2624" w14:textId="77777777" w:rsidR="00782640" w:rsidRPr="00782640" w:rsidRDefault="00782640" w:rsidP="00782640">
      <w:pPr>
        <w:spacing w:after="0" w:line="240" w:lineRule="auto"/>
        <w:jc w:val="both"/>
        <w:rPr>
          <w:rFonts w:ascii="Calibri" w:eastAsia="Calibri" w:hAnsi="Calibri" w:cs="Times New Roman"/>
          <w:sz w:val="24"/>
          <w:szCs w:val="24"/>
        </w:rPr>
      </w:pPr>
    </w:p>
    <w:p w14:paraId="54A5FF0E" w14:textId="77777777" w:rsidR="00782640" w:rsidRPr="00782640" w:rsidRDefault="00782640" w:rsidP="00782640">
      <w:pPr>
        <w:numPr>
          <w:ilvl w:val="0"/>
          <w:numId w:val="97"/>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Information in the guidelines should be accessible to patients (written format, video, translated into languages). A multifaceted approach should occur to ensure the information is suited to varied settings – for example different communities, primary care settings, and hospital settings. </w:t>
      </w:r>
    </w:p>
    <w:p w14:paraId="7F369CF7" w14:textId="77777777" w:rsidR="00782640" w:rsidRPr="00782640" w:rsidRDefault="00782640" w:rsidP="00782640">
      <w:pPr>
        <w:spacing w:after="0" w:line="240" w:lineRule="auto"/>
        <w:jc w:val="both"/>
        <w:rPr>
          <w:rFonts w:ascii="Calibri" w:eastAsia="Calibri" w:hAnsi="Calibri" w:cs="Times New Roman"/>
          <w:sz w:val="24"/>
          <w:szCs w:val="24"/>
        </w:rPr>
      </w:pPr>
    </w:p>
    <w:p w14:paraId="6D30AA9C" w14:textId="77777777" w:rsidR="00782640" w:rsidRPr="00782640" w:rsidRDefault="00782640" w:rsidP="00782640">
      <w:pPr>
        <w:numPr>
          <w:ilvl w:val="0"/>
          <w:numId w:val="97"/>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While this is complex, different levels of health literacy should be catered for, with “layers” of information ranging from simple to more complex depending on the patient needs.  </w:t>
      </w:r>
    </w:p>
    <w:p w14:paraId="7F0E1EAD" w14:textId="77777777" w:rsidR="00782640" w:rsidRPr="00782640" w:rsidRDefault="00782640" w:rsidP="00782640">
      <w:pPr>
        <w:spacing w:after="0" w:line="240" w:lineRule="auto"/>
        <w:ind w:left="720"/>
        <w:contextualSpacing/>
        <w:jc w:val="both"/>
        <w:rPr>
          <w:rFonts w:ascii="Calibri" w:eastAsia="Calibri" w:hAnsi="Calibri" w:cs="Times New Roman"/>
          <w:sz w:val="24"/>
          <w:szCs w:val="24"/>
        </w:rPr>
      </w:pPr>
    </w:p>
    <w:p w14:paraId="5BBBC45D" w14:textId="77777777" w:rsidR="00782640" w:rsidRPr="00782640" w:rsidRDefault="00782640" w:rsidP="00782640">
      <w:pPr>
        <w:numPr>
          <w:ilvl w:val="0"/>
          <w:numId w:val="97"/>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Language barriers should be actively addressed, with a focus on </w:t>
      </w:r>
      <w:r w:rsidRPr="00782640">
        <w:rPr>
          <w:rFonts w:ascii="Calibri" w:eastAsia="Calibri" w:hAnsi="Calibri" w:cs="Times New Roman"/>
          <w:sz w:val="24"/>
          <w:szCs w:val="24"/>
          <w:shd w:val="clear" w:color="auto" w:fill="FFFFFF"/>
        </w:rPr>
        <w:t>trained interpreters</w:t>
      </w:r>
      <w:r w:rsidRPr="00782640">
        <w:rPr>
          <w:rFonts w:ascii="Calibri" w:eastAsia="Calibri" w:hAnsi="Calibri" w:cs="Times New Roman"/>
          <w:sz w:val="24"/>
          <w:szCs w:val="24"/>
        </w:rPr>
        <w:t xml:space="preserve"> and translated material.  Local community input will assist this (see below). </w:t>
      </w:r>
    </w:p>
    <w:p w14:paraId="4D6904D1" w14:textId="77777777" w:rsidR="00782640" w:rsidRPr="00782640" w:rsidRDefault="00782640" w:rsidP="00782640">
      <w:pPr>
        <w:spacing w:after="0" w:line="240" w:lineRule="auto"/>
        <w:jc w:val="both"/>
        <w:rPr>
          <w:rFonts w:ascii="Calibri" w:eastAsia="Calibri" w:hAnsi="Calibri" w:cs="Times New Roman"/>
          <w:sz w:val="24"/>
          <w:szCs w:val="24"/>
        </w:rPr>
      </w:pPr>
    </w:p>
    <w:p w14:paraId="50EAA861" w14:textId="77777777" w:rsidR="00782640" w:rsidRPr="00782640" w:rsidRDefault="00782640" w:rsidP="00782640">
      <w:pPr>
        <w:numPr>
          <w:ilvl w:val="0"/>
          <w:numId w:val="97"/>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Novel / innovative means of communication with patients about kidney disease and kidney care should be developed. These may include: </w:t>
      </w:r>
    </w:p>
    <w:p w14:paraId="554A8500" w14:textId="77777777" w:rsidR="00782640" w:rsidRPr="00782640" w:rsidRDefault="00782640" w:rsidP="00782640">
      <w:pPr>
        <w:numPr>
          <w:ilvl w:val="1"/>
          <w:numId w:val="95"/>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Visually-based materials as useful adjuncts to written material. For example, the visual aid “</w:t>
      </w:r>
      <w:proofErr w:type="spellStart"/>
      <w:r w:rsidRPr="00782640">
        <w:rPr>
          <w:rFonts w:ascii="Calibri" w:eastAsia="Calibri" w:hAnsi="Calibri" w:cs="Times New Roman"/>
          <w:sz w:val="24"/>
          <w:szCs w:val="24"/>
        </w:rPr>
        <w:t>Feltman</w:t>
      </w:r>
      <w:proofErr w:type="spellEnd"/>
      <w:r w:rsidRPr="00782640">
        <w:rPr>
          <w:rFonts w:ascii="Calibri" w:eastAsia="Calibri" w:hAnsi="Calibri" w:cs="Times New Roman"/>
          <w:sz w:val="24"/>
          <w:szCs w:val="24"/>
        </w:rPr>
        <w:sym w:font="Symbol" w:char="F0D2"/>
      </w:r>
      <w:r w:rsidRPr="00782640">
        <w:rPr>
          <w:rFonts w:ascii="Calibri" w:eastAsia="Calibri" w:hAnsi="Calibri" w:cs="Times New Roman"/>
          <w:sz w:val="24"/>
          <w:szCs w:val="24"/>
        </w:rPr>
        <w:t xml:space="preserve">” is commonly used for teaching Indigenous Australians about diabetes management and the prevention of type 2 diabetes, and was emphasised as a well-evaluated and widely used tool for discussions about disease that could potentially be adapted to kidney disease. </w:t>
      </w:r>
    </w:p>
    <w:p w14:paraId="26DD4331" w14:textId="77777777" w:rsidR="00782640" w:rsidRPr="00782640" w:rsidRDefault="00782640" w:rsidP="00782640">
      <w:pPr>
        <w:numPr>
          <w:ilvl w:val="1"/>
          <w:numId w:val="95"/>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lastRenderedPageBreak/>
        <w:t>Video content (with translations, animations).</w:t>
      </w:r>
    </w:p>
    <w:p w14:paraId="116781C0" w14:textId="77777777" w:rsidR="00782640" w:rsidRPr="00782640" w:rsidRDefault="00782640" w:rsidP="00782640">
      <w:pPr>
        <w:numPr>
          <w:ilvl w:val="1"/>
          <w:numId w:val="95"/>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Conversation cards to facilitate questions and enable health workers to identify key points for education and discuss common misconceptions. </w:t>
      </w:r>
    </w:p>
    <w:p w14:paraId="4AE95926" w14:textId="77777777" w:rsidR="00782640" w:rsidRPr="00782640" w:rsidRDefault="00782640" w:rsidP="00782640">
      <w:pPr>
        <w:numPr>
          <w:ilvl w:val="1"/>
          <w:numId w:val="95"/>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Fact sheets and consumer versions of guidelines (as already prepared for recent KHA-CARI guidelines). </w:t>
      </w:r>
    </w:p>
    <w:p w14:paraId="750DDBB2" w14:textId="77777777" w:rsidR="00782640" w:rsidRPr="00782640" w:rsidRDefault="00782640" w:rsidP="00782640">
      <w:pPr>
        <w:numPr>
          <w:ilvl w:val="1"/>
          <w:numId w:val="95"/>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Decision-support tools specific to the needs of Aboriginal and Torres Strait Islander patients and their extended family / community, developed and evaluated in conjunction with consumers</w:t>
      </w:r>
    </w:p>
    <w:p w14:paraId="2FB23426" w14:textId="77777777" w:rsidR="00782640" w:rsidRPr="00782640" w:rsidRDefault="00782640" w:rsidP="00782640">
      <w:pPr>
        <w:spacing w:after="0" w:line="240" w:lineRule="auto"/>
        <w:jc w:val="both"/>
        <w:rPr>
          <w:rFonts w:ascii="Adelle Sans SemiBold" w:eastAsia="Calibri" w:hAnsi="Adelle Sans SemiBold" w:cs="Times New Roman"/>
          <w:b/>
          <w:bCs/>
          <w:i/>
          <w:iCs/>
          <w:color w:val="FF0000"/>
          <w:sz w:val="22"/>
        </w:rPr>
      </w:pPr>
    </w:p>
    <w:p w14:paraId="628772A4" w14:textId="77777777" w:rsidR="00782640" w:rsidRPr="00782640" w:rsidRDefault="00782640" w:rsidP="00782640">
      <w:pPr>
        <w:spacing w:after="0" w:line="240" w:lineRule="auto"/>
        <w:jc w:val="both"/>
        <w:rPr>
          <w:rFonts w:ascii="Adelle Sans SemiBold" w:eastAsia="Calibri" w:hAnsi="Adelle Sans SemiBold" w:cs="Times New Roman"/>
          <w:b/>
          <w:bCs/>
          <w:i/>
          <w:iCs/>
          <w:color w:val="FF0000"/>
          <w:sz w:val="22"/>
        </w:rPr>
      </w:pPr>
      <w:r w:rsidRPr="00917039">
        <w:rPr>
          <w:rFonts w:ascii="Adelle Sans SemiBold" w:eastAsia="Calibri" w:hAnsi="Adelle Sans SemiBold" w:cs="Times New Roman"/>
          <w:b/>
          <w:bCs/>
          <w:i/>
          <w:iCs/>
          <w:color w:val="C00000"/>
          <w:sz w:val="22"/>
        </w:rPr>
        <w:t xml:space="preserve">Family support: </w:t>
      </w:r>
    </w:p>
    <w:p w14:paraId="0145D972" w14:textId="77777777" w:rsidR="00782640" w:rsidRPr="00782640" w:rsidRDefault="00782640" w:rsidP="00782640">
      <w:pPr>
        <w:spacing w:after="0" w:line="240" w:lineRule="auto"/>
        <w:jc w:val="both"/>
        <w:rPr>
          <w:rFonts w:ascii="Calibri" w:eastAsia="Calibri" w:hAnsi="Calibri" w:cs="Times New Roman"/>
          <w:sz w:val="24"/>
          <w:szCs w:val="24"/>
        </w:rPr>
      </w:pPr>
    </w:p>
    <w:p w14:paraId="6FB3920C" w14:textId="77777777" w:rsidR="00782640" w:rsidRPr="00782640" w:rsidRDefault="00782640" w:rsidP="00782640">
      <w:pPr>
        <w:numPr>
          <w:ilvl w:val="0"/>
          <w:numId w:val="98"/>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This was considered highly valuable in-patient education. A family centred care approach to healthcare is more impactful and successful. </w:t>
      </w:r>
    </w:p>
    <w:p w14:paraId="56F6D9EF" w14:textId="77777777" w:rsidR="00782640" w:rsidRPr="00782640" w:rsidRDefault="00782640" w:rsidP="00782640">
      <w:pPr>
        <w:spacing w:after="0" w:line="240" w:lineRule="auto"/>
        <w:jc w:val="both"/>
        <w:rPr>
          <w:rFonts w:ascii="Calibri" w:eastAsia="Calibri" w:hAnsi="Calibri" w:cs="Times New Roman"/>
          <w:sz w:val="24"/>
          <w:szCs w:val="24"/>
        </w:rPr>
      </w:pPr>
    </w:p>
    <w:p w14:paraId="571389B4" w14:textId="77777777" w:rsidR="00782640" w:rsidRPr="00782640" w:rsidRDefault="00782640" w:rsidP="00782640">
      <w:pPr>
        <w:numPr>
          <w:ilvl w:val="0"/>
          <w:numId w:val="98"/>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Family members at appointments can assist patients in the decision-making process. Inclusion of extended family is essential, as they are often involved in the care of patients. Although time-consuming, this process should be facilitated by health professionals. Cultural responsibilities have an impact on the ability to engage in health care. </w:t>
      </w:r>
    </w:p>
    <w:p w14:paraId="23969D1A" w14:textId="77777777" w:rsidR="00782640" w:rsidRPr="00782640" w:rsidRDefault="00782640" w:rsidP="00782640">
      <w:pPr>
        <w:spacing w:after="0" w:line="240" w:lineRule="auto"/>
        <w:jc w:val="both"/>
        <w:rPr>
          <w:rFonts w:ascii="Calibri" w:eastAsia="Calibri" w:hAnsi="Calibri" w:cs="Times New Roman"/>
          <w:sz w:val="24"/>
          <w:szCs w:val="24"/>
        </w:rPr>
      </w:pPr>
    </w:p>
    <w:p w14:paraId="6415B8B3" w14:textId="77777777" w:rsidR="00782640" w:rsidRPr="00782640" w:rsidRDefault="00782640" w:rsidP="00782640">
      <w:pPr>
        <w:numPr>
          <w:ilvl w:val="0"/>
          <w:numId w:val="98"/>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The KHA-CARI guidelines group should ensure the guidelines are supported by educational information for patients and their family members. </w:t>
      </w:r>
    </w:p>
    <w:p w14:paraId="305B8518" w14:textId="77777777" w:rsidR="00782640" w:rsidRPr="00782640" w:rsidRDefault="00782640" w:rsidP="00782640">
      <w:pPr>
        <w:spacing w:after="0" w:line="240" w:lineRule="auto"/>
        <w:jc w:val="both"/>
        <w:rPr>
          <w:rFonts w:ascii="Calibri" w:eastAsia="Calibri" w:hAnsi="Calibri" w:cs="Times New Roman"/>
          <w:sz w:val="24"/>
          <w:szCs w:val="24"/>
        </w:rPr>
      </w:pPr>
    </w:p>
    <w:p w14:paraId="420DA9EF" w14:textId="77777777" w:rsidR="00782640" w:rsidRPr="00782640" w:rsidRDefault="00782640" w:rsidP="00782640">
      <w:pPr>
        <w:spacing w:after="0" w:line="240" w:lineRule="auto"/>
        <w:jc w:val="both"/>
        <w:rPr>
          <w:rFonts w:ascii="Adelle Sans SemiBold" w:eastAsia="Calibri" w:hAnsi="Adelle Sans SemiBold" w:cs="Times New Roman"/>
          <w:b/>
          <w:bCs/>
          <w:i/>
          <w:iCs/>
          <w:color w:val="FF0000"/>
          <w:sz w:val="22"/>
        </w:rPr>
      </w:pPr>
      <w:r w:rsidRPr="00917039">
        <w:rPr>
          <w:rFonts w:ascii="Adelle Sans SemiBold" w:eastAsia="Calibri" w:hAnsi="Adelle Sans SemiBold" w:cs="Times New Roman"/>
          <w:b/>
          <w:bCs/>
          <w:i/>
          <w:iCs/>
          <w:color w:val="C00000"/>
          <w:sz w:val="22"/>
        </w:rPr>
        <w:t>Patient Preceptors:</w:t>
      </w:r>
    </w:p>
    <w:p w14:paraId="213D02DA" w14:textId="77777777" w:rsidR="00782640" w:rsidRPr="00782640" w:rsidRDefault="00782640" w:rsidP="00782640">
      <w:pPr>
        <w:spacing w:after="0" w:line="240" w:lineRule="auto"/>
        <w:jc w:val="both"/>
        <w:rPr>
          <w:rFonts w:ascii="Calibri" w:eastAsia="Calibri" w:hAnsi="Calibri" w:cs="Times New Roman"/>
          <w:i/>
          <w:sz w:val="24"/>
          <w:szCs w:val="24"/>
        </w:rPr>
      </w:pPr>
      <w:r w:rsidRPr="00782640">
        <w:rPr>
          <w:rFonts w:ascii="Calibri" w:eastAsia="Calibri" w:hAnsi="Calibri" w:cs="Times New Roman"/>
          <w:i/>
          <w:sz w:val="24"/>
          <w:szCs w:val="24"/>
        </w:rPr>
        <w:t xml:space="preserve"> </w:t>
      </w:r>
    </w:p>
    <w:p w14:paraId="3CA3348B" w14:textId="77777777" w:rsidR="00782640" w:rsidRPr="00782640" w:rsidRDefault="00782640" w:rsidP="00782640">
      <w:pPr>
        <w:numPr>
          <w:ilvl w:val="0"/>
          <w:numId w:val="99"/>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The model of care practiced by The Purple House (</w:t>
      </w:r>
      <w:hyperlink r:id="rId92" w:history="1">
        <w:r w:rsidRPr="00917039">
          <w:rPr>
            <w:rFonts w:ascii="Adelle Sans SemiBold" w:eastAsia="Calibri" w:hAnsi="Adelle Sans SemiBold" w:cs="Times New Roman"/>
            <w:b/>
            <w:bCs/>
            <w:color w:val="C00000"/>
            <w:sz w:val="28"/>
            <w:szCs w:val="28"/>
          </w:rPr>
          <w:t>www.purplehouse.org.au</w:t>
        </w:r>
      </w:hyperlink>
      <w:r w:rsidRPr="00782640">
        <w:rPr>
          <w:rFonts w:ascii="Calibri" w:eastAsia="Calibri" w:hAnsi="Calibri" w:cs="Times New Roman"/>
          <w:sz w:val="24"/>
          <w:szCs w:val="24"/>
        </w:rPr>
        <w:t xml:space="preserve">) was cited by panel members as an example of patient preceptorship aiding implementation of clinical practice recommendations and leading to improved health outcomes. </w:t>
      </w:r>
    </w:p>
    <w:p w14:paraId="5C23A00C" w14:textId="77777777" w:rsidR="00782640" w:rsidRPr="00782640" w:rsidRDefault="00782640" w:rsidP="00782640">
      <w:pPr>
        <w:spacing w:after="0" w:line="240" w:lineRule="auto"/>
        <w:ind w:left="360"/>
        <w:contextualSpacing/>
        <w:jc w:val="both"/>
        <w:rPr>
          <w:rFonts w:ascii="Calibri" w:eastAsia="Calibri" w:hAnsi="Calibri" w:cs="Times New Roman"/>
          <w:sz w:val="24"/>
          <w:szCs w:val="24"/>
        </w:rPr>
      </w:pPr>
    </w:p>
    <w:p w14:paraId="5DBFC73F" w14:textId="77777777" w:rsidR="00782640" w:rsidRPr="00782640" w:rsidRDefault="00782640" w:rsidP="00782640">
      <w:pPr>
        <w:numPr>
          <w:ilvl w:val="0"/>
          <w:numId w:val="99"/>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The preceptors (patient navigators) were effective in providing support to other patients, and new clinicians and health workers working with Indigenous patients and communities. Within the NT, the preceptor role has evolved in to a paid position.</w:t>
      </w:r>
    </w:p>
    <w:p w14:paraId="214BA264" w14:textId="77777777" w:rsidR="00782640" w:rsidRPr="00782640" w:rsidRDefault="00782640" w:rsidP="00782640">
      <w:pPr>
        <w:spacing w:after="0" w:line="240" w:lineRule="auto"/>
        <w:jc w:val="both"/>
        <w:rPr>
          <w:rFonts w:ascii="Calibri" w:eastAsia="Calibri" w:hAnsi="Calibri" w:cs="Times New Roman"/>
          <w:sz w:val="24"/>
          <w:szCs w:val="24"/>
        </w:rPr>
      </w:pPr>
    </w:p>
    <w:p w14:paraId="6DA19C62" w14:textId="77777777" w:rsidR="00782640" w:rsidRPr="00782640" w:rsidRDefault="00782640" w:rsidP="00782640">
      <w:pPr>
        <w:numPr>
          <w:ilvl w:val="0"/>
          <w:numId w:val="99"/>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The preceptor role strongly complements the roles of liaison officer, health worker, nurse, and nephrologist. They provide input on cultural safe care and aspects of delivering appropriate education within the context of the local community, addressing language and cultural barriers.</w:t>
      </w:r>
    </w:p>
    <w:p w14:paraId="6BF9556F" w14:textId="77777777" w:rsidR="00782640" w:rsidRPr="00782640" w:rsidRDefault="00782640" w:rsidP="00782640">
      <w:pPr>
        <w:spacing w:after="0" w:line="240" w:lineRule="auto"/>
        <w:ind w:left="360"/>
        <w:contextualSpacing/>
        <w:jc w:val="both"/>
        <w:rPr>
          <w:rFonts w:ascii="Calibri" w:eastAsia="Calibri" w:hAnsi="Calibri" w:cs="Times New Roman"/>
          <w:sz w:val="24"/>
          <w:szCs w:val="24"/>
        </w:rPr>
      </w:pPr>
    </w:p>
    <w:p w14:paraId="574F6AA6" w14:textId="77777777" w:rsidR="00782640" w:rsidRPr="00782640" w:rsidRDefault="00782640" w:rsidP="00782640">
      <w:pPr>
        <w:numPr>
          <w:ilvl w:val="0"/>
          <w:numId w:val="99"/>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In addition, preceptors can serve as local champions for kidney disease awareness. </w:t>
      </w:r>
    </w:p>
    <w:p w14:paraId="1CBB4EBA" w14:textId="77777777" w:rsidR="00782640" w:rsidRPr="00782640" w:rsidRDefault="00782640" w:rsidP="00782640">
      <w:pPr>
        <w:spacing w:after="0" w:line="240" w:lineRule="auto"/>
        <w:ind w:left="720"/>
        <w:contextualSpacing/>
        <w:rPr>
          <w:rFonts w:ascii="Calibri" w:eastAsia="Calibri" w:hAnsi="Calibri" w:cs="Times New Roman"/>
          <w:sz w:val="24"/>
          <w:szCs w:val="24"/>
        </w:rPr>
      </w:pPr>
    </w:p>
    <w:p w14:paraId="58C8090A" w14:textId="77777777" w:rsidR="00782640" w:rsidRPr="00782640" w:rsidRDefault="00782640" w:rsidP="00782640">
      <w:pPr>
        <w:numPr>
          <w:ilvl w:val="0"/>
          <w:numId w:val="99"/>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Survival on dialysis in Central Australia is the highest in Australia even accounting for younger age of onset of kidney disease.  This is surprising given the poverty and difficult life circumstances in this region. Effective primary health care, social and cultural support along with increasing opportunities for either permanent or respite dialysis on country are likely to be factors in this positive outcome, along with the high standard of dialysis services.</w:t>
      </w:r>
    </w:p>
    <w:p w14:paraId="0D0FABD0" w14:textId="77777777" w:rsidR="00782640" w:rsidRPr="00782640" w:rsidRDefault="00782640" w:rsidP="00782640">
      <w:pPr>
        <w:spacing w:after="0" w:line="240" w:lineRule="auto"/>
        <w:jc w:val="both"/>
        <w:rPr>
          <w:rFonts w:ascii="Adelle Sans SemiBold" w:eastAsia="Calibri" w:hAnsi="Adelle Sans SemiBold" w:cs="Times New Roman"/>
          <w:b/>
          <w:bCs/>
          <w:i/>
          <w:iCs/>
          <w:color w:val="FF0000"/>
          <w:sz w:val="22"/>
        </w:rPr>
      </w:pPr>
    </w:p>
    <w:p w14:paraId="2D3F029C" w14:textId="77777777" w:rsidR="00782640" w:rsidRPr="00782640" w:rsidRDefault="00782640" w:rsidP="00782640">
      <w:pPr>
        <w:spacing w:after="0" w:line="240" w:lineRule="auto"/>
        <w:jc w:val="both"/>
        <w:rPr>
          <w:rFonts w:ascii="Adelle Sans SemiBold" w:eastAsia="Calibri" w:hAnsi="Adelle Sans SemiBold" w:cs="Times New Roman"/>
          <w:b/>
          <w:bCs/>
          <w:i/>
          <w:iCs/>
          <w:color w:val="FF0000"/>
          <w:sz w:val="22"/>
        </w:rPr>
      </w:pPr>
      <w:r w:rsidRPr="00917039">
        <w:rPr>
          <w:rFonts w:ascii="Adelle Sans SemiBold" w:eastAsia="Calibri" w:hAnsi="Adelle Sans SemiBold" w:cs="Times New Roman"/>
          <w:b/>
          <w:bCs/>
          <w:i/>
          <w:iCs/>
          <w:color w:val="C00000"/>
          <w:sz w:val="22"/>
        </w:rPr>
        <w:t>Community Reference and Governance Groups:</w:t>
      </w:r>
    </w:p>
    <w:p w14:paraId="6553EF6A"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 xml:space="preserve"> </w:t>
      </w:r>
    </w:p>
    <w:p w14:paraId="6014A00E" w14:textId="77777777" w:rsidR="00782640" w:rsidRPr="00782640" w:rsidRDefault="00782640" w:rsidP="00782640">
      <w:pPr>
        <w:numPr>
          <w:ilvl w:val="0"/>
          <w:numId w:val="100"/>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Ongoing local Community input and engagement (patient and health professional) was identified as a key facilitator of uptake of guidelines. </w:t>
      </w:r>
    </w:p>
    <w:p w14:paraId="124D1E2B" w14:textId="77777777" w:rsidR="00782640" w:rsidRPr="00782640" w:rsidRDefault="00782640" w:rsidP="00782640">
      <w:pPr>
        <w:spacing w:after="0" w:line="240" w:lineRule="auto"/>
        <w:jc w:val="both"/>
        <w:rPr>
          <w:rFonts w:ascii="Calibri" w:eastAsia="Calibri" w:hAnsi="Calibri" w:cs="Times New Roman"/>
          <w:sz w:val="24"/>
          <w:szCs w:val="24"/>
        </w:rPr>
      </w:pPr>
    </w:p>
    <w:p w14:paraId="338B0C5F" w14:textId="77777777" w:rsidR="00782640" w:rsidRPr="00782640" w:rsidRDefault="00782640" w:rsidP="00782640">
      <w:pPr>
        <w:numPr>
          <w:ilvl w:val="0"/>
          <w:numId w:val="100"/>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Continued culturally appropriate communication to inform the community and demonstrate how the implementation of the guidelines is benefiting them is an important component of implementation of any practice change. Gaining support and engagement from the community will enable follow up and feedback to assess progress of implementation.</w:t>
      </w:r>
    </w:p>
    <w:p w14:paraId="78666D8D" w14:textId="77777777" w:rsidR="00782640" w:rsidRPr="00782640" w:rsidRDefault="00782640" w:rsidP="00782640">
      <w:pPr>
        <w:spacing w:after="0" w:line="240" w:lineRule="auto"/>
        <w:jc w:val="both"/>
        <w:rPr>
          <w:rFonts w:ascii="Calibri" w:eastAsia="Calibri" w:hAnsi="Calibri" w:cs="Times New Roman"/>
          <w:sz w:val="24"/>
          <w:szCs w:val="24"/>
        </w:rPr>
      </w:pPr>
    </w:p>
    <w:p w14:paraId="0C85C0A6" w14:textId="77777777" w:rsidR="00782640" w:rsidRPr="00782640" w:rsidRDefault="00782640" w:rsidP="00782640">
      <w:pPr>
        <w:numPr>
          <w:ilvl w:val="0"/>
          <w:numId w:val="100"/>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Local Community Reference Groups also can advise healthcare professionals about cultural and other local factors that would enhance doctor-patient communication and health outcomes for patients with CKD, and ensure adaptations of the guidelines are relevant to the community. </w:t>
      </w:r>
    </w:p>
    <w:p w14:paraId="023C4EB0" w14:textId="77777777" w:rsidR="00782640" w:rsidRPr="00782640" w:rsidRDefault="00782640" w:rsidP="00782640">
      <w:pPr>
        <w:spacing w:after="0" w:line="240" w:lineRule="auto"/>
        <w:ind w:left="360"/>
        <w:contextualSpacing/>
        <w:jc w:val="both"/>
        <w:rPr>
          <w:rFonts w:ascii="Calibri" w:eastAsia="Calibri" w:hAnsi="Calibri" w:cs="Times New Roman"/>
          <w:sz w:val="24"/>
          <w:szCs w:val="24"/>
        </w:rPr>
      </w:pPr>
    </w:p>
    <w:p w14:paraId="5EA37A1F" w14:textId="77777777" w:rsidR="00782640" w:rsidRPr="00782640" w:rsidRDefault="00782640" w:rsidP="00782640">
      <w:pPr>
        <w:numPr>
          <w:ilvl w:val="0"/>
          <w:numId w:val="100"/>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Engagement of State-wide renal and Aboriginal Health networks, Aboriginal leadership and governance groups, Aboriginal Community Controlled Health Organisations and Aboriginal Medical Services, and other governing bodies will also facilitate guideline adaptation and more coordinated implementation.  </w:t>
      </w:r>
    </w:p>
    <w:p w14:paraId="4090DC58" w14:textId="77777777" w:rsidR="00782640" w:rsidRPr="00782640" w:rsidRDefault="00782640" w:rsidP="00782640">
      <w:pPr>
        <w:spacing w:after="0" w:line="240" w:lineRule="auto"/>
        <w:jc w:val="both"/>
        <w:rPr>
          <w:rFonts w:ascii="Calibri" w:eastAsia="Calibri" w:hAnsi="Calibri" w:cs="Times New Roman"/>
          <w:sz w:val="24"/>
          <w:szCs w:val="24"/>
        </w:rPr>
      </w:pPr>
    </w:p>
    <w:p w14:paraId="1061E7B9" w14:textId="77777777" w:rsidR="00782640" w:rsidRPr="00917039" w:rsidRDefault="00782640" w:rsidP="00782640">
      <w:pPr>
        <w:spacing w:after="0" w:line="240" w:lineRule="auto"/>
        <w:jc w:val="both"/>
        <w:rPr>
          <w:rFonts w:ascii="Adelle Sans Light" w:eastAsia="Calibri" w:hAnsi="Adelle Sans Light" w:cs="Times New Roman"/>
          <w:color w:val="C00000"/>
          <w:sz w:val="40"/>
          <w:szCs w:val="40"/>
        </w:rPr>
      </w:pPr>
      <w:r w:rsidRPr="00917039">
        <w:rPr>
          <w:rFonts w:ascii="Adelle Sans Light" w:eastAsia="Calibri" w:hAnsi="Adelle Sans Light" w:cs="Times New Roman"/>
          <w:color w:val="C00000"/>
          <w:sz w:val="40"/>
          <w:szCs w:val="40"/>
        </w:rPr>
        <w:t>3.  Facilitating Health Care Professional Use and Engagement</w:t>
      </w:r>
    </w:p>
    <w:p w14:paraId="17037030" w14:textId="77777777" w:rsidR="00782640" w:rsidRPr="00782640" w:rsidRDefault="00782640" w:rsidP="00782640">
      <w:pPr>
        <w:spacing w:after="0" w:line="240" w:lineRule="auto"/>
        <w:jc w:val="both"/>
        <w:rPr>
          <w:rFonts w:ascii="Calibri" w:eastAsia="Calibri" w:hAnsi="Calibri" w:cs="Times New Roman"/>
          <w:i/>
          <w:sz w:val="24"/>
          <w:szCs w:val="24"/>
        </w:rPr>
      </w:pPr>
    </w:p>
    <w:p w14:paraId="79F39BF4" w14:textId="77777777" w:rsidR="00782640" w:rsidRPr="00782640" w:rsidRDefault="00782640" w:rsidP="00782640">
      <w:pPr>
        <w:spacing w:after="0" w:line="240" w:lineRule="auto"/>
        <w:jc w:val="both"/>
        <w:rPr>
          <w:rFonts w:ascii="Adelle Sans SemiBold" w:eastAsia="Calibri" w:hAnsi="Adelle Sans SemiBold" w:cs="Times New Roman"/>
          <w:b/>
          <w:bCs/>
          <w:i/>
          <w:iCs/>
          <w:color w:val="FF0000"/>
          <w:sz w:val="22"/>
        </w:rPr>
      </w:pPr>
      <w:r w:rsidRPr="00917039">
        <w:rPr>
          <w:rFonts w:ascii="Adelle Sans SemiBold" w:eastAsia="Calibri" w:hAnsi="Adelle Sans SemiBold" w:cs="Times New Roman"/>
          <w:b/>
          <w:bCs/>
          <w:i/>
          <w:iCs/>
          <w:color w:val="C00000"/>
          <w:sz w:val="22"/>
        </w:rPr>
        <w:t xml:space="preserve">Individualised and Adapted Care: </w:t>
      </w:r>
    </w:p>
    <w:p w14:paraId="11B2DA87" w14:textId="77777777" w:rsidR="00782640" w:rsidRPr="00782640" w:rsidRDefault="00782640" w:rsidP="00782640">
      <w:pPr>
        <w:spacing w:after="0" w:line="240" w:lineRule="auto"/>
        <w:jc w:val="both"/>
        <w:rPr>
          <w:rFonts w:ascii="Calibri" w:eastAsia="Calibri" w:hAnsi="Calibri" w:cs="Times New Roman"/>
          <w:sz w:val="24"/>
          <w:szCs w:val="24"/>
        </w:rPr>
      </w:pPr>
    </w:p>
    <w:p w14:paraId="15761C53" w14:textId="77777777" w:rsidR="00782640" w:rsidRPr="00782640" w:rsidRDefault="00782640" w:rsidP="00782640">
      <w:pPr>
        <w:numPr>
          <w:ilvl w:val="0"/>
          <w:numId w:val="101"/>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Guidelines should assist practitioners to make decisions, but leave room to individualise care based on circumstance and clinical skills. The ability to vary and adapt guidelines to individual or community context was viewed as highly important. </w:t>
      </w:r>
    </w:p>
    <w:p w14:paraId="6F29673A" w14:textId="77777777" w:rsidR="00782640" w:rsidRPr="00782640" w:rsidRDefault="00782640" w:rsidP="00782640">
      <w:pPr>
        <w:spacing w:after="0" w:line="240" w:lineRule="auto"/>
        <w:jc w:val="both"/>
        <w:rPr>
          <w:rFonts w:ascii="Calibri" w:eastAsia="Calibri" w:hAnsi="Calibri" w:cs="Times New Roman"/>
          <w:sz w:val="24"/>
          <w:szCs w:val="24"/>
        </w:rPr>
      </w:pPr>
    </w:p>
    <w:p w14:paraId="226A1C6D" w14:textId="77777777" w:rsidR="00782640" w:rsidRPr="00782640" w:rsidRDefault="00782640" w:rsidP="00782640">
      <w:pPr>
        <w:numPr>
          <w:ilvl w:val="0"/>
          <w:numId w:val="101"/>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Regional and local variations of the guidelines will ensure use within specific areas and demographic groups. </w:t>
      </w:r>
    </w:p>
    <w:p w14:paraId="5BD13AEB" w14:textId="77777777" w:rsidR="00782640" w:rsidRPr="00782640" w:rsidRDefault="00782640" w:rsidP="00782640">
      <w:pPr>
        <w:spacing w:after="0" w:line="240" w:lineRule="auto"/>
        <w:jc w:val="both"/>
        <w:rPr>
          <w:rFonts w:ascii="Calibri" w:eastAsia="Calibri" w:hAnsi="Calibri" w:cs="Times New Roman"/>
          <w:sz w:val="24"/>
          <w:szCs w:val="24"/>
        </w:rPr>
      </w:pPr>
    </w:p>
    <w:p w14:paraId="04CE217E" w14:textId="77777777" w:rsidR="00782640" w:rsidRPr="00782640" w:rsidRDefault="00782640" w:rsidP="00782640">
      <w:pPr>
        <w:numPr>
          <w:ilvl w:val="0"/>
          <w:numId w:val="101"/>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Guidelines are useful when organically developed by the group they are intended for. An example is the CARPA Standards Manual which was driven by general practitioners. They are used widely and routinely with the NT areas for which it was specifically developed, and is also used by some regions of WA and SA. </w:t>
      </w:r>
    </w:p>
    <w:p w14:paraId="72E78343" w14:textId="77777777" w:rsidR="00782640" w:rsidRPr="00782640" w:rsidRDefault="00782640" w:rsidP="00782640">
      <w:pPr>
        <w:spacing w:after="0" w:line="240" w:lineRule="auto"/>
        <w:jc w:val="both"/>
        <w:rPr>
          <w:rFonts w:ascii="Calibri" w:eastAsia="Calibri" w:hAnsi="Calibri" w:cs="Times New Roman"/>
          <w:i/>
          <w:sz w:val="24"/>
          <w:szCs w:val="24"/>
        </w:rPr>
      </w:pPr>
    </w:p>
    <w:p w14:paraId="36A38CCA" w14:textId="77777777" w:rsidR="00782640" w:rsidRPr="00782640" w:rsidRDefault="00782640" w:rsidP="00782640">
      <w:pPr>
        <w:spacing w:after="0" w:line="240" w:lineRule="auto"/>
        <w:jc w:val="both"/>
        <w:rPr>
          <w:rFonts w:ascii="Adelle Sans SemiBold" w:eastAsia="Calibri" w:hAnsi="Adelle Sans SemiBold" w:cs="Times New Roman"/>
          <w:b/>
          <w:bCs/>
          <w:i/>
          <w:iCs/>
          <w:color w:val="FF0000"/>
          <w:sz w:val="22"/>
        </w:rPr>
      </w:pPr>
      <w:r w:rsidRPr="00917039">
        <w:rPr>
          <w:rFonts w:ascii="Adelle Sans SemiBold" w:eastAsia="Calibri" w:hAnsi="Adelle Sans SemiBold" w:cs="Times New Roman"/>
          <w:b/>
          <w:bCs/>
          <w:i/>
          <w:iCs/>
          <w:color w:val="C00000"/>
          <w:sz w:val="22"/>
        </w:rPr>
        <w:t xml:space="preserve">Coordination of Chronic Disease Care: </w:t>
      </w:r>
    </w:p>
    <w:p w14:paraId="3B5CE724" w14:textId="77777777" w:rsidR="00782640" w:rsidRPr="00782640" w:rsidRDefault="00782640" w:rsidP="00782640">
      <w:pPr>
        <w:spacing w:after="0" w:line="240" w:lineRule="auto"/>
        <w:jc w:val="both"/>
        <w:rPr>
          <w:rFonts w:ascii="Calibri" w:eastAsia="Calibri" w:hAnsi="Calibri" w:cs="Times New Roman"/>
          <w:sz w:val="24"/>
          <w:szCs w:val="24"/>
        </w:rPr>
      </w:pPr>
    </w:p>
    <w:p w14:paraId="761C2E09" w14:textId="77777777" w:rsidR="00782640" w:rsidRPr="00782640" w:rsidRDefault="00782640" w:rsidP="00782640">
      <w:pPr>
        <w:numPr>
          <w:ilvl w:val="0"/>
          <w:numId w:val="102"/>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The Guidelines Writing Group should develop a multisystem approach by reviewing the evidence base across cardiovascular, diabetes, and kidney disease, to identify the common approaches in addressing these chronic diseases. For example, the next edition of the Kidney Health Australia Handbook will address diabetes, cardiovascular disease and CKD cohesively, in keeping with frameworks developed by the National </w:t>
      </w:r>
      <w:r w:rsidRPr="00782640">
        <w:rPr>
          <w:rFonts w:ascii="Calibri" w:eastAsia="Calibri" w:hAnsi="Calibri" w:cs="Times New Roman"/>
          <w:sz w:val="24"/>
          <w:szCs w:val="24"/>
        </w:rPr>
        <w:lastRenderedPageBreak/>
        <w:t xml:space="preserve">Chronic Disease Prevention Alliance and other groups supporting integrated health reviews.  </w:t>
      </w:r>
    </w:p>
    <w:p w14:paraId="321F06EE" w14:textId="77777777" w:rsidR="00782640" w:rsidRPr="00782640" w:rsidRDefault="00782640" w:rsidP="00782640">
      <w:pPr>
        <w:spacing w:after="0" w:line="240" w:lineRule="auto"/>
        <w:jc w:val="both"/>
        <w:rPr>
          <w:rFonts w:ascii="Calibri" w:eastAsia="Calibri" w:hAnsi="Calibri" w:cs="Times New Roman"/>
          <w:sz w:val="24"/>
          <w:szCs w:val="24"/>
        </w:rPr>
      </w:pPr>
    </w:p>
    <w:p w14:paraId="6B59B572" w14:textId="77777777" w:rsidR="00782640" w:rsidRPr="00782640" w:rsidRDefault="00782640" w:rsidP="00782640">
      <w:pPr>
        <w:numPr>
          <w:ilvl w:val="0"/>
          <w:numId w:val="102"/>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At every possible point, the impact of CKD on other chronic diseases (and vice versa) should be highlighted and integrated into algorithms for care of Aboriginal and Torres Strait Islander patients. </w:t>
      </w:r>
    </w:p>
    <w:p w14:paraId="6B92C036" w14:textId="77777777" w:rsidR="00782640" w:rsidRPr="00782640" w:rsidRDefault="00782640" w:rsidP="00782640">
      <w:pPr>
        <w:spacing w:after="0" w:line="240" w:lineRule="auto"/>
        <w:jc w:val="both"/>
        <w:rPr>
          <w:rFonts w:ascii="Calibri" w:eastAsia="Calibri" w:hAnsi="Calibri" w:cs="Times New Roman"/>
          <w:i/>
          <w:sz w:val="24"/>
          <w:szCs w:val="24"/>
        </w:rPr>
      </w:pPr>
    </w:p>
    <w:p w14:paraId="77E4C3BC" w14:textId="77777777" w:rsidR="00782640" w:rsidRPr="00782640" w:rsidRDefault="00782640" w:rsidP="00782640">
      <w:pPr>
        <w:spacing w:after="0" w:line="240" w:lineRule="auto"/>
        <w:jc w:val="both"/>
        <w:rPr>
          <w:rFonts w:ascii="Adelle Sans SemiBold" w:eastAsia="Calibri" w:hAnsi="Adelle Sans SemiBold" w:cs="Times New Roman"/>
          <w:b/>
          <w:bCs/>
          <w:i/>
          <w:iCs/>
          <w:color w:val="FF0000"/>
          <w:sz w:val="22"/>
        </w:rPr>
      </w:pPr>
      <w:r w:rsidRPr="00917039">
        <w:rPr>
          <w:rFonts w:ascii="Adelle Sans SemiBold" w:eastAsia="Calibri" w:hAnsi="Adelle Sans SemiBold" w:cs="Times New Roman"/>
          <w:b/>
          <w:bCs/>
          <w:i/>
          <w:iCs/>
          <w:color w:val="C00000"/>
          <w:sz w:val="22"/>
        </w:rPr>
        <w:t>Promotion of guidelines – Local Clinical Champions:</w:t>
      </w:r>
    </w:p>
    <w:p w14:paraId="1E3607B3" w14:textId="77777777" w:rsidR="00782640" w:rsidRPr="00782640" w:rsidRDefault="00782640" w:rsidP="00782640">
      <w:pPr>
        <w:spacing w:after="0" w:line="240" w:lineRule="auto"/>
        <w:jc w:val="both"/>
        <w:rPr>
          <w:rFonts w:ascii="Calibri" w:eastAsia="Calibri" w:hAnsi="Calibri" w:cs="Times New Roman"/>
          <w:i/>
          <w:sz w:val="24"/>
          <w:szCs w:val="24"/>
        </w:rPr>
      </w:pPr>
      <w:r w:rsidRPr="00782640">
        <w:rPr>
          <w:rFonts w:ascii="Calibri" w:eastAsia="Calibri" w:hAnsi="Calibri" w:cs="Times New Roman"/>
          <w:i/>
          <w:sz w:val="24"/>
          <w:szCs w:val="24"/>
        </w:rPr>
        <w:t xml:space="preserve"> </w:t>
      </w:r>
    </w:p>
    <w:p w14:paraId="19D21002" w14:textId="77777777" w:rsidR="00782640" w:rsidRPr="00782640" w:rsidRDefault="00782640" w:rsidP="00782640">
      <w:pPr>
        <w:numPr>
          <w:ilvl w:val="0"/>
          <w:numId w:val="10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It was noted that once developed, guidelines are not consistently promoted to health care professionals, particularly in areas of high staff turnover. Some local jurisdictions achieve awareness of guidelines more successfully but usually when there is a strong local clinical lead or champion for kidney disease. </w:t>
      </w:r>
    </w:p>
    <w:p w14:paraId="2ABCD620" w14:textId="77777777" w:rsidR="00782640" w:rsidRPr="00782640" w:rsidRDefault="00782640" w:rsidP="00782640">
      <w:pPr>
        <w:spacing w:after="0" w:line="240" w:lineRule="auto"/>
        <w:jc w:val="both"/>
        <w:rPr>
          <w:rFonts w:ascii="Calibri" w:eastAsia="Calibri" w:hAnsi="Calibri" w:cs="Times New Roman"/>
          <w:sz w:val="24"/>
          <w:szCs w:val="24"/>
        </w:rPr>
      </w:pPr>
    </w:p>
    <w:p w14:paraId="296F4259" w14:textId="77777777" w:rsidR="00782640" w:rsidRPr="00782640" w:rsidRDefault="00782640" w:rsidP="00782640">
      <w:pPr>
        <w:numPr>
          <w:ilvl w:val="0"/>
          <w:numId w:val="10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Local Community input and engagement (patient and health professional) was identified as a key facilitator of uptake of guidelines. The establishment and support of local clinical champions was considered an important aspect of guideline promotion and regular use. </w:t>
      </w:r>
    </w:p>
    <w:p w14:paraId="2C511711" w14:textId="77777777" w:rsidR="00782640" w:rsidRPr="00782640" w:rsidRDefault="00782640" w:rsidP="00782640">
      <w:pPr>
        <w:spacing w:after="0" w:line="240" w:lineRule="auto"/>
        <w:jc w:val="both"/>
        <w:rPr>
          <w:rFonts w:ascii="Calibri" w:eastAsia="Calibri" w:hAnsi="Calibri" w:cs="Times New Roman"/>
          <w:sz w:val="24"/>
          <w:szCs w:val="24"/>
        </w:rPr>
      </w:pPr>
    </w:p>
    <w:p w14:paraId="3DEEACA2" w14:textId="77777777" w:rsidR="00782640" w:rsidRPr="00782640" w:rsidRDefault="00782640" w:rsidP="00782640">
      <w:pPr>
        <w:numPr>
          <w:ilvl w:val="0"/>
          <w:numId w:val="10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For example, the Kidney Health Australia Primary Care initiative “Kidney Health Australia CKD Ambassador Program</w:t>
      </w:r>
      <w:r w:rsidRPr="00917039">
        <w:rPr>
          <w:rFonts w:ascii="Calibri" w:eastAsia="Calibri" w:hAnsi="Calibri" w:cs="Times New Roman"/>
          <w:color w:val="C00000"/>
          <w:sz w:val="24"/>
          <w:szCs w:val="24"/>
        </w:rPr>
        <w:t xml:space="preserve">” </w:t>
      </w:r>
      <w:hyperlink r:id="rId93" w:history="1">
        <w:r w:rsidRPr="00917039">
          <w:rPr>
            <w:rFonts w:ascii="Adelle Sans SemiBold" w:eastAsia="Calibri" w:hAnsi="Adelle Sans SemiBold" w:cs="Times New Roman"/>
            <w:b/>
            <w:bCs/>
            <w:color w:val="C00000"/>
            <w:sz w:val="28"/>
            <w:szCs w:val="28"/>
          </w:rPr>
          <w:t>https://kidney.org.au/ckd-ambassador</w:t>
        </w:r>
      </w:hyperlink>
      <w:r w:rsidRPr="00782640">
        <w:rPr>
          <w:rFonts w:ascii="Calibri" w:eastAsia="Calibri" w:hAnsi="Calibri" w:cs="Times New Roman"/>
          <w:sz w:val="24"/>
          <w:szCs w:val="24"/>
        </w:rPr>
        <w:t xml:space="preserve"> is designed to help practices become CKD Ambassador amongst their peers and patients, through supported implementation of the recommendations of the Kidney Health Australia Handbook. This program also facilitates measurement of impact of practice change through a “do and review” process. Although this new program is in a pilot phase and has not been developed specifically for indigenous health centres, it may develop as potential model for supporting local health professional CKD champions. </w:t>
      </w:r>
    </w:p>
    <w:p w14:paraId="0861AB4E" w14:textId="77777777" w:rsidR="00782640" w:rsidRPr="00782640" w:rsidRDefault="00782640" w:rsidP="00782640">
      <w:pPr>
        <w:spacing w:after="0" w:line="240" w:lineRule="auto"/>
        <w:jc w:val="both"/>
        <w:rPr>
          <w:rFonts w:ascii="Calibri" w:eastAsia="Calibri" w:hAnsi="Calibri" w:cs="Times New Roman"/>
          <w:sz w:val="24"/>
          <w:szCs w:val="24"/>
        </w:rPr>
      </w:pPr>
    </w:p>
    <w:p w14:paraId="25F58AC2" w14:textId="77777777" w:rsidR="00782640" w:rsidRPr="00782640" w:rsidRDefault="00782640" w:rsidP="00782640">
      <w:pPr>
        <w:spacing w:after="0" w:line="240" w:lineRule="auto"/>
        <w:jc w:val="both"/>
        <w:rPr>
          <w:rFonts w:ascii="Adelle Sans SemiBold" w:eastAsia="Calibri" w:hAnsi="Adelle Sans SemiBold" w:cs="Times New Roman"/>
          <w:b/>
          <w:bCs/>
          <w:i/>
          <w:iCs/>
          <w:color w:val="FF0000"/>
          <w:sz w:val="22"/>
        </w:rPr>
      </w:pPr>
      <w:r w:rsidRPr="00917039">
        <w:rPr>
          <w:rFonts w:ascii="Adelle Sans SemiBold" w:eastAsia="Calibri" w:hAnsi="Adelle Sans SemiBold" w:cs="Times New Roman"/>
          <w:b/>
          <w:bCs/>
          <w:i/>
          <w:iCs/>
          <w:color w:val="C00000"/>
          <w:sz w:val="22"/>
        </w:rPr>
        <w:t>Promotion of Guidelines – Health Professional Education and Support and Workforce</w:t>
      </w:r>
    </w:p>
    <w:p w14:paraId="57D8E986" w14:textId="77777777" w:rsidR="00782640" w:rsidRPr="00782640" w:rsidRDefault="00782640" w:rsidP="00782640">
      <w:pPr>
        <w:spacing w:after="0" w:line="240" w:lineRule="auto"/>
        <w:jc w:val="both"/>
        <w:rPr>
          <w:rFonts w:ascii="Calibri" w:eastAsia="Calibri" w:hAnsi="Calibri" w:cs="Times New Roman"/>
          <w:i/>
          <w:sz w:val="24"/>
          <w:szCs w:val="24"/>
        </w:rPr>
      </w:pPr>
    </w:p>
    <w:p w14:paraId="3783AA99" w14:textId="77777777" w:rsidR="00782640" w:rsidRPr="00782640" w:rsidRDefault="00782640" w:rsidP="00782640">
      <w:pPr>
        <w:numPr>
          <w:ilvl w:val="0"/>
          <w:numId w:val="104"/>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Resources should be provided to train health professionals to optimally use the guidelines, including a cultural safety module.  This is particularly important for health services that are not experienced in indigenous care, but may see indigenous patients on occasion.  </w:t>
      </w:r>
    </w:p>
    <w:p w14:paraId="51347F28" w14:textId="77777777" w:rsidR="00782640" w:rsidRPr="00782640" w:rsidRDefault="00782640" w:rsidP="00782640">
      <w:pPr>
        <w:spacing w:after="0" w:line="240" w:lineRule="auto"/>
        <w:ind w:left="360"/>
        <w:contextualSpacing/>
        <w:jc w:val="both"/>
        <w:rPr>
          <w:rFonts w:ascii="Calibri" w:eastAsia="Calibri" w:hAnsi="Calibri" w:cs="Times New Roman"/>
          <w:sz w:val="24"/>
          <w:szCs w:val="24"/>
        </w:rPr>
      </w:pPr>
    </w:p>
    <w:p w14:paraId="65FEF79F" w14:textId="77777777" w:rsidR="00782640" w:rsidRPr="00782640" w:rsidRDefault="00782640" w:rsidP="00782640">
      <w:pPr>
        <w:numPr>
          <w:ilvl w:val="0"/>
          <w:numId w:val="104"/>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Aboriginal Health workers should have specific training relevant to kidney disease (and chronic disease) and these Guidelines.  </w:t>
      </w:r>
    </w:p>
    <w:p w14:paraId="016E83A7" w14:textId="77777777" w:rsidR="00782640" w:rsidRPr="00782640" w:rsidRDefault="00782640" w:rsidP="00782640">
      <w:pPr>
        <w:spacing w:after="0" w:line="240" w:lineRule="auto"/>
        <w:jc w:val="both"/>
        <w:rPr>
          <w:rFonts w:ascii="Calibri" w:eastAsia="Calibri" w:hAnsi="Calibri" w:cs="Times New Roman"/>
          <w:sz w:val="24"/>
          <w:szCs w:val="24"/>
        </w:rPr>
      </w:pPr>
    </w:p>
    <w:p w14:paraId="07BD5EEF" w14:textId="77777777" w:rsidR="00782640" w:rsidRPr="00782640" w:rsidRDefault="00782640" w:rsidP="00782640">
      <w:pPr>
        <w:numPr>
          <w:ilvl w:val="0"/>
          <w:numId w:val="104"/>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There is great variation in how local Aboriginal Medical Services and Community Controlled Health Services function. Therefore, standards of care and clear pathways for guidelines implementation are recommended, and should be actively promoted. </w:t>
      </w:r>
    </w:p>
    <w:p w14:paraId="06EFB253" w14:textId="77777777" w:rsidR="00782640" w:rsidRPr="00782640" w:rsidRDefault="00782640" w:rsidP="00782640">
      <w:pPr>
        <w:spacing w:after="0" w:line="240" w:lineRule="auto"/>
        <w:jc w:val="both"/>
        <w:rPr>
          <w:rFonts w:ascii="Calibri" w:eastAsia="Calibri" w:hAnsi="Calibri" w:cs="Times New Roman"/>
          <w:sz w:val="24"/>
          <w:szCs w:val="24"/>
        </w:rPr>
      </w:pPr>
    </w:p>
    <w:p w14:paraId="3498BB4F" w14:textId="77777777" w:rsidR="00782640" w:rsidRPr="00782640" w:rsidRDefault="00782640" w:rsidP="00782640">
      <w:pPr>
        <w:numPr>
          <w:ilvl w:val="0"/>
          <w:numId w:val="104"/>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Aboriginal Health professional clinical care workforce issues will need to be addressed in the longer-term. High staff turnover in many indigenous health services, lack of trained and qualified local health staff and resource constraints are identified as </w:t>
      </w:r>
      <w:r w:rsidRPr="00782640">
        <w:rPr>
          <w:rFonts w:ascii="Calibri" w:eastAsia="Calibri" w:hAnsi="Calibri" w:cs="Times New Roman"/>
          <w:sz w:val="24"/>
          <w:szCs w:val="24"/>
        </w:rPr>
        <w:lastRenderedPageBreak/>
        <w:t xml:space="preserve">potential limitations to be addressed.   Clinicians suggested that Aboriginal Health professional clinical care workforce is an important priority to move forward. </w:t>
      </w:r>
    </w:p>
    <w:p w14:paraId="62569AC7" w14:textId="77777777" w:rsidR="00782640" w:rsidRPr="00782640" w:rsidRDefault="00782640" w:rsidP="00782640">
      <w:pPr>
        <w:spacing w:after="0" w:line="240" w:lineRule="auto"/>
        <w:jc w:val="both"/>
        <w:rPr>
          <w:rFonts w:ascii="Calibri" w:eastAsia="Calibri" w:hAnsi="Calibri" w:cs="Times New Roman"/>
          <w:sz w:val="24"/>
          <w:szCs w:val="24"/>
        </w:rPr>
      </w:pPr>
    </w:p>
    <w:p w14:paraId="2F7CBB05" w14:textId="77777777" w:rsidR="00782640" w:rsidRPr="00782640" w:rsidRDefault="00782640" w:rsidP="00782640">
      <w:pPr>
        <w:spacing w:after="0" w:line="240" w:lineRule="auto"/>
        <w:jc w:val="both"/>
        <w:rPr>
          <w:rFonts w:ascii="Calibri" w:eastAsia="Calibri" w:hAnsi="Calibri" w:cs="Times New Roman"/>
          <w:sz w:val="24"/>
          <w:szCs w:val="24"/>
        </w:rPr>
      </w:pPr>
    </w:p>
    <w:p w14:paraId="5F1F6E34" w14:textId="77777777" w:rsidR="00782640" w:rsidRPr="00EC7110" w:rsidRDefault="00782640" w:rsidP="00782640">
      <w:pPr>
        <w:spacing w:after="0" w:line="240" w:lineRule="auto"/>
        <w:jc w:val="both"/>
        <w:rPr>
          <w:rFonts w:ascii="Adelle Sans Light" w:eastAsia="Calibri" w:hAnsi="Adelle Sans Light" w:cs="Times New Roman"/>
          <w:color w:val="C00000"/>
          <w:sz w:val="40"/>
          <w:szCs w:val="40"/>
        </w:rPr>
      </w:pPr>
      <w:r w:rsidRPr="00EC7110">
        <w:rPr>
          <w:rFonts w:ascii="Adelle Sans Light" w:eastAsia="Calibri" w:hAnsi="Adelle Sans Light" w:cs="Times New Roman"/>
          <w:color w:val="C00000"/>
          <w:sz w:val="40"/>
          <w:szCs w:val="40"/>
        </w:rPr>
        <w:t>4. Use of Technology to Support Guidelines</w:t>
      </w:r>
    </w:p>
    <w:p w14:paraId="53D3B45B" w14:textId="77777777" w:rsidR="00782640" w:rsidRPr="00782640" w:rsidRDefault="00782640" w:rsidP="00782640">
      <w:pPr>
        <w:spacing w:after="0" w:line="240" w:lineRule="auto"/>
        <w:jc w:val="both"/>
        <w:rPr>
          <w:rFonts w:ascii="Calibri" w:eastAsia="Calibri" w:hAnsi="Calibri" w:cs="Times New Roman"/>
          <w:sz w:val="24"/>
          <w:szCs w:val="24"/>
        </w:rPr>
      </w:pPr>
    </w:p>
    <w:p w14:paraId="7BBADD5F" w14:textId="77777777" w:rsidR="00782640" w:rsidRPr="00782640" w:rsidRDefault="00782640" w:rsidP="00782640">
      <w:pPr>
        <w:spacing w:after="0" w:line="240" w:lineRule="auto"/>
        <w:jc w:val="both"/>
        <w:rPr>
          <w:rFonts w:ascii="Adelle Sans SemiBold" w:eastAsia="Calibri" w:hAnsi="Adelle Sans SemiBold" w:cs="Times New Roman"/>
          <w:b/>
          <w:bCs/>
          <w:i/>
          <w:iCs/>
          <w:color w:val="FF0000"/>
          <w:sz w:val="22"/>
        </w:rPr>
      </w:pPr>
      <w:r w:rsidRPr="00917039">
        <w:rPr>
          <w:rFonts w:ascii="Adelle Sans SemiBold" w:eastAsia="Calibri" w:hAnsi="Adelle Sans SemiBold" w:cs="Times New Roman"/>
          <w:b/>
          <w:bCs/>
          <w:i/>
          <w:iCs/>
          <w:color w:val="C00000"/>
          <w:sz w:val="22"/>
        </w:rPr>
        <w:t xml:space="preserve">Access to Technology and Digital Platforms for Guidelines Content: </w:t>
      </w:r>
    </w:p>
    <w:p w14:paraId="4ACB8F4E" w14:textId="77777777" w:rsidR="00782640" w:rsidRPr="00782640" w:rsidRDefault="00782640" w:rsidP="00782640">
      <w:pPr>
        <w:spacing w:after="0" w:line="240" w:lineRule="auto"/>
        <w:jc w:val="both"/>
        <w:rPr>
          <w:rFonts w:ascii="Calibri" w:eastAsia="Calibri" w:hAnsi="Calibri" w:cs="Times New Roman"/>
          <w:i/>
          <w:sz w:val="24"/>
          <w:szCs w:val="24"/>
        </w:rPr>
      </w:pPr>
    </w:p>
    <w:p w14:paraId="7E457EAC" w14:textId="77777777" w:rsidR="00782640" w:rsidRPr="00782640" w:rsidRDefault="00782640" w:rsidP="00782640">
      <w:pPr>
        <w:numPr>
          <w:ilvl w:val="0"/>
          <w:numId w:val="105"/>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Technological advance was identified as a both a key enabler and potential barrier for successful guideline use. </w:t>
      </w:r>
    </w:p>
    <w:p w14:paraId="4B19766F" w14:textId="77777777" w:rsidR="00782640" w:rsidRPr="00782640" w:rsidRDefault="00782640" w:rsidP="00782640">
      <w:pPr>
        <w:spacing w:after="0" w:line="240" w:lineRule="auto"/>
        <w:jc w:val="both"/>
        <w:rPr>
          <w:rFonts w:ascii="Calibri" w:eastAsia="Calibri" w:hAnsi="Calibri" w:cs="Times New Roman"/>
          <w:sz w:val="24"/>
          <w:szCs w:val="24"/>
        </w:rPr>
      </w:pPr>
    </w:p>
    <w:p w14:paraId="2AE1542C" w14:textId="77777777" w:rsidR="00782640" w:rsidRPr="00782640" w:rsidRDefault="00782640" w:rsidP="00782640">
      <w:pPr>
        <w:numPr>
          <w:ilvl w:val="0"/>
          <w:numId w:val="105"/>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Thoughtful use of technology to support accessibility for both health practitioners and patients to culturally safe information and resources should be a key priority. </w:t>
      </w:r>
    </w:p>
    <w:p w14:paraId="2166D947" w14:textId="77777777" w:rsidR="00782640" w:rsidRPr="00782640" w:rsidRDefault="00782640" w:rsidP="00782640">
      <w:pPr>
        <w:spacing w:after="0" w:line="240" w:lineRule="auto"/>
        <w:jc w:val="both"/>
        <w:rPr>
          <w:rFonts w:ascii="Calibri" w:eastAsia="Calibri" w:hAnsi="Calibri" w:cs="Times New Roman"/>
          <w:sz w:val="24"/>
          <w:szCs w:val="24"/>
        </w:rPr>
      </w:pPr>
    </w:p>
    <w:p w14:paraId="01AA429A" w14:textId="77777777" w:rsidR="00782640" w:rsidRPr="00782640" w:rsidRDefault="00782640" w:rsidP="00782640">
      <w:pPr>
        <w:numPr>
          <w:ilvl w:val="0"/>
          <w:numId w:val="105"/>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Guidelines must be available in multiple formats to facilitate access e.g. hard copy, downloadable PDF, web-based, and within an application (“app”) for smart phones / tablets.  </w:t>
      </w:r>
    </w:p>
    <w:p w14:paraId="7BC9BE32" w14:textId="77777777" w:rsidR="00782640" w:rsidRPr="00782640" w:rsidRDefault="00782640" w:rsidP="00782640">
      <w:pPr>
        <w:spacing w:after="0" w:line="240" w:lineRule="auto"/>
        <w:jc w:val="both"/>
        <w:rPr>
          <w:rFonts w:ascii="Calibri" w:eastAsia="Calibri" w:hAnsi="Calibri" w:cs="Times New Roman"/>
          <w:sz w:val="24"/>
          <w:szCs w:val="24"/>
        </w:rPr>
      </w:pPr>
    </w:p>
    <w:p w14:paraId="05928379" w14:textId="77777777" w:rsidR="00782640" w:rsidRPr="00782640" w:rsidRDefault="00782640" w:rsidP="00782640">
      <w:pPr>
        <w:numPr>
          <w:ilvl w:val="0"/>
          <w:numId w:val="105"/>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It was important to note that many health professionals have paper-based clinical practice, and access to contemporary clinical practice technology is not always available. Security firewalls and protections within clinics may restrict downloading from “external” websites. </w:t>
      </w:r>
    </w:p>
    <w:p w14:paraId="60CA68FC" w14:textId="77777777" w:rsidR="00782640" w:rsidRPr="00782640" w:rsidRDefault="00782640" w:rsidP="00782640">
      <w:pPr>
        <w:spacing w:after="0" w:line="240" w:lineRule="auto"/>
        <w:jc w:val="both"/>
        <w:rPr>
          <w:rFonts w:ascii="Calibri" w:eastAsia="Calibri" w:hAnsi="Calibri" w:cs="Times New Roman"/>
          <w:sz w:val="24"/>
          <w:szCs w:val="24"/>
        </w:rPr>
      </w:pPr>
    </w:p>
    <w:p w14:paraId="502A75F2" w14:textId="77777777" w:rsidR="00782640" w:rsidRPr="00782640" w:rsidRDefault="00782640" w:rsidP="00782640">
      <w:pPr>
        <w:numPr>
          <w:ilvl w:val="0"/>
          <w:numId w:val="105"/>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Internet access is not universal – some areas of Australia and some remote health services have limited or no access. Power may also be inconsistently available on occasion. Therefore, access to guidelines in hard copy remains important for use in indigenous communities. </w:t>
      </w:r>
    </w:p>
    <w:p w14:paraId="07FB9C0F" w14:textId="77777777" w:rsidR="00782640" w:rsidRPr="00782640" w:rsidRDefault="00782640" w:rsidP="00782640">
      <w:pPr>
        <w:spacing w:after="0" w:line="240" w:lineRule="auto"/>
        <w:jc w:val="both"/>
        <w:rPr>
          <w:rFonts w:ascii="Calibri" w:eastAsia="Calibri" w:hAnsi="Calibri" w:cs="Times New Roman"/>
          <w:sz w:val="24"/>
          <w:szCs w:val="24"/>
        </w:rPr>
      </w:pPr>
    </w:p>
    <w:p w14:paraId="5A9EA871" w14:textId="77777777" w:rsidR="00782640" w:rsidRPr="00782640" w:rsidRDefault="00782640" w:rsidP="00782640">
      <w:pPr>
        <w:numPr>
          <w:ilvl w:val="0"/>
          <w:numId w:val="105"/>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Patients face a similar situation and, additionally, may not be able to afford to download a health resource due to data costs.  These issues apply to those living in metropolitan areas as well as those in regional and remote parts of Australia.  </w:t>
      </w:r>
    </w:p>
    <w:p w14:paraId="13B0CB59" w14:textId="77777777" w:rsidR="00782640" w:rsidRPr="00782640" w:rsidRDefault="00782640" w:rsidP="00782640">
      <w:pPr>
        <w:spacing w:after="0" w:line="240" w:lineRule="auto"/>
        <w:jc w:val="both"/>
        <w:rPr>
          <w:rFonts w:ascii="Calibri" w:eastAsia="Calibri" w:hAnsi="Calibri" w:cs="Times New Roman"/>
          <w:sz w:val="24"/>
          <w:szCs w:val="24"/>
        </w:rPr>
      </w:pPr>
    </w:p>
    <w:p w14:paraId="0075D613" w14:textId="77777777" w:rsidR="00782640" w:rsidRPr="00782640" w:rsidRDefault="00782640" w:rsidP="00782640">
      <w:pPr>
        <w:spacing w:after="0" w:line="240" w:lineRule="auto"/>
        <w:jc w:val="both"/>
        <w:rPr>
          <w:rFonts w:ascii="Adelle Sans SemiBold" w:eastAsia="Calibri" w:hAnsi="Adelle Sans SemiBold" w:cs="Times New Roman"/>
          <w:b/>
          <w:bCs/>
          <w:i/>
          <w:iCs/>
          <w:color w:val="FF0000"/>
          <w:sz w:val="22"/>
        </w:rPr>
      </w:pPr>
      <w:r w:rsidRPr="00917039">
        <w:rPr>
          <w:rFonts w:ascii="Adelle Sans SemiBold" w:eastAsia="Calibri" w:hAnsi="Adelle Sans SemiBold" w:cs="Times New Roman"/>
          <w:b/>
          <w:bCs/>
          <w:i/>
          <w:iCs/>
          <w:color w:val="C00000"/>
          <w:sz w:val="22"/>
        </w:rPr>
        <w:t xml:space="preserve">Digital Content – Applications </w:t>
      </w:r>
      <w:proofErr w:type="gramStart"/>
      <w:r w:rsidRPr="00917039">
        <w:rPr>
          <w:rFonts w:ascii="Adelle Sans SemiBold" w:eastAsia="Calibri" w:hAnsi="Adelle Sans SemiBold" w:cs="Times New Roman"/>
          <w:b/>
          <w:bCs/>
          <w:i/>
          <w:iCs/>
          <w:color w:val="C00000"/>
          <w:sz w:val="22"/>
        </w:rPr>
        <w:t>(”Apps</w:t>
      </w:r>
      <w:proofErr w:type="gramEnd"/>
      <w:r w:rsidRPr="00917039">
        <w:rPr>
          <w:rFonts w:ascii="Adelle Sans SemiBold" w:eastAsia="Calibri" w:hAnsi="Adelle Sans SemiBold" w:cs="Times New Roman"/>
          <w:b/>
          <w:bCs/>
          <w:i/>
          <w:iCs/>
          <w:color w:val="C00000"/>
          <w:sz w:val="22"/>
        </w:rPr>
        <w:t xml:space="preserve">”): </w:t>
      </w:r>
    </w:p>
    <w:p w14:paraId="43A247FB" w14:textId="77777777" w:rsidR="00782640" w:rsidRPr="00782640" w:rsidRDefault="00782640" w:rsidP="00782640">
      <w:pPr>
        <w:spacing w:after="0" w:line="240" w:lineRule="auto"/>
        <w:jc w:val="both"/>
        <w:rPr>
          <w:rFonts w:ascii="Calibri" w:eastAsia="Calibri" w:hAnsi="Calibri" w:cs="Times New Roman"/>
          <w:i/>
          <w:sz w:val="24"/>
          <w:szCs w:val="24"/>
        </w:rPr>
      </w:pPr>
    </w:p>
    <w:p w14:paraId="43B0410D" w14:textId="77777777" w:rsidR="00782640" w:rsidRPr="00782640" w:rsidRDefault="00782640" w:rsidP="00782640">
      <w:pPr>
        <w:numPr>
          <w:ilvl w:val="0"/>
          <w:numId w:val="106"/>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Utilisation of technology requires user-friendly guidelines applications providing quick reference tools to all the information required for CKD management. </w:t>
      </w:r>
    </w:p>
    <w:p w14:paraId="5BBC5EFF" w14:textId="77777777" w:rsidR="00782640" w:rsidRPr="00782640" w:rsidRDefault="00782640" w:rsidP="00782640">
      <w:pPr>
        <w:spacing w:after="0" w:line="240" w:lineRule="auto"/>
        <w:jc w:val="both"/>
        <w:rPr>
          <w:rFonts w:ascii="Calibri" w:eastAsia="Calibri" w:hAnsi="Calibri" w:cs="Times New Roman"/>
          <w:sz w:val="24"/>
          <w:szCs w:val="24"/>
        </w:rPr>
      </w:pPr>
    </w:p>
    <w:p w14:paraId="64953D38" w14:textId="77777777" w:rsidR="00782640" w:rsidRPr="00782640" w:rsidRDefault="00782640" w:rsidP="00782640">
      <w:pPr>
        <w:numPr>
          <w:ilvl w:val="0"/>
          <w:numId w:val="106"/>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Kidney Health Australia has the “My Kidneys, My Health” App for patients and the “CKD-Go” App for health professionals. While these Apps assist with navigation to external links hosted on the Kidney Health Australia website, access can be difficult in the absence of an internet connection. Therefore, it was suggested that for any future Apps containing CKD management guidelines, all of the content should be imbedded within Apps rather via external links, and updated regularly through notifications via the App. </w:t>
      </w:r>
    </w:p>
    <w:p w14:paraId="4C5A6C5A" w14:textId="77777777" w:rsidR="00782640" w:rsidRPr="00782640" w:rsidRDefault="00782640" w:rsidP="00782640">
      <w:pPr>
        <w:spacing w:after="0" w:line="240" w:lineRule="auto"/>
        <w:jc w:val="both"/>
        <w:rPr>
          <w:rFonts w:ascii="Calibri" w:eastAsia="Calibri" w:hAnsi="Calibri" w:cs="Times New Roman"/>
          <w:sz w:val="24"/>
          <w:szCs w:val="24"/>
        </w:rPr>
      </w:pPr>
    </w:p>
    <w:p w14:paraId="43FB9ED3" w14:textId="77777777" w:rsidR="00782640" w:rsidRPr="00782640" w:rsidRDefault="00782640" w:rsidP="00782640">
      <w:pPr>
        <w:numPr>
          <w:ilvl w:val="0"/>
          <w:numId w:val="106"/>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lastRenderedPageBreak/>
        <w:t xml:space="preserve">An App for the KHA-CARI guidelines would be welcomed, if content was specifically developed in a user-friendly format, with links to hard version of the full evidence-base that clinicians could access if required. </w:t>
      </w:r>
    </w:p>
    <w:p w14:paraId="2708CE3C" w14:textId="77777777" w:rsidR="00782640" w:rsidRPr="00782640" w:rsidRDefault="00782640" w:rsidP="00782640">
      <w:pPr>
        <w:spacing w:after="0" w:line="240" w:lineRule="auto"/>
        <w:jc w:val="both"/>
        <w:rPr>
          <w:rFonts w:ascii="Calibri" w:eastAsia="Calibri" w:hAnsi="Calibri" w:cs="Times New Roman"/>
          <w:sz w:val="24"/>
          <w:szCs w:val="24"/>
        </w:rPr>
      </w:pPr>
    </w:p>
    <w:p w14:paraId="17DC9583" w14:textId="77777777" w:rsidR="00782640" w:rsidRPr="00782640" w:rsidRDefault="00782640" w:rsidP="00782640">
      <w:pPr>
        <w:spacing w:after="0" w:line="240" w:lineRule="auto"/>
        <w:jc w:val="both"/>
        <w:rPr>
          <w:rFonts w:ascii="Adelle Sans SemiBold" w:eastAsia="Calibri" w:hAnsi="Adelle Sans SemiBold" w:cs="Times New Roman"/>
          <w:b/>
          <w:bCs/>
          <w:i/>
          <w:iCs/>
          <w:color w:val="FF0000"/>
          <w:sz w:val="22"/>
        </w:rPr>
      </w:pPr>
      <w:r w:rsidRPr="00917039">
        <w:rPr>
          <w:rFonts w:ascii="Adelle Sans SemiBold" w:eastAsia="Calibri" w:hAnsi="Adelle Sans SemiBold" w:cs="Times New Roman"/>
          <w:b/>
          <w:bCs/>
          <w:i/>
          <w:iCs/>
          <w:color w:val="C00000"/>
          <w:sz w:val="22"/>
        </w:rPr>
        <w:t xml:space="preserve">Medical Practice Software: </w:t>
      </w:r>
    </w:p>
    <w:p w14:paraId="04608189" w14:textId="77777777" w:rsidR="00782640" w:rsidRPr="00782640" w:rsidRDefault="00782640" w:rsidP="00782640">
      <w:pPr>
        <w:tabs>
          <w:tab w:val="left" w:pos="3120"/>
        </w:tabs>
        <w:spacing w:after="0" w:line="240" w:lineRule="auto"/>
        <w:jc w:val="both"/>
        <w:rPr>
          <w:rFonts w:ascii="Calibri" w:eastAsia="Calibri" w:hAnsi="Calibri" w:cs="Times New Roman"/>
          <w:i/>
          <w:sz w:val="24"/>
          <w:szCs w:val="24"/>
        </w:rPr>
      </w:pPr>
      <w:r w:rsidRPr="00782640">
        <w:rPr>
          <w:rFonts w:ascii="Calibri" w:eastAsia="Calibri" w:hAnsi="Calibri" w:cs="Times New Roman"/>
          <w:i/>
          <w:sz w:val="24"/>
          <w:szCs w:val="24"/>
        </w:rPr>
        <w:tab/>
      </w:r>
    </w:p>
    <w:p w14:paraId="05560811" w14:textId="77777777" w:rsidR="00782640" w:rsidRPr="00782640" w:rsidRDefault="00782640" w:rsidP="00782640">
      <w:pPr>
        <w:numPr>
          <w:ilvl w:val="0"/>
          <w:numId w:val="107"/>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Embedding links to guidelines in medical practice software is another potential avenue for facilitating implementation. This may be limited by the wide range of software used in practices.</w:t>
      </w:r>
    </w:p>
    <w:p w14:paraId="5080167E" w14:textId="77777777" w:rsidR="00782640" w:rsidRPr="00782640" w:rsidRDefault="00782640" w:rsidP="00782640">
      <w:pPr>
        <w:spacing w:after="0" w:line="240" w:lineRule="auto"/>
        <w:jc w:val="both"/>
        <w:rPr>
          <w:rFonts w:ascii="Calibri" w:eastAsia="Calibri" w:hAnsi="Calibri" w:cs="Times New Roman"/>
          <w:sz w:val="24"/>
          <w:szCs w:val="24"/>
        </w:rPr>
      </w:pPr>
    </w:p>
    <w:p w14:paraId="5CEBC0F4" w14:textId="77777777" w:rsidR="00782640" w:rsidRPr="00782640" w:rsidRDefault="00782640" w:rsidP="00782640">
      <w:pPr>
        <w:spacing w:after="0" w:line="240" w:lineRule="auto"/>
        <w:jc w:val="both"/>
        <w:rPr>
          <w:rFonts w:ascii="Adelle Sans SemiBold" w:eastAsia="Calibri" w:hAnsi="Adelle Sans SemiBold" w:cs="Times New Roman"/>
          <w:b/>
          <w:bCs/>
          <w:i/>
          <w:iCs/>
          <w:color w:val="FF0000"/>
          <w:sz w:val="22"/>
        </w:rPr>
      </w:pPr>
      <w:r w:rsidRPr="00917039">
        <w:rPr>
          <w:rFonts w:ascii="Adelle Sans SemiBold" w:eastAsia="Calibri" w:hAnsi="Adelle Sans SemiBold" w:cs="Times New Roman"/>
          <w:b/>
          <w:bCs/>
          <w:i/>
          <w:iCs/>
          <w:color w:val="C00000"/>
          <w:sz w:val="22"/>
        </w:rPr>
        <w:t>Tele-health:</w:t>
      </w:r>
    </w:p>
    <w:p w14:paraId="5B564108" w14:textId="77777777" w:rsidR="00782640" w:rsidRPr="00782640" w:rsidRDefault="00782640" w:rsidP="00782640">
      <w:pPr>
        <w:spacing w:after="0" w:line="240" w:lineRule="auto"/>
        <w:jc w:val="both"/>
        <w:rPr>
          <w:rFonts w:ascii="Calibri" w:eastAsia="Calibri" w:hAnsi="Calibri" w:cs="Times New Roman"/>
          <w:i/>
          <w:sz w:val="24"/>
          <w:szCs w:val="24"/>
        </w:rPr>
      </w:pPr>
      <w:r w:rsidRPr="00782640">
        <w:rPr>
          <w:rFonts w:ascii="Calibri" w:eastAsia="Calibri" w:hAnsi="Calibri" w:cs="Times New Roman"/>
          <w:i/>
          <w:sz w:val="24"/>
          <w:szCs w:val="24"/>
        </w:rPr>
        <w:t xml:space="preserve"> </w:t>
      </w:r>
    </w:p>
    <w:p w14:paraId="1709BB6E" w14:textId="77777777" w:rsidR="00782640" w:rsidRPr="00782640" w:rsidRDefault="00782640" w:rsidP="00782640">
      <w:pPr>
        <w:numPr>
          <w:ilvl w:val="0"/>
          <w:numId w:val="107"/>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Telehealth assumes that there is robust internet connectivity.</w:t>
      </w:r>
    </w:p>
    <w:p w14:paraId="6B683789" w14:textId="77777777" w:rsidR="00782640" w:rsidRPr="00782640" w:rsidRDefault="00782640" w:rsidP="00782640">
      <w:pPr>
        <w:spacing w:after="0" w:line="240" w:lineRule="auto"/>
        <w:ind w:left="360"/>
        <w:contextualSpacing/>
        <w:jc w:val="both"/>
        <w:rPr>
          <w:rFonts w:ascii="Calibri" w:eastAsia="Calibri" w:hAnsi="Calibri" w:cs="Times New Roman"/>
          <w:sz w:val="24"/>
          <w:szCs w:val="24"/>
        </w:rPr>
      </w:pPr>
    </w:p>
    <w:p w14:paraId="1827750A" w14:textId="77777777" w:rsidR="00782640" w:rsidRPr="00782640" w:rsidRDefault="00782640" w:rsidP="00782640">
      <w:pPr>
        <w:numPr>
          <w:ilvl w:val="0"/>
          <w:numId w:val="107"/>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Telemedicine was recognised as a potentially under-utilised means to support clinical guidelines implementation. It is also a mechanism to support “two-way education”.  </w:t>
      </w:r>
    </w:p>
    <w:p w14:paraId="3CC1B442" w14:textId="77777777" w:rsidR="00782640" w:rsidRPr="00782640" w:rsidRDefault="00782640" w:rsidP="00782640">
      <w:pPr>
        <w:spacing w:after="0" w:line="240" w:lineRule="auto"/>
        <w:ind w:left="360"/>
        <w:contextualSpacing/>
        <w:jc w:val="both"/>
        <w:rPr>
          <w:rFonts w:ascii="Calibri" w:eastAsia="Calibri" w:hAnsi="Calibri" w:cs="Times New Roman"/>
          <w:sz w:val="24"/>
          <w:szCs w:val="24"/>
        </w:rPr>
      </w:pPr>
    </w:p>
    <w:p w14:paraId="6E2D2795" w14:textId="77777777" w:rsidR="00782640" w:rsidRPr="00782640" w:rsidRDefault="00782640" w:rsidP="00782640">
      <w:pPr>
        <w:numPr>
          <w:ilvl w:val="0"/>
          <w:numId w:val="107"/>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One successful model of care for Indigenous patients within a transplant clinic in Victoria has been a collaborative approach via a consultation between clinician, patient, Aboriginal co-opts, and other health care team (as required), via Telehealth. Working via the local healthcare provider has proven to be more successful than infrequent clinician site visits, and far more effective than letters to general practitioner or bringing the patient to metropolitan centres. Patient satisfaction with this model of care is high. </w:t>
      </w:r>
    </w:p>
    <w:p w14:paraId="555476A3" w14:textId="77777777" w:rsidR="00782640" w:rsidRPr="00782640" w:rsidRDefault="00782640" w:rsidP="00782640">
      <w:pPr>
        <w:spacing w:after="0" w:line="240" w:lineRule="auto"/>
        <w:contextualSpacing/>
        <w:jc w:val="both"/>
        <w:rPr>
          <w:rFonts w:ascii="Calibri" w:eastAsia="Calibri" w:hAnsi="Calibri" w:cs="Times New Roman"/>
          <w:sz w:val="24"/>
          <w:szCs w:val="24"/>
        </w:rPr>
      </w:pPr>
    </w:p>
    <w:p w14:paraId="245840A1" w14:textId="77777777" w:rsidR="00782640" w:rsidRPr="00782640" w:rsidRDefault="00782640" w:rsidP="00782640">
      <w:pPr>
        <w:numPr>
          <w:ilvl w:val="0"/>
          <w:numId w:val="107"/>
        </w:numPr>
        <w:spacing w:after="0" w:line="240" w:lineRule="auto"/>
        <w:contextualSpacing/>
        <w:jc w:val="both"/>
        <w:rPr>
          <w:rFonts w:ascii="Calibri" w:eastAsia="Calibri" w:hAnsi="Calibri" w:cs="Times New Roman"/>
          <w:sz w:val="24"/>
          <w:szCs w:val="24"/>
          <w:u w:val="single"/>
        </w:rPr>
      </w:pPr>
      <w:r w:rsidRPr="00782640">
        <w:rPr>
          <w:rFonts w:ascii="Calibri" w:eastAsia="Calibri" w:hAnsi="Calibri" w:cs="Times New Roman"/>
          <w:sz w:val="24"/>
          <w:szCs w:val="24"/>
        </w:rPr>
        <w:t xml:space="preserve">Successful implementation of guidelines via telehealth consultations requires local staff to be engaged and to highlight successes and barriers (language, internet, mobile phone services). </w:t>
      </w:r>
    </w:p>
    <w:p w14:paraId="68B42C2A" w14:textId="77777777" w:rsidR="00782640" w:rsidRPr="00782640" w:rsidRDefault="00782640" w:rsidP="00782640">
      <w:pPr>
        <w:spacing w:after="0" w:line="240" w:lineRule="auto"/>
        <w:jc w:val="both"/>
        <w:rPr>
          <w:rFonts w:ascii="Calibri" w:eastAsia="Calibri" w:hAnsi="Calibri" w:cs="Times New Roman"/>
          <w:sz w:val="24"/>
          <w:szCs w:val="24"/>
          <w:u w:val="single"/>
        </w:rPr>
      </w:pPr>
      <w:r w:rsidRPr="00782640">
        <w:rPr>
          <w:rFonts w:ascii="Calibri" w:eastAsia="Calibri" w:hAnsi="Calibri" w:cs="Times New Roman"/>
          <w:sz w:val="24"/>
          <w:szCs w:val="24"/>
          <w:u w:val="single"/>
        </w:rPr>
        <w:br w:type="page"/>
      </w:r>
    </w:p>
    <w:p w14:paraId="630F32A1" w14:textId="77777777" w:rsidR="00782640" w:rsidRPr="00EC7110" w:rsidRDefault="00782640" w:rsidP="00782640">
      <w:pPr>
        <w:spacing w:after="0" w:line="240" w:lineRule="auto"/>
        <w:jc w:val="both"/>
        <w:rPr>
          <w:rFonts w:ascii="Adelle Sans ExtraBold" w:eastAsia="Calibri" w:hAnsi="Adelle Sans ExtraBold" w:cs="Times New Roman"/>
          <w:b/>
          <w:bCs/>
          <w:color w:val="C00000"/>
          <w:sz w:val="40"/>
          <w:szCs w:val="40"/>
        </w:rPr>
      </w:pPr>
      <w:r w:rsidRPr="00EC7110">
        <w:rPr>
          <w:rFonts w:ascii="Adelle Sans ExtraBold" w:eastAsia="Calibri" w:hAnsi="Adelle Sans ExtraBold" w:cs="Times New Roman"/>
          <w:b/>
          <w:bCs/>
          <w:color w:val="C00000"/>
          <w:sz w:val="40"/>
          <w:szCs w:val="40"/>
        </w:rPr>
        <w:lastRenderedPageBreak/>
        <w:t>G. Gaps in Existing Knowledge – Strengthening the Evidence-base</w:t>
      </w:r>
    </w:p>
    <w:p w14:paraId="59162F7E" w14:textId="77777777" w:rsidR="00782640" w:rsidRPr="00782640" w:rsidRDefault="00782640" w:rsidP="00782640">
      <w:pPr>
        <w:spacing w:after="0" w:line="240" w:lineRule="auto"/>
        <w:jc w:val="both"/>
        <w:rPr>
          <w:rFonts w:ascii="Calibri" w:eastAsia="Calibri" w:hAnsi="Calibri" w:cs="Times New Roman"/>
          <w:sz w:val="24"/>
          <w:szCs w:val="24"/>
        </w:rPr>
      </w:pPr>
    </w:p>
    <w:p w14:paraId="4328C8EB"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 xml:space="preserve">The panel suggested areas where evaluation of the evidence-base would be useful for incorporation into the proposed guidelines and where further research is urgently required. </w:t>
      </w:r>
    </w:p>
    <w:p w14:paraId="0EB0B88A" w14:textId="77777777" w:rsidR="00782640" w:rsidRPr="00782640" w:rsidRDefault="00782640" w:rsidP="00782640">
      <w:pPr>
        <w:spacing w:after="0" w:line="240" w:lineRule="auto"/>
        <w:jc w:val="both"/>
        <w:rPr>
          <w:rFonts w:ascii="Calibri" w:eastAsia="Calibri" w:hAnsi="Calibri" w:cs="Times New Roman"/>
          <w:sz w:val="24"/>
          <w:szCs w:val="24"/>
        </w:rPr>
      </w:pPr>
    </w:p>
    <w:p w14:paraId="2CA43F74" w14:textId="77777777" w:rsidR="00782640" w:rsidRPr="00EC7110" w:rsidRDefault="00782640" w:rsidP="00782640">
      <w:pPr>
        <w:numPr>
          <w:ilvl w:val="0"/>
          <w:numId w:val="124"/>
        </w:numPr>
        <w:spacing w:after="0" w:line="240" w:lineRule="auto"/>
        <w:contextualSpacing/>
        <w:jc w:val="both"/>
        <w:rPr>
          <w:rFonts w:ascii="Adelle Sans Light" w:eastAsia="Calibri" w:hAnsi="Adelle Sans Light" w:cs="Times New Roman"/>
          <w:color w:val="C00000"/>
          <w:sz w:val="40"/>
          <w:szCs w:val="40"/>
        </w:rPr>
      </w:pPr>
      <w:r w:rsidRPr="00EC7110">
        <w:rPr>
          <w:rFonts w:ascii="Adelle Sans Light" w:eastAsia="Calibri" w:hAnsi="Adelle Sans Light" w:cs="Times New Roman"/>
          <w:color w:val="C00000"/>
          <w:sz w:val="40"/>
          <w:szCs w:val="40"/>
        </w:rPr>
        <w:t>Evidence-base for Workforce Education and Support</w:t>
      </w:r>
    </w:p>
    <w:p w14:paraId="34231D42" w14:textId="77777777" w:rsidR="00782640" w:rsidRPr="00782640" w:rsidRDefault="00782640" w:rsidP="00782640">
      <w:pPr>
        <w:spacing w:after="0" w:line="240" w:lineRule="auto"/>
        <w:jc w:val="both"/>
        <w:rPr>
          <w:rFonts w:ascii="Calibri" w:eastAsia="Calibri" w:hAnsi="Calibri" w:cs="Times New Roman"/>
          <w:i/>
          <w:sz w:val="24"/>
          <w:szCs w:val="24"/>
        </w:rPr>
      </w:pPr>
    </w:p>
    <w:p w14:paraId="422637D5" w14:textId="77777777" w:rsidR="00782640" w:rsidRPr="00782640" w:rsidRDefault="00782640" w:rsidP="00782640">
      <w:pPr>
        <w:numPr>
          <w:ilvl w:val="0"/>
          <w:numId w:val="94"/>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The primary and secondary care workforce are critical to preventing and managing CKD. </w:t>
      </w:r>
    </w:p>
    <w:p w14:paraId="4F38AB76" w14:textId="77777777" w:rsidR="00782640" w:rsidRPr="00782640" w:rsidRDefault="00782640" w:rsidP="00782640">
      <w:pPr>
        <w:numPr>
          <w:ilvl w:val="1"/>
          <w:numId w:val="94"/>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Aboriginal and Torres Strait Islander peoples often bypass primary care and enter directly into tertiary nephrology services with advanced CKD or ESKD due to failure to implement early CKD detection guidelines in primary care</w:t>
      </w:r>
    </w:p>
    <w:p w14:paraId="4C16B9D7" w14:textId="77777777" w:rsidR="00782640" w:rsidRPr="00782640" w:rsidRDefault="00782640" w:rsidP="00782640">
      <w:pPr>
        <w:numPr>
          <w:ilvl w:val="1"/>
          <w:numId w:val="94"/>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Knowledge and implementation of CKD guidelines is often limited for overseas-trained or recently arrived staff, or areas of high staff turnover and transient staff populations. </w:t>
      </w:r>
    </w:p>
    <w:p w14:paraId="1EE43D22" w14:textId="77777777" w:rsidR="00782640" w:rsidRPr="00782640" w:rsidRDefault="00782640" w:rsidP="00782640">
      <w:pPr>
        <w:numPr>
          <w:ilvl w:val="1"/>
          <w:numId w:val="94"/>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Lack of continuity of clinical care due to staff turnover undermines guidelines implementation. </w:t>
      </w:r>
    </w:p>
    <w:p w14:paraId="3509F487" w14:textId="77777777" w:rsidR="00782640" w:rsidRPr="00782640" w:rsidRDefault="00782640" w:rsidP="00782640">
      <w:pPr>
        <w:numPr>
          <w:ilvl w:val="1"/>
          <w:numId w:val="94"/>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Staff involved in CKD care may lack culturally appropriate communication skills training. </w:t>
      </w:r>
    </w:p>
    <w:p w14:paraId="59F6BB34" w14:textId="77777777" w:rsidR="00782640" w:rsidRPr="00782640" w:rsidRDefault="00782640" w:rsidP="00782640">
      <w:pPr>
        <w:spacing w:after="0" w:line="240" w:lineRule="auto"/>
        <w:ind w:left="1440"/>
        <w:contextualSpacing/>
        <w:jc w:val="both"/>
        <w:rPr>
          <w:rFonts w:ascii="Calibri" w:eastAsia="Calibri" w:hAnsi="Calibri" w:cs="Times New Roman"/>
          <w:sz w:val="24"/>
          <w:szCs w:val="24"/>
        </w:rPr>
      </w:pPr>
    </w:p>
    <w:p w14:paraId="6978A3C3" w14:textId="77777777" w:rsidR="00782640" w:rsidRPr="00782640" w:rsidRDefault="00782640" w:rsidP="00782640">
      <w:pPr>
        <w:numPr>
          <w:ilvl w:val="0"/>
          <w:numId w:val="90"/>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Understanding the challenges facing the primary and secondary care workforce in regional and remote areas will be an important step in addressing the lack of awareness about early kidney checks and prevention of CKD progression, and implementing guidelines for CKD management: </w:t>
      </w:r>
    </w:p>
    <w:p w14:paraId="542F62EE" w14:textId="77777777" w:rsidR="00782640" w:rsidRPr="00782640" w:rsidRDefault="00782640" w:rsidP="00782640">
      <w:pPr>
        <w:numPr>
          <w:ilvl w:val="1"/>
          <w:numId w:val="90"/>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Strategies to improve workforce capacity and staff retention are urgently required. </w:t>
      </w:r>
    </w:p>
    <w:p w14:paraId="38F31E4D" w14:textId="77777777" w:rsidR="00782640" w:rsidRPr="00782640" w:rsidRDefault="00782640" w:rsidP="00782640">
      <w:pPr>
        <w:numPr>
          <w:ilvl w:val="1"/>
          <w:numId w:val="90"/>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New guidelines must be accompanied by improved workforce capability through culturally appropriate education and resources.   These should address early stage CKD management to improve detection rates and minimise “crash landing” to tertiary care. </w:t>
      </w:r>
    </w:p>
    <w:p w14:paraId="61DE41A5" w14:textId="77777777" w:rsidR="00782640" w:rsidRPr="00782640" w:rsidRDefault="00782640" w:rsidP="00782640">
      <w:pPr>
        <w:numPr>
          <w:ilvl w:val="1"/>
          <w:numId w:val="90"/>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In addition, there needs to be better education for local health professionals involved in the care of patients receiving renal replacement therapy (all modalities) and renal supportive care, to facilitate care in community and minimise evacuation / transfer. </w:t>
      </w:r>
    </w:p>
    <w:p w14:paraId="26893055" w14:textId="77777777" w:rsidR="00782640" w:rsidRPr="00782640" w:rsidRDefault="00782640" w:rsidP="00782640">
      <w:pPr>
        <w:spacing w:after="0" w:line="240" w:lineRule="auto"/>
        <w:ind w:left="720"/>
        <w:contextualSpacing/>
        <w:jc w:val="both"/>
        <w:rPr>
          <w:rFonts w:ascii="Calibri" w:eastAsia="Calibri" w:hAnsi="Calibri" w:cs="Times New Roman"/>
          <w:sz w:val="24"/>
          <w:szCs w:val="24"/>
        </w:rPr>
      </w:pPr>
    </w:p>
    <w:p w14:paraId="780FFB1A" w14:textId="77777777" w:rsidR="00782640" w:rsidRPr="00EC7110" w:rsidRDefault="00782640" w:rsidP="00782640">
      <w:pPr>
        <w:numPr>
          <w:ilvl w:val="0"/>
          <w:numId w:val="124"/>
        </w:numPr>
        <w:spacing w:after="0" w:line="240" w:lineRule="auto"/>
        <w:contextualSpacing/>
        <w:jc w:val="both"/>
        <w:rPr>
          <w:rFonts w:ascii="Adelle Sans Light" w:eastAsia="Calibri" w:hAnsi="Adelle Sans Light" w:cs="Times New Roman"/>
          <w:color w:val="C00000"/>
          <w:sz w:val="40"/>
          <w:szCs w:val="40"/>
        </w:rPr>
      </w:pPr>
      <w:r w:rsidRPr="00EC7110">
        <w:rPr>
          <w:rFonts w:ascii="Adelle Sans Light" w:eastAsia="Calibri" w:hAnsi="Adelle Sans Light" w:cs="Times New Roman"/>
          <w:color w:val="C00000"/>
          <w:sz w:val="40"/>
          <w:szCs w:val="40"/>
        </w:rPr>
        <w:t>Evidence-base for Geographical Variation in CKD Risk and Care</w:t>
      </w:r>
    </w:p>
    <w:p w14:paraId="18210690" w14:textId="77777777" w:rsidR="00782640" w:rsidRPr="00782640" w:rsidRDefault="00782640" w:rsidP="00782640">
      <w:pPr>
        <w:spacing w:after="0" w:line="240" w:lineRule="auto"/>
        <w:jc w:val="both"/>
        <w:rPr>
          <w:rFonts w:ascii="Calibri" w:eastAsia="Calibri" w:hAnsi="Calibri" w:cs="Times New Roman"/>
          <w:i/>
          <w:sz w:val="24"/>
          <w:szCs w:val="24"/>
        </w:rPr>
      </w:pPr>
    </w:p>
    <w:p w14:paraId="46058E5D" w14:textId="77777777" w:rsidR="00782640" w:rsidRPr="00782640" w:rsidRDefault="00782640" w:rsidP="00782640">
      <w:pPr>
        <w:numPr>
          <w:ilvl w:val="0"/>
          <w:numId w:val="108"/>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The relationship between CKD risk and geographical location has been demonstrated (Kidney Health Australia 2016 State of the nation Report 2016).</w:t>
      </w:r>
    </w:p>
    <w:p w14:paraId="5E336DA2" w14:textId="77777777" w:rsidR="00782640" w:rsidRPr="00782640" w:rsidRDefault="00782640" w:rsidP="00782640">
      <w:pPr>
        <w:spacing w:after="0" w:line="240" w:lineRule="auto"/>
        <w:ind w:left="360"/>
        <w:contextualSpacing/>
        <w:jc w:val="both"/>
        <w:rPr>
          <w:rFonts w:ascii="Calibri" w:eastAsia="Calibri" w:hAnsi="Calibri" w:cs="Times New Roman"/>
          <w:sz w:val="24"/>
          <w:szCs w:val="24"/>
        </w:rPr>
      </w:pPr>
    </w:p>
    <w:p w14:paraId="7601D69C" w14:textId="77777777" w:rsidR="00782640" w:rsidRPr="00782640" w:rsidRDefault="00782640" w:rsidP="00782640">
      <w:pPr>
        <w:numPr>
          <w:ilvl w:val="0"/>
          <w:numId w:val="108"/>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lastRenderedPageBreak/>
        <w:t xml:space="preserve">CKD Management Guidelines do not currently detail geographical variations in risk, and do not incorporate remoteness or other geographical parameters into clinical care algorithms. </w:t>
      </w:r>
    </w:p>
    <w:p w14:paraId="3F931B0E" w14:textId="77777777" w:rsidR="00782640" w:rsidRPr="00782640" w:rsidRDefault="00782640" w:rsidP="00782640">
      <w:pPr>
        <w:spacing w:after="0" w:line="240" w:lineRule="auto"/>
        <w:ind w:left="360"/>
        <w:contextualSpacing/>
        <w:jc w:val="both"/>
        <w:rPr>
          <w:rFonts w:ascii="Calibri" w:eastAsia="Calibri" w:hAnsi="Calibri" w:cs="Times New Roman"/>
          <w:sz w:val="24"/>
          <w:szCs w:val="24"/>
        </w:rPr>
      </w:pPr>
    </w:p>
    <w:p w14:paraId="0981AFA5" w14:textId="77777777" w:rsidR="00782640" w:rsidRPr="00782640" w:rsidRDefault="00782640" w:rsidP="00782640">
      <w:pPr>
        <w:numPr>
          <w:ilvl w:val="0"/>
          <w:numId w:val="108"/>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Biology may be the similar across cohorts but population risks and sociodemographic factors may differ, and therefore guidelines should address the geographical variation.</w:t>
      </w:r>
    </w:p>
    <w:p w14:paraId="4F3C1253" w14:textId="77777777" w:rsidR="00782640" w:rsidRPr="00782640" w:rsidRDefault="00782640" w:rsidP="00782640">
      <w:pPr>
        <w:spacing w:after="0" w:line="240" w:lineRule="auto"/>
        <w:ind w:left="360"/>
        <w:contextualSpacing/>
        <w:jc w:val="both"/>
        <w:rPr>
          <w:rFonts w:ascii="Calibri" w:eastAsia="Calibri" w:hAnsi="Calibri" w:cs="Times New Roman"/>
          <w:sz w:val="24"/>
          <w:szCs w:val="24"/>
        </w:rPr>
      </w:pPr>
    </w:p>
    <w:p w14:paraId="4E97DBA2" w14:textId="77777777" w:rsidR="00782640" w:rsidRPr="00782640" w:rsidRDefault="00782640" w:rsidP="00782640">
      <w:pPr>
        <w:numPr>
          <w:ilvl w:val="0"/>
          <w:numId w:val="108"/>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The evidence-base demonstrating benefit of earlier and more aggressive screening and intervention for CKD in certain areas with the highest risk of patients developing end stage disease should be expanded. </w:t>
      </w:r>
    </w:p>
    <w:p w14:paraId="32D1BBC1" w14:textId="77777777" w:rsidR="00782640" w:rsidRPr="00782640" w:rsidRDefault="00782640" w:rsidP="00782640">
      <w:pPr>
        <w:spacing w:after="0" w:line="240" w:lineRule="auto"/>
        <w:ind w:left="360"/>
        <w:contextualSpacing/>
        <w:jc w:val="both"/>
        <w:rPr>
          <w:rFonts w:ascii="Calibri" w:eastAsia="Calibri" w:hAnsi="Calibri" w:cs="Times New Roman"/>
          <w:sz w:val="24"/>
          <w:szCs w:val="24"/>
        </w:rPr>
      </w:pPr>
    </w:p>
    <w:p w14:paraId="331CB627" w14:textId="77777777" w:rsidR="00782640" w:rsidRPr="00EC7110" w:rsidRDefault="00782640" w:rsidP="00782640">
      <w:pPr>
        <w:numPr>
          <w:ilvl w:val="0"/>
          <w:numId w:val="124"/>
        </w:numPr>
        <w:spacing w:after="0" w:line="240" w:lineRule="auto"/>
        <w:contextualSpacing/>
        <w:jc w:val="both"/>
        <w:rPr>
          <w:rFonts w:ascii="Adelle Sans Light" w:eastAsia="Calibri" w:hAnsi="Adelle Sans Light" w:cs="Times New Roman"/>
          <w:color w:val="C00000"/>
          <w:sz w:val="40"/>
          <w:szCs w:val="40"/>
        </w:rPr>
      </w:pPr>
      <w:r w:rsidRPr="00EC7110">
        <w:rPr>
          <w:rFonts w:ascii="Adelle Sans Light" w:eastAsia="Calibri" w:hAnsi="Adelle Sans Light" w:cs="Times New Roman"/>
          <w:color w:val="C00000"/>
          <w:sz w:val="40"/>
          <w:szCs w:val="40"/>
        </w:rPr>
        <w:t>Evidence-base for Patient and Community Education Strategies</w:t>
      </w:r>
    </w:p>
    <w:p w14:paraId="6F84C43E" w14:textId="77777777" w:rsidR="00782640" w:rsidRPr="00782640" w:rsidRDefault="00782640" w:rsidP="00782640">
      <w:pPr>
        <w:spacing w:after="0" w:line="240" w:lineRule="auto"/>
        <w:jc w:val="both"/>
        <w:rPr>
          <w:rFonts w:ascii="Calibri" w:eastAsia="Calibri" w:hAnsi="Calibri" w:cs="Times New Roman"/>
          <w:i/>
          <w:sz w:val="24"/>
          <w:szCs w:val="24"/>
        </w:rPr>
      </w:pPr>
    </w:p>
    <w:p w14:paraId="536962B4" w14:textId="77777777" w:rsidR="00782640" w:rsidRPr="00782640" w:rsidRDefault="00782640" w:rsidP="00782640">
      <w:pPr>
        <w:numPr>
          <w:ilvl w:val="0"/>
          <w:numId w:val="111"/>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Current guidelines on CKD management do not address evidence-based strategies for culturally appropriate patient education and patient-doctor communication to facilitate CKD care.  This represents a significant gap in the guidelines and barrier to implementation of care recommendations.  </w:t>
      </w:r>
    </w:p>
    <w:p w14:paraId="0CFC67B0" w14:textId="77777777" w:rsidR="00782640" w:rsidRPr="00782640" w:rsidRDefault="00782640" w:rsidP="00782640">
      <w:pPr>
        <w:spacing w:after="0" w:line="240" w:lineRule="auto"/>
        <w:ind w:left="360"/>
        <w:contextualSpacing/>
        <w:jc w:val="both"/>
        <w:rPr>
          <w:rFonts w:ascii="Calibri" w:eastAsia="Calibri" w:hAnsi="Calibri" w:cs="Times New Roman"/>
          <w:sz w:val="24"/>
          <w:szCs w:val="24"/>
        </w:rPr>
      </w:pPr>
    </w:p>
    <w:p w14:paraId="4A228BAD" w14:textId="77777777" w:rsidR="00782640" w:rsidRPr="00782640" w:rsidRDefault="00782640" w:rsidP="00782640">
      <w:pPr>
        <w:numPr>
          <w:ilvl w:val="0"/>
          <w:numId w:val="111"/>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The evidence-base determining barriers and facilitators of health-related culturally appropriate communication and education in Aboriginal and Torres Strait Islander cohorts has grown in recent years and should be synthesised. There are several specific projects that address this and these should be drawn upon in the proposed guidelines. For example, The Northern Territory Renal Services Integration Project and Menzies School of Health Research have had a large range of projects addressing how best to engage Indigenous people in primary care and kidney care, and barriers and enablers of indigenous engagement with health systems. </w:t>
      </w:r>
    </w:p>
    <w:p w14:paraId="2A55434A" w14:textId="77777777" w:rsidR="00782640" w:rsidRPr="00782640" w:rsidRDefault="00782640" w:rsidP="00782640">
      <w:pPr>
        <w:spacing w:after="0" w:line="240" w:lineRule="auto"/>
        <w:ind w:left="360"/>
        <w:contextualSpacing/>
        <w:jc w:val="both"/>
        <w:rPr>
          <w:rFonts w:ascii="Calibri" w:eastAsia="Calibri" w:hAnsi="Calibri" w:cs="Times New Roman"/>
          <w:sz w:val="24"/>
          <w:szCs w:val="24"/>
        </w:rPr>
      </w:pPr>
    </w:p>
    <w:p w14:paraId="240346C0" w14:textId="77777777" w:rsidR="00782640" w:rsidRPr="00782640" w:rsidRDefault="00782640" w:rsidP="00782640">
      <w:pPr>
        <w:numPr>
          <w:ilvl w:val="0"/>
          <w:numId w:val="111"/>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Suitable, validated, nationally available education resources about prevention and CKD are lacking.  Many regions have developed their own resources and methods of education, and successful initiatives should be identified and evaluated in other cohorts. </w:t>
      </w:r>
    </w:p>
    <w:p w14:paraId="2CBDF790" w14:textId="77777777" w:rsidR="00782640" w:rsidRPr="00782640" w:rsidRDefault="00782640" w:rsidP="00782640">
      <w:pPr>
        <w:spacing w:after="0" w:line="240" w:lineRule="auto"/>
        <w:ind w:left="360"/>
        <w:contextualSpacing/>
        <w:jc w:val="both"/>
        <w:rPr>
          <w:rFonts w:ascii="Calibri" w:eastAsia="Calibri" w:hAnsi="Calibri" w:cs="Times New Roman"/>
          <w:sz w:val="24"/>
          <w:szCs w:val="24"/>
        </w:rPr>
      </w:pPr>
    </w:p>
    <w:p w14:paraId="0ECF118D" w14:textId="77777777" w:rsidR="00782640" w:rsidRPr="00782640" w:rsidRDefault="00782640" w:rsidP="00782640">
      <w:pPr>
        <w:numPr>
          <w:ilvl w:val="0"/>
          <w:numId w:val="111"/>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Developing culturally appropriate education resources in multiple media formats (video, pictures) that facilitate translation into appropriate languages and health literacy levels is an urgent priority. </w:t>
      </w:r>
    </w:p>
    <w:p w14:paraId="38E11794" w14:textId="77777777" w:rsidR="00782640" w:rsidRPr="00782640" w:rsidRDefault="00782640" w:rsidP="00782640">
      <w:pPr>
        <w:spacing w:after="0" w:line="240" w:lineRule="auto"/>
        <w:ind w:left="360"/>
        <w:contextualSpacing/>
        <w:jc w:val="both"/>
        <w:rPr>
          <w:rFonts w:ascii="Calibri" w:eastAsia="Calibri" w:hAnsi="Calibri" w:cs="Times New Roman"/>
          <w:sz w:val="24"/>
          <w:szCs w:val="24"/>
        </w:rPr>
      </w:pPr>
    </w:p>
    <w:p w14:paraId="2E525BF0" w14:textId="77777777" w:rsidR="00782640" w:rsidRPr="00782640" w:rsidRDefault="00782640" w:rsidP="00782640">
      <w:pPr>
        <w:numPr>
          <w:ilvl w:val="0"/>
          <w:numId w:val="111"/>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The role of patient preceptors and models of care through peer-support should be further explored and evaluated. </w:t>
      </w:r>
    </w:p>
    <w:p w14:paraId="289DD17E" w14:textId="77777777" w:rsidR="00782640" w:rsidRPr="00782640" w:rsidRDefault="00782640" w:rsidP="00782640">
      <w:pPr>
        <w:spacing w:after="0" w:line="240" w:lineRule="auto"/>
        <w:jc w:val="both"/>
        <w:rPr>
          <w:rFonts w:ascii="Calibri" w:eastAsia="Calibri" w:hAnsi="Calibri" w:cs="Times New Roman"/>
          <w:sz w:val="24"/>
          <w:szCs w:val="24"/>
        </w:rPr>
      </w:pPr>
    </w:p>
    <w:p w14:paraId="497A974E" w14:textId="77777777" w:rsidR="00782640" w:rsidRPr="00EC7110" w:rsidRDefault="00782640" w:rsidP="00782640">
      <w:pPr>
        <w:numPr>
          <w:ilvl w:val="0"/>
          <w:numId w:val="124"/>
        </w:numPr>
        <w:spacing w:after="0" w:line="240" w:lineRule="auto"/>
        <w:contextualSpacing/>
        <w:jc w:val="both"/>
        <w:rPr>
          <w:rFonts w:ascii="Adelle Sans Light" w:eastAsia="Calibri" w:hAnsi="Adelle Sans Light" w:cs="Times New Roman"/>
          <w:color w:val="C00000"/>
          <w:sz w:val="40"/>
          <w:szCs w:val="40"/>
        </w:rPr>
      </w:pPr>
      <w:r w:rsidRPr="00EC7110">
        <w:rPr>
          <w:rFonts w:ascii="Adelle Sans Light" w:eastAsia="Calibri" w:hAnsi="Adelle Sans Light" w:cs="Times New Roman"/>
          <w:color w:val="C00000"/>
          <w:sz w:val="40"/>
          <w:szCs w:val="40"/>
        </w:rPr>
        <w:t>Evidence-base for Prevention Strategies in Aboriginal and Torres Strait Islander peoples</w:t>
      </w:r>
    </w:p>
    <w:p w14:paraId="7F0B5E94" w14:textId="77777777" w:rsidR="00782640" w:rsidRPr="00782640" w:rsidRDefault="00782640" w:rsidP="00782640">
      <w:pPr>
        <w:spacing w:after="0" w:line="240" w:lineRule="auto"/>
        <w:jc w:val="both"/>
        <w:rPr>
          <w:rFonts w:ascii="Calibri" w:eastAsia="Calibri" w:hAnsi="Calibri" w:cs="Times New Roman"/>
          <w:i/>
          <w:sz w:val="24"/>
          <w:szCs w:val="24"/>
        </w:rPr>
      </w:pPr>
    </w:p>
    <w:p w14:paraId="72384C66" w14:textId="77777777" w:rsidR="00782640" w:rsidRPr="00782640" w:rsidRDefault="00782640" w:rsidP="00782640">
      <w:pPr>
        <w:numPr>
          <w:ilvl w:val="0"/>
          <w:numId w:val="11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Fear of kidney disease diagnosis is a major barrier to preventative interventions in primary care. </w:t>
      </w:r>
    </w:p>
    <w:p w14:paraId="74D7CFF9" w14:textId="77777777" w:rsidR="00782640" w:rsidRPr="00782640" w:rsidRDefault="00782640" w:rsidP="00782640">
      <w:pPr>
        <w:spacing w:after="0" w:line="240" w:lineRule="auto"/>
        <w:ind w:left="360"/>
        <w:contextualSpacing/>
        <w:jc w:val="both"/>
        <w:rPr>
          <w:rFonts w:ascii="Calibri" w:eastAsia="Calibri" w:hAnsi="Calibri" w:cs="Times New Roman"/>
          <w:sz w:val="24"/>
          <w:szCs w:val="24"/>
        </w:rPr>
      </w:pPr>
    </w:p>
    <w:p w14:paraId="16528B74" w14:textId="77777777" w:rsidR="00782640" w:rsidRPr="00782640" w:rsidRDefault="00782640" w:rsidP="00782640">
      <w:pPr>
        <w:numPr>
          <w:ilvl w:val="0"/>
          <w:numId w:val="11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Further research is required into the best strategies for implementing disease prevention pathways without disengaging patients and communities due to fear and/or lack of understanding of illness. </w:t>
      </w:r>
    </w:p>
    <w:p w14:paraId="77BCAEB0" w14:textId="77777777" w:rsidR="00782640" w:rsidRPr="00782640" w:rsidRDefault="00782640" w:rsidP="00782640">
      <w:pPr>
        <w:spacing w:after="0" w:line="240" w:lineRule="auto"/>
        <w:ind w:left="360"/>
        <w:contextualSpacing/>
        <w:jc w:val="both"/>
        <w:rPr>
          <w:rFonts w:ascii="Calibri" w:eastAsia="Calibri" w:hAnsi="Calibri" w:cs="Times New Roman"/>
          <w:sz w:val="24"/>
          <w:szCs w:val="24"/>
        </w:rPr>
      </w:pPr>
    </w:p>
    <w:p w14:paraId="1C869611" w14:textId="77777777" w:rsidR="00782640" w:rsidRPr="00782640" w:rsidRDefault="00782640" w:rsidP="00782640">
      <w:pPr>
        <w:numPr>
          <w:ilvl w:val="0"/>
          <w:numId w:val="11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The evidence-base for community based and culturally appropriate education interventions for preventative health measures should be reviewed and successful strategies identified that may be utilised in CKD care.  In particular evidence around improving diet quality, addressing obesity and cessation of smoking. </w:t>
      </w:r>
    </w:p>
    <w:p w14:paraId="7237D507" w14:textId="77777777" w:rsidR="00782640" w:rsidRPr="00782640" w:rsidRDefault="00782640" w:rsidP="00782640">
      <w:pPr>
        <w:spacing w:after="0" w:line="240" w:lineRule="auto"/>
        <w:ind w:left="360"/>
        <w:contextualSpacing/>
        <w:jc w:val="both"/>
        <w:rPr>
          <w:rFonts w:ascii="Calibri" w:eastAsia="Calibri" w:hAnsi="Calibri" w:cs="Times New Roman"/>
          <w:sz w:val="24"/>
          <w:szCs w:val="24"/>
        </w:rPr>
      </w:pPr>
    </w:p>
    <w:p w14:paraId="62F458FD" w14:textId="77777777" w:rsidR="00782640" w:rsidRPr="00EC7110" w:rsidRDefault="00782640" w:rsidP="00782640">
      <w:pPr>
        <w:numPr>
          <w:ilvl w:val="0"/>
          <w:numId w:val="124"/>
        </w:numPr>
        <w:spacing w:after="0" w:line="240" w:lineRule="auto"/>
        <w:contextualSpacing/>
        <w:jc w:val="both"/>
        <w:rPr>
          <w:rFonts w:ascii="Adelle Sans Light" w:eastAsia="Calibri" w:hAnsi="Adelle Sans Light" w:cs="Times New Roman"/>
          <w:color w:val="C00000"/>
          <w:sz w:val="40"/>
          <w:szCs w:val="40"/>
        </w:rPr>
      </w:pPr>
      <w:r w:rsidRPr="00EC7110">
        <w:rPr>
          <w:rFonts w:ascii="Adelle Sans Light" w:eastAsia="Calibri" w:hAnsi="Adelle Sans Light" w:cs="Times New Roman"/>
          <w:color w:val="C00000"/>
          <w:sz w:val="40"/>
          <w:szCs w:val="40"/>
        </w:rPr>
        <w:t>Evidence-base for Managing CKD Stages 1-5 in Aboriginal and Torres Strait Islander peoples</w:t>
      </w:r>
    </w:p>
    <w:p w14:paraId="5306CE08" w14:textId="77777777" w:rsidR="00782640" w:rsidRPr="00782640" w:rsidRDefault="00782640" w:rsidP="00782640">
      <w:pPr>
        <w:spacing w:after="0" w:line="240" w:lineRule="auto"/>
        <w:ind w:left="360"/>
        <w:contextualSpacing/>
        <w:jc w:val="both"/>
        <w:rPr>
          <w:rFonts w:ascii="Calibri" w:eastAsia="Calibri" w:hAnsi="Calibri" w:cs="Times New Roman"/>
          <w:sz w:val="24"/>
          <w:szCs w:val="24"/>
        </w:rPr>
      </w:pPr>
    </w:p>
    <w:p w14:paraId="471AE6DE" w14:textId="77777777" w:rsidR="00782640" w:rsidRPr="00782640" w:rsidRDefault="00782640" w:rsidP="00782640">
      <w:pPr>
        <w:numPr>
          <w:ilvl w:val="0"/>
          <w:numId w:val="122"/>
        </w:numPr>
        <w:spacing w:after="0" w:line="240" w:lineRule="auto"/>
        <w:ind w:left="360"/>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Early stage CKD is often poorly managed, with many Indigenous people starting dialysis completely unaware that they have had kidney disease for years. Many patients fail to receive an Adult Health Check that may have identified their uncontrolled diabetes and kidney disease. Strategies for improved uptake of health checks in Primary care should be reviewed. </w:t>
      </w:r>
    </w:p>
    <w:p w14:paraId="6E17A3F1" w14:textId="77777777" w:rsidR="00782640" w:rsidRPr="00782640" w:rsidRDefault="00782640" w:rsidP="00782640">
      <w:pPr>
        <w:spacing w:after="0" w:line="240" w:lineRule="auto"/>
        <w:jc w:val="both"/>
        <w:rPr>
          <w:rFonts w:ascii="Calibri" w:eastAsia="Calibri" w:hAnsi="Calibri" w:cs="Times New Roman"/>
          <w:sz w:val="24"/>
          <w:szCs w:val="24"/>
        </w:rPr>
      </w:pPr>
    </w:p>
    <w:p w14:paraId="1BF957D4" w14:textId="77777777" w:rsidR="00782640" w:rsidRPr="00782640" w:rsidRDefault="00782640" w:rsidP="00782640">
      <w:pPr>
        <w:numPr>
          <w:ilvl w:val="0"/>
          <w:numId w:val="122"/>
        </w:numPr>
        <w:spacing w:after="0" w:line="240" w:lineRule="auto"/>
        <w:ind w:left="360"/>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Late referral to nephrology services remains a problem for a subgroup of patients and further work is required to understand the barriers to timely referral. </w:t>
      </w:r>
    </w:p>
    <w:p w14:paraId="47AB1C7C" w14:textId="77777777" w:rsidR="00782640" w:rsidRPr="00782640" w:rsidRDefault="00782640" w:rsidP="00782640">
      <w:pPr>
        <w:spacing w:after="0" w:line="240" w:lineRule="auto"/>
        <w:jc w:val="both"/>
        <w:rPr>
          <w:rFonts w:ascii="Calibri" w:eastAsia="Calibri" w:hAnsi="Calibri" w:cs="Times New Roman"/>
          <w:sz w:val="24"/>
          <w:szCs w:val="24"/>
        </w:rPr>
      </w:pPr>
    </w:p>
    <w:p w14:paraId="0A708AEE" w14:textId="77777777" w:rsidR="00782640" w:rsidRPr="00782640" w:rsidRDefault="00782640" w:rsidP="00782640">
      <w:pPr>
        <w:numPr>
          <w:ilvl w:val="0"/>
          <w:numId w:val="122"/>
        </w:numPr>
        <w:spacing w:after="0" w:line="240" w:lineRule="auto"/>
        <w:ind w:left="360"/>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Primary health care teams are crucial partners in CKD early detection and care, and the evidence-base is reasonably well-established. However, there is a distinct lack of structure for management of later stage CKD and transition to ESKD care in regional and remote communities. </w:t>
      </w:r>
    </w:p>
    <w:p w14:paraId="1A8E83B0" w14:textId="77777777" w:rsidR="00782640" w:rsidRPr="00782640" w:rsidRDefault="00782640" w:rsidP="00782640">
      <w:pPr>
        <w:spacing w:after="0" w:line="240" w:lineRule="auto"/>
        <w:jc w:val="both"/>
        <w:rPr>
          <w:rFonts w:ascii="Calibri" w:eastAsia="Calibri" w:hAnsi="Calibri" w:cs="Times New Roman"/>
          <w:sz w:val="24"/>
          <w:szCs w:val="24"/>
        </w:rPr>
      </w:pPr>
    </w:p>
    <w:p w14:paraId="685EA564" w14:textId="77777777" w:rsidR="00782640" w:rsidRPr="00782640" w:rsidRDefault="00782640" w:rsidP="00782640">
      <w:pPr>
        <w:numPr>
          <w:ilvl w:val="0"/>
          <w:numId w:val="122"/>
        </w:numPr>
        <w:spacing w:after="0" w:line="240" w:lineRule="auto"/>
        <w:ind w:left="360"/>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Further research should address the role of primary care and community health organisations in supporting later-stage CKD care for Aboriginal and Torres Strait Islander peoples, including pre-dialysis care, decision-making regarding renal replacement therapy options, dialysis care, pre-transplant referral and workup, and post-transplant care. </w:t>
      </w:r>
    </w:p>
    <w:p w14:paraId="11FBDED9" w14:textId="77777777" w:rsidR="00782640" w:rsidRPr="00782640" w:rsidRDefault="00782640" w:rsidP="00782640">
      <w:pPr>
        <w:spacing w:after="0" w:line="240" w:lineRule="auto"/>
        <w:ind w:left="720"/>
        <w:contextualSpacing/>
        <w:rPr>
          <w:rFonts w:ascii="Calibri" w:eastAsia="Calibri" w:hAnsi="Calibri" w:cs="Times New Roman"/>
          <w:sz w:val="24"/>
          <w:szCs w:val="24"/>
        </w:rPr>
      </w:pPr>
    </w:p>
    <w:p w14:paraId="06A0E56E" w14:textId="77777777" w:rsidR="00782640" w:rsidRPr="00782640" w:rsidRDefault="00782640" w:rsidP="00782640">
      <w:pPr>
        <w:numPr>
          <w:ilvl w:val="0"/>
          <w:numId w:val="122"/>
        </w:numPr>
        <w:spacing w:after="0" w:line="240" w:lineRule="auto"/>
        <w:ind w:left="360"/>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Models of care where community, primary and tertiary renal care services are integrated should be explored.  </w:t>
      </w:r>
    </w:p>
    <w:p w14:paraId="658E6215" w14:textId="77777777" w:rsidR="00782640" w:rsidRPr="00782640" w:rsidRDefault="00782640" w:rsidP="00782640">
      <w:pPr>
        <w:spacing w:after="0" w:line="240" w:lineRule="auto"/>
        <w:ind w:left="720"/>
        <w:contextualSpacing/>
        <w:rPr>
          <w:rFonts w:ascii="Calibri" w:eastAsia="Calibri" w:hAnsi="Calibri" w:cs="Times New Roman"/>
          <w:sz w:val="24"/>
          <w:szCs w:val="24"/>
        </w:rPr>
      </w:pPr>
    </w:p>
    <w:p w14:paraId="2255B784" w14:textId="77777777" w:rsidR="00782640" w:rsidRPr="00782640" w:rsidRDefault="00782640" w:rsidP="00782640">
      <w:pPr>
        <w:numPr>
          <w:ilvl w:val="0"/>
          <w:numId w:val="122"/>
        </w:numPr>
        <w:spacing w:after="0" w:line="240" w:lineRule="auto"/>
        <w:ind w:left="360"/>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There is substantial practice and published evidence about successful models of care in this setting. An overview of Aboriginal renal services in Primary Health Care found that nurse-led services with strong Aboriginal workforce and community ownership were the most successful model (Reilly et al., 2016).  Danila </w:t>
      </w:r>
      <w:proofErr w:type="spellStart"/>
      <w:r w:rsidRPr="00782640">
        <w:rPr>
          <w:rFonts w:ascii="Calibri" w:eastAsia="Calibri" w:hAnsi="Calibri" w:cs="Times New Roman"/>
          <w:sz w:val="24"/>
          <w:szCs w:val="24"/>
        </w:rPr>
        <w:t>Dilba</w:t>
      </w:r>
      <w:proofErr w:type="spellEnd"/>
      <w:r w:rsidRPr="00782640">
        <w:rPr>
          <w:rFonts w:ascii="Calibri" w:eastAsia="Calibri" w:hAnsi="Calibri" w:cs="Times New Roman"/>
          <w:sz w:val="24"/>
          <w:szCs w:val="24"/>
        </w:rPr>
        <w:t xml:space="preserve"> has implemented a successful multidisciplinary renal unit that has been evaluated and shown to significantly delay need for dialysis (Menzies School of Health Research, 2019).  Other services such as Central Australian Aboriginal Congress have also strong programs in this area.  A literature review about these successful models of care in the Northern Territory, and the work in the chronic care area by the South Australian Health and Medical Research Institute (SAHMRI) </w:t>
      </w:r>
      <w:r w:rsidRPr="00782640">
        <w:rPr>
          <w:rFonts w:ascii="Calibri" w:eastAsia="Calibri" w:hAnsi="Calibri" w:cs="Times New Roman"/>
          <w:sz w:val="24"/>
          <w:szCs w:val="24"/>
        </w:rPr>
        <w:lastRenderedPageBreak/>
        <w:t>and Menzies School of Health Research during the past 15 years of collaboration that evaluates models of care in the Indigenous space was recommended.</w:t>
      </w:r>
    </w:p>
    <w:p w14:paraId="4D6E0E68" w14:textId="77777777" w:rsidR="00782640" w:rsidRPr="00782640" w:rsidRDefault="00782640" w:rsidP="00782640">
      <w:pPr>
        <w:spacing w:after="0" w:line="240" w:lineRule="auto"/>
        <w:jc w:val="both"/>
        <w:rPr>
          <w:rFonts w:ascii="Calibri" w:eastAsia="Calibri" w:hAnsi="Calibri" w:cs="Times New Roman"/>
          <w:sz w:val="24"/>
          <w:szCs w:val="24"/>
        </w:rPr>
      </w:pPr>
    </w:p>
    <w:p w14:paraId="122B8240" w14:textId="77777777" w:rsidR="00782640" w:rsidRPr="00782640" w:rsidRDefault="00782640" w:rsidP="00782640">
      <w:pPr>
        <w:numPr>
          <w:ilvl w:val="0"/>
          <w:numId w:val="122"/>
        </w:numPr>
        <w:spacing w:after="0" w:line="240" w:lineRule="auto"/>
        <w:ind w:left="360"/>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Establishing a coping mechanism for transition to dialysis is a real challenge for Indigenous patients and the health professionals engaged in their care.  The evidence-base for spiritual and psychological counselling and addressing the grieving process for the loss of kidney function and transition to ESKD is very limited for Indigenous and non-indigenous cohorts. This is an area where further knowledge is urgently required. </w:t>
      </w:r>
    </w:p>
    <w:p w14:paraId="2A309C41" w14:textId="77777777" w:rsidR="00782640" w:rsidRPr="00782640" w:rsidRDefault="00782640" w:rsidP="00782640">
      <w:pPr>
        <w:spacing w:after="0" w:line="240" w:lineRule="auto"/>
        <w:jc w:val="both"/>
        <w:rPr>
          <w:rFonts w:ascii="Calibri" w:eastAsia="Calibri" w:hAnsi="Calibri" w:cs="Times New Roman"/>
          <w:sz w:val="24"/>
          <w:szCs w:val="24"/>
        </w:rPr>
      </w:pPr>
    </w:p>
    <w:p w14:paraId="25E73CA3" w14:textId="77777777" w:rsidR="00782640" w:rsidRPr="00782640" w:rsidRDefault="00782640" w:rsidP="00782640">
      <w:pPr>
        <w:spacing w:after="0" w:line="240" w:lineRule="auto"/>
        <w:jc w:val="both"/>
        <w:rPr>
          <w:rFonts w:ascii="Calibri" w:eastAsia="Calibri" w:hAnsi="Calibri" w:cs="Times New Roman"/>
          <w:sz w:val="24"/>
          <w:szCs w:val="24"/>
        </w:rPr>
      </w:pPr>
    </w:p>
    <w:p w14:paraId="330DF695" w14:textId="77777777" w:rsidR="00782640" w:rsidRPr="00782640" w:rsidRDefault="00782640" w:rsidP="00782640">
      <w:pPr>
        <w:spacing w:after="0" w:line="240" w:lineRule="auto"/>
        <w:jc w:val="both"/>
        <w:rPr>
          <w:rFonts w:ascii="Calibri" w:eastAsia="Calibri" w:hAnsi="Calibri" w:cs="Times New Roman"/>
          <w:sz w:val="24"/>
          <w:szCs w:val="24"/>
        </w:rPr>
      </w:pPr>
    </w:p>
    <w:p w14:paraId="39B982E7" w14:textId="77777777" w:rsidR="00782640" w:rsidRPr="00EC7110" w:rsidRDefault="00782640" w:rsidP="00782640">
      <w:pPr>
        <w:spacing w:after="0" w:line="240" w:lineRule="auto"/>
        <w:jc w:val="both"/>
        <w:rPr>
          <w:rFonts w:ascii="Adelle Sans ExtraBold" w:eastAsia="Calibri" w:hAnsi="Adelle Sans ExtraBold" w:cs="Times New Roman"/>
          <w:b/>
          <w:bCs/>
          <w:color w:val="C00000"/>
          <w:sz w:val="40"/>
          <w:szCs w:val="40"/>
        </w:rPr>
      </w:pPr>
      <w:r w:rsidRPr="00782640">
        <w:rPr>
          <w:rFonts w:ascii="Calibri" w:eastAsia="Calibri" w:hAnsi="Calibri" w:cs="Times New Roman"/>
          <w:sz w:val="24"/>
          <w:szCs w:val="24"/>
        </w:rPr>
        <w:br w:type="page"/>
      </w:r>
      <w:r w:rsidRPr="00EC7110">
        <w:rPr>
          <w:rFonts w:ascii="Adelle Sans ExtraBold" w:eastAsia="Calibri" w:hAnsi="Adelle Sans ExtraBold" w:cs="Times New Roman"/>
          <w:b/>
          <w:bCs/>
          <w:color w:val="C00000"/>
          <w:sz w:val="40"/>
          <w:szCs w:val="40"/>
        </w:rPr>
        <w:lastRenderedPageBreak/>
        <w:t>H. Suggested Guidelines Scope and Content</w:t>
      </w:r>
    </w:p>
    <w:p w14:paraId="1CDFAA6B" w14:textId="77777777" w:rsidR="00782640" w:rsidRPr="00782640" w:rsidRDefault="00782640" w:rsidP="00782640">
      <w:pPr>
        <w:spacing w:after="0" w:line="240" w:lineRule="auto"/>
        <w:jc w:val="both"/>
        <w:rPr>
          <w:rFonts w:ascii="Calibri" w:eastAsia="Calibri" w:hAnsi="Calibri" w:cs="Times New Roman"/>
          <w:b/>
          <w:i/>
          <w:sz w:val="24"/>
          <w:szCs w:val="24"/>
        </w:rPr>
      </w:pPr>
    </w:p>
    <w:p w14:paraId="4B997DD2" w14:textId="77777777" w:rsidR="00782640" w:rsidRPr="00782640" w:rsidRDefault="00782640" w:rsidP="00782640">
      <w:p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The expert clinician consultation has led to the following recommendations for topics to be included or considered for inclusion in the proposed Guidelines.</w:t>
      </w:r>
    </w:p>
    <w:p w14:paraId="5A7CCEE8" w14:textId="77777777" w:rsidR="00782640" w:rsidRPr="00782640" w:rsidRDefault="00782640" w:rsidP="00782640">
      <w:pPr>
        <w:spacing w:after="0" w:line="240" w:lineRule="auto"/>
        <w:contextualSpacing/>
        <w:jc w:val="both"/>
        <w:rPr>
          <w:rFonts w:ascii="Calibri" w:eastAsia="Calibri" w:hAnsi="Calibri" w:cs="Times New Roman"/>
          <w:sz w:val="24"/>
          <w:szCs w:val="24"/>
        </w:rPr>
      </w:pPr>
    </w:p>
    <w:p w14:paraId="011A9086" w14:textId="77777777" w:rsidR="00782640" w:rsidRPr="00EC7110" w:rsidRDefault="00782640" w:rsidP="00782640">
      <w:pPr>
        <w:spacing w:after="0" w:line="240" w:lineRule="auto"/>
        <w:jc w:val="both"/>
        <w:rPr>
          <w:rFonts w:ascii="Adelle Sans Light" w:eastAsia="Calibri" w:hAnsi="Adelle Sans Light" w:cs="Times New Roman"/>
          <w:color w:val="C00000"/>
          <w:sz w:val="40"/>
          <w:szCs w:val="40"/>
        </w:rPr>
      </w:pPr>
      <w:r w:rsidRPr="00EC7110">
        <w:rPr>
          <w:rFonts w:ascii="Adelle Sans Light" w:eastAsia="Calibri" w:hAnsi="Adelle Sans Light" w:cs="Times New Roman"/>
          <w:color w:val="C00000"/>
          <w:sz w:val="40"/>
          <w:szCs w:val="40"/>
        </w:rPr>
        <w:t>Guidelines to underpin all aspects of CKD Management for Aboriginal and Torres Strait Islander Cohorts:</w:t>
      </w:r>
    </w:p>
    <w:p w14:paraId="732709EB" w14:textId="77777777" w:rsidR="00782640" w:rsidRPr="00782640" w:rsidRDefault="00782640" w:rsidP="00782640">
      <w:pPr>
        <w:spacing w:after="0" w:line="240" w:lineRule="auto"/>
        <w:contextualSpacing/>
        <w:jc w:val="both"/>
        <w:rPr>
          <w:rFonts w:ascii="Calibri" w:eastAsia="Calibri" w:hAnsi="Calibri" w:cs="Times New Roman"/>
          <w:sz w:val="24"/>
          <w:szCs w:val="24"/>
        </w:rPr>
      </w:pPr>
    </w:p>
    <w:p w14:paraId="3BB460C7" w14:textId="77777777" w:rsidR="00782640" w:rsidRPr="00782640" w:rsidRDefault="00782640" w:rsidP="00782640">
      <w:pPr>
        <w:numPr>
          <w:ilvl w:val="0"/>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Strategies for CKD education and support including</w:t>
      </w:r>
    </w:p>
    <w:p w14:paraId="11F18099" w14:textId="77777777" w:rsidR="00782640" w:rsidRPr="00782640" w:rsidRDefault="00782640" w:rsidP="00782640">
      <w:pPr>
        <w:numPr>
          <w:ilvl w:val="1"/>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Patient education strategies</w:t>
      </w:r>
    </w:p>
    <w:p w14:paraId="78DF19F0" w14:textId="77777777" w:rsidR="00782640" w:rsidRPr="00782640" w:rsidRDefault="00782640" w:rsidP="00782640">
      <w:pPr>
        <w:numPr>
          <w:ilvl w:val="1"/>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Community approaches and engagement strategies</w:t>
      </w:r>
    </w:p>
    <w:p w14:paraId="21F2FA69" w14:textId="77777777" w:rsidR="00782640" w:rsidRPr="00782640" w:rsidRDefault="00782640" w:rsidP="00782640">
      <w:pPr>
        <w:numPr>
          <w:ilvl w:val="1"/>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Models of patient support – peer-to-peer support systems</w:t>
      </w:r>
    </w:p>
    <w:p w14:paraId="017D491E" w14:textId="77777777" w:rsidR="00782640" w:rsidRPr="00782640" w:rsidRDefault="00782640" w:rsidP="00782640">
      <w:pPr>
        <w:spacing w:after="0" w:line="240" w:lineRule="auto"/>
        <w:contextualSpacing/>
        <w:jc w:val="both"/>
        <w:rPr>
          <w:rFonts w:ascii="Calibri" w:eastAsia="Calibri" w:hAnsi="Calibri" w:cs="Times New Roman"/>
          <w:sz w:val="24"/>
          <w:szCs w:val="24"/>
        </w:rPr>
      </w:pPr>
    </w:p>
    <w:p w14:paraId="3E6AB580" w14:textId="77777777" w:rsidR="00782640" w:rsidRPr="00782640" w:rsidRDefault="00782640" w:rsidP="00782640">
      <w:pPr>
        <w:numPr>
          <w:ilvl w:val="0"/>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Psycho-social and spiritual support for Aboriginal and Torres Strait Islander living with CKD including Management of grief associated with kidney disease</w:t>
      </w:r>
    </w:p>
    <w:p w14:paraId="1EC1D2C9" w14:textId="77777777" w:rsidR="00782640" w:rsidRPr="00782640" w:rsidRDefault="00782640" w:rsidP="00782640">
      <w:pPr>
        <w:spacing w:after="0" w:line="240" w:lineRule="auto"/>
        <w:contextualSpacing/>
        <w:jc w:val="both"/>
        <w:rPr>
          <w:rFonts w:ascii="Calibri" w:eastAsia="Calibri" w:hAnsi="Calibri" w:cs="Times New Roman"/>
          <w:sz w:val="24"/>
          <w:szCs w:val="24"/>
        </w:rPr>
      </w:pPr>
    </w:p>
    <w:p w14:paraId="0CC01B73" w14:textId="77777777" w:rsidR="00782640" w:rsidRPr="00782640" w:rsidRDefault="00782640" w:rsidP="00782640">
      <w:pPr>
        <w:numPr>
          <w:ilvl w:val="0"/>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Strategies for Health Professional Education and Support of Workforce including </w:t>
      </w:r>
    </w:p>
    <w:p w14:paraId="40E9C79F" w14:textId="77777777" w:rsidR="00782640" w:rsidRPr="00782640" w:rsidRDefault="00782640" w:rsidP="00782640">
      <w:pPr>
        <w:numPr>
          <w:ilvl w:val="1"/>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Promotion of Guidelines and local adaptation</w:t>
      </w:r>
    </w:p>
    <w:p w14:paraId="639BE51E" w14:textId="77777777" w:rsidR="00782640" w:rsidRPr="00782640" w:rsidRDefault="00782640" w:rsidP="00782640">
      <w:pPr>
        <w:numPr>
          <w:ilvl w:val="1"/>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Recommendations for culturally-safe communication with patients  </w:t>
      </w:r>
    </w:p>
    <w:p w14:paraId="6EB19F3D" w14:textId="77777777" w:rsidR="00782640" w:rsidRPr="00782640" w:rsidRDefault="00782640" w:rsidP="00782640">
      <w:pPr>
        <w:numPr>
          <w:ilvl w:val="1"/>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Strategies for workforce training</w:t>
      </w:r>
    </w:p>
    <w:p w14:paraId="2F36E438" w14:textId="77777777" w:rsidR="00782640" w:rsidRPr="00782640" w:rsidRDefault="00782640" w:rsidP="00782640">
      <w:pPr>
        <w:numPr>
          <w:ilvl w:val="1"/>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Strategies for workforce retention</w:t>
      </w:r>
    </w:p>
    <w:p w14:paraId="67DDF1F6" w14:textId="77777777" w:rsidR="00782640" w:rsidRPr="00782640" w:rsidRDefault="00782640" w:rsidP="00782640">
      <w:pPr>
        <w:numPr>
          <w:ilvl w:val="1"/>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Telemedicine in CKD Care</w:t>
      </w:r>
    </w:p>
    <w:p w14:paraId="48985E5B" w14:textId="77777777" w:rsidR="00782640" w:rsidRPr="00782640" w:rsidRDefault="00782640" w:rsidP="00782640">
      <w:pPr>
        <w:spacing w:after="0" w:line="240" w:lineRule="auto"/>
        <w:contextualSpacing/>
        <w:jc w:val="both"/>
        <w:rPr>
          <w:rFonts w:ascii="Calibri" w:eastAsia="Calibri" w:hAnsi="Calibri" w:cs="Times New Roman"/>
          <w:sz w:val="24"/>
          <w:szCs w:val="24"/>
        </w:rPr>
      </w:pPr>
    </w:p>
    <w:p w14:paraId="1868A9CB" w14:textId="77777777" w:rsidR="00782640" w:rsidRPr="00782640" w:rsidRDefault="00782640" w:rsidP="00782640">
      <w:pPr>
        <w:numPr>
          <w:ilvl w:val="0"/>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Models of care for Aboriginal and Torres Strait Islander peoples across all CKD stages </w:t>
      </w:r>
    </w:p>
    <w:p w14:paraId="02469755" w14:textId="77777777" w:rsidR="00782640" w:rsidRPr="00782640" w:rsidRDefault="00782640" w:rsidP="00782640">
      <w:pPr>
        <w:numPr>
          <w:ilvl w:val="1"/>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Integrated models of care</w:t>
      </w:r>
    </w:p>
    <w:p w14:paraId="69284F66" w14:textId="77777777" w:rsidR="00782640" w:rsidRPr="00782640" w:rsidRDefault="00782640" w:rsidP="00782640">
      <w:pPr>
        <w:numPr>
          <w:ilvl w:val="1"/>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Role of primary care services in supporting advanced CKD and ESKD</w:t>
      </w:r>
    </w:p>
    <w:p w14:paraId="4A7AECC0" w14:textId="77777777" w:rsidR="00782640" w:rsidRPr="00782640" w:rsidRDefault="00782640" w:rsidP="00782640">
      <w:pPr>
        <w:numPr>
          <w:ilvl w:val="1"/>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Multidisciplinary care models</w:t>
      </w:r>
    </w:p>
    <w:p w14:paraId="68D9536B" w14:textId="77777777" w:rsidR="00782640" w:rsidRPr="00782640" w:rsidRDefault="00782640" w:rsidP="00782640">
      <w:pPr>
        <w:spacing w:after="0" w:line="240" w:lineRule="auto"/>
        <w:contextualSpacing/>
        <w:jc w:val="both"/>
        <w:rPr>
          <w:rFonts w:ascii="Calibri" w:eastAsia="Calibri" w:hAnsi="Calibri" w:cs="Times New Roman"/>
          <w:sz w:val="24"/>
          <w:szCs w:val="24"/>
        </w:rPr>
      </w:pPr>
    </w:p>
    <w:p w14:paraId="74622F9F" w14:textId="77777777" w:rsidR="00782640" w:rsidRPr="00EC7110" w:rsidRDefault="00782640" w:rsidP="00782640">
      <w:pPr>
        <w:spacing w:after="0" w:line="240" w:lineRule="auto"/>
        <w:jc w:val="both"/>
        <w:rPr>
          <w:rFonts w:ascii="Adelle Sans Light" w:eastAsia="Calibri" w:hAnsi="Adelle Sans Light" w:cs="Times New Roman"/>
          <w:color w:val="C00000"/>
          <w:sz w:val="40"/>
          <w:szCs w:val="40"/>
        </w:rPr>
      </w:pPr>
      <w:r w:rsidRPr="00EC7110">
        <w:rPr>
          <w:rFonts w:ascii="Adelle Sans Light" w:eastAsia="Calibri" w:hAnsi="Adelle Sans Light" w:cs="Times New Roman"/>
          <w:color w:val="C00000"/>
          <w:sz w:val="40"/>
          <w:szCs w:val="40"/>
        </w:rPr>
        <w:t>Guidelines for Specific Aspects of CKD Management</w:t>
      </w:r>
    </w:p>
    <w:p w14:paraId="75C9DB59" w14:textId="77777777" w:rsidR="00782640" w:rsidRPr="00782640" w:rsidRDefault="00782640" w:rsidP="00782640">
      <w:pPr>
        <w:spacing w:after="0" w:line="240" w:lineRule="auto"/>
        <w:contextualSpacing/>
        <w:jc w:val="both"/>
        <w:rPr>
          <w:rFonts w:ascii="Calibri" w:eastAsia="Calibri" w:hAnsi="Calibri" w:cs="Times New Roman"/>
          <w:sz w:val="24"/>
          <w:szCs w:val="24"/>
        </w:rPr>
      </w:pPr>
    </w:p>
    <w:p w14:paraId="5BF0D772" w14:textId="77777777" w:rsidR="00782640" w:rsidRPr="00782640" w:rsidRDefault="00782640" w:rsidP="00782640">
      <w:pPr>
        <w:numPr>
          <w:ilvl w:val="0"/>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Chronic Disease Prevention in Aboriginal and Torres Strait Islander Populations</w:t>
      </w:r>
    </w:p>
    <w:p w14:paraId="418622D4" w14:textId="77777777" w:rsidR="00782640" w:rsidRPr="00782640" w:rsidRDefault="00782640" w:rsidP="00782640">
      <w:pPr>
        <w:numPr>
          <w:ilvl w:val="1"/>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Diet including salt</w:t>
      </w:r>
    </w:p>
    <w:p w14:paraId="51F306DE" w14:textId="77777777" w:rsidR="00782640" w:rsidRPr="00782640" w:rsidRDefault="00782640" w:rsidP="00782640">
      <w:pPr>
        <w:numPr>
          <w:ilvl w:val="1"/>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Smoking</w:t>
      </w:r>
    </w:p>
    <w:p w14:paraId="735B430B" w14:textId="77777777" w:rsidR="00782640" w:rsidRPr="00782640" w:rsidRDefault="00782640" w:rsidP="00782640">
      <w:pPr>
        <w:numPr>
          <w:ilvl w:val="1"/>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Obesity management</w:t>
      </w:r>
    </w:p>
    <w:p w14:paraId="0F27F961" w14:textId="77777777" w:rsidR="00782640" w:rsidRPr="00782640" w:rsidRDefault="00782640" w:rsidP="00782640">
      <w:pPr>
        <w:numPr>
          <w:ilvl w:val="1"/>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Exercise</w:t>
      </w:r>
    </w:p>
    <w:p w14:paraId="0B96C5CC" w14:textId="77777777" w:rsidR="00782640" w:rsidRPr="00782640" w:rsidRDefault="00782640" w:rsidP="00782640">
      <w:pPr>
        <w:numPr>
          <w:ilvl w:val="1"/>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Blood pressure</w:t>
      </w:r>
    </w:p>
    <w:p w14:paraId="322EE87F" w14:textId="77777777" w:rsidR="00782640" w:rsidRPr="00782640" w:rsidRDefault="00782640" w:rsidP="00782640">
      <w:pPr>
        <w:numPr>
          <w:ilvl w:val="1"/>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Other primary prevention measures</w:t>
      </w:r>
    </w:p>
    <w:p w14:paraId="4C9A0B41" w14:textId="77777777" w:rsidR="00782640" w:rsidRPr="00782640" w:rsidRDefault="00782640" w:rsidP="00782640">
      <w:pPr>
        <w:spacing w:after="0" w:line="240" w:lineRule="auto"/>
        <w:contextualSpacing/>
        <w:jc w:val="both"/>
        <w:rPr>
          <w:rFonts w:ascii="Calibri" w:eastAsia="Calibri" w:hAnsi="Calibri" w:cs="Times New Roman"/>
          <w:sz w:val="24"/>
          <w:szCs w:val="24"/>
        </w:rPr>
      </w:pPr>
    </w:p>
    <w:p w14:paraId="4CAEA284" w14:textId="77777777" w:rsidR="00782640" w:rsidRPr="00782640" w:rsidRDefault="00782640" w:rsidP="00782640">
      <w:pPr>
        <w:numPr>
          <w:ilvl w:val="0"/>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Screening for CKD – recommendations in the Aboriginal and Torres Strait Islander cohort</w:t>
      </w:r>
    </w:p>
    <w:p w14:paraId="629D7CFD" w14:textId="77777777" w:rsidR="00782640" w:rsidRPr="00782640" w:rsidRDefault="00782640" w:rsidP="00782640">
      <w:pPr>
        <w:spacing w:after="0" w:line="240" w:lineRule="auto"/>
        <w:contextualSpacing/>
        <w:jc w:val="both"/>
        <w:rPr>
          <w:rFonts w:ascii="Calibri" w:eastAsia="Calibri" w:hAnsi="Calibri" w:cs="Times New Roman"/>
          <w:sz w:val="24"/>
          <w:szCs w:val="24"/>
        </w:rPr>
      </w:pPr>
    </w:p>
    <w:p w14:paraId="4ED0EA59" w14:textId="77777777" w:rsidR="00782640" w:rsidRPr="00782640" w:rsidRDefault="00782640" w:rsidP="00782640">
      <w:pPr>
        <w:numPr>
          <w:ilvl w:val="0"/>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Child and maternal health including the first 1000 days of life – reducing the impact on future CKD risk</w:t>
      </w:r>
    </w:p>
    <w:p w14:paraId="3FBB3C83" w14:textId="77777777" w:rsidR="00782640" w:rsidRPr="00782640" w:rsidRDefault="00782640" w:rsidP="00782640">
      <w:pPr>
        <w:spacing w:after="0" w:line="240" w:lineRule="auto"/>
        <w:contextualSpacing/>
        <w:jc w:val="both"/>
        <w:rPr>
          <w:rFonts w:ascii="Calibri" w:eastAsia="Calibri" w:hAnsi="Calibri" w:cs="Times New Roman"/>
          <w:sz w:val="24"/>
          <w:szCs w:val="24"/>
        </w:rPr>
      </w:pPr>
    </w:p>
    <w:p w14:paraId="0D0D41D0" w14:textId="77777777" w:rsidR="00782640" w:rsidRPr="00782640" w:rsidRDefault="00782640" w:rsidP="00782640">
      <w:pPr>
        <w:numPr>
          <w:ilvl w:val="0"/>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Management of Acute Kidney Injury in Aboriginal and Torres Strait Islander peoples</w:t>
      </w:r>
    </w:p>
    <w:p w14:paraId="50A28255" w14:textId="77777777" w:rsidR="00782640" w:rsidRPr="00782640" w:rsidRDefault="00782640" w:rsidP="00782640">
      <w:pPr>
        <w:numPr>
          <w:ilvl w:val="1"/>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lastRenderedPageBreak/>
        <w:t>Relationship to future CKD risk</w:t>
      </w:r>
    </w:p>
    <w:p w14:paraId="056ED272" w14:textId="77777777" w:rsidR="00782640" w:rsidRPr="00782640" w:rsidRDefault="00782640" w:rsidP="00782640">
      <w:pPr>
        <w:numPr>
          <w:ilvl w:val="1"/>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Recommendations for prevention, management, and follow up</w:t>
      </w:r>
    </w:p>
    <w:p w14:paraId="078C118B" w14:textId="77777777" w:rsidR="00782640" w:rsidRPr="00782640" w:rsidRDefault="00782640" w:rsidP="00782640">
      <w:pPr>
        <w:spacing w:after="0" w:line="240" w:lineRule="auto"/>
        <w:contextualSpacing/>
        <w:jc w:val="both"/>
        <w:rPr>
          <w:rFonts w:ascii="Calibri" w:eastAsia="Calibri" w:hAnsi="Calibri" w:cs="Times New Roman"/>
          <w:sz w:val="24"/>
          <w:szCs w:val="24"/>
        </w:rPr>
      </w:pPr>
    </w:p>
    <w:p w14:paraId="2389C8D4" w14:textId="77777777" w:rsidR="00782640" w:rsidRPr="00782640" w:rsidRDefault="00782640" w:rsidP="00782640">
      <w:pPr>
        <w:numPr>
          <w:ilvl w:val="0"/>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Management of Pre-dialysis CKD stages </w:t>
      </w:r>
    </w:p>
    <w:p w14:paraId="77EA43DB" w14:textId="77777777" w:rsidR="00782640" w:rsidRPr="00782640" w:rsidRDefault="00782640" w:rsidP="00782640">
      <w:pPr>
        <w:numPr>
          <w:ilvl w:val="1"/>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Blood-pressure, lipid and diabetes management (and medical therapies)</w:t>
      </w:r>
    </w:p>
    <w:p w14:paraId="713A1667" w14:textId="77777777" w:rsidR="00782640" w:rsidRPr="00782640" w:rsidRDefault="00782640" w:rsidP="00782640">
      <w:pPr>
        <w:numPr>
          <w:ilvl w:val="1"/>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Strategies for self-management</w:t>
      </w:r>
    </w:p>
    <w:p w14:paraId="5C7A5258" w14:textId="77777777" w:rsidR="00782640" w:rsidRPr="00782640" w:rsidRDefault="00782640" w:rsidP="00782640">
      <w:pPr>
        <w:numPr>
          <w:ilvl w:val="1"/>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Models of care in the community (integrated care with renal services)</w:t>
      </w:r>
    </w:p>
    <w:p w14:paraId="5BB5ED95" w14:textId="77777777" w:rsidR="00782640" w:rsidRPr="00782640" w:rsidRDefault="00782640" w:rsidP="00782640">
      <w:pPr>
        <w:numPr>
          <w:ilvl w:val="1"/>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Referral recommendations</w:t>
      </w:r>
    </w:p>
    <w:p w14:paraId="6D685161" w14:textId="77777777" w:rsidR="00782640" w:rsidRPr="00782640" w:rsidRDefault="00782640" w:rsidP="00782640">
      <w:pPr>
        <w:spacing w:after="0" w:line="240" w:lineRule="auto"/>
        <w:contextualSpacing/>
        <w:jc w:val="both"/>
        <w:rPr>
          <w:rFonts w:ascii="Calibri" w:eastAsia="Calibri" w:hAnsi="Calibri" w:cs="Times New Roman"/>
          <w:sz w:val="24"/>
          <w:szCs w:val="24"/>
        </w:rPr>
      </w:pPr>
    </w:p>
    <w:p w14:paraId="5606F7CA" w14:textId="77777777" w:rsidR="00782640" w:rsidRPr="00782640" w:rsidRDefault="00782640" w:rsidP="00782640">
      <w:pPr>
        <w:numPr>
          <w:ilvl w:val="0"/>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Management of Transition to End-stage CKD care in Aboriginal and Torres Strait Islander people</w:t>
      </w:r>
    </w:p>
    <w:p w14:paraId="645CDC78" w14:textId="77777777" w:rsidR="00782640" w:rsidRPr="00782640" w:rsidRDefault="00782640" w:rsidP="00782640">
      <w:pPr>
        <w:numPr>
          <w:ilvl w:val="1"/>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Psychosocial care and cultural needs</w:t>
      </w:r>
    </w:p>
    <w:p w14:paraId="5982CA7F" w14:textId="77777777" w:rsidR="00782640" w:rsidRPr="00782640" w:rsidRDefault="00782640" w:rsidP="00782640">
      <w:pPr>
        <w:numPr>
          <w:ilvl w:val="1"/>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Culturally appropriate communication, education and engagement of family and community</w:t>
      </w:r>
    </w:p>
    <w:p w14:paraId="099F615A" w14:textId="77777777" w:rsidR="00782640" w:rsidRPr="00782640" w:rsidRDefault="00782640" w:rsidP="00782640">
      <w:pPr>
        <w:numPr>
          <w:ilvl w:val="1"/>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Dialysis Modality – treatment choices</w:t>
      </w:r>
    </w:p>
    <w:p w14:paraId="42666CCC" w14:textId="77777777" w:rsidR="00782640" w:rsidRPr="00782640" w:rsidRDefault="00782640" w:rsidP="00782640">
      <w:pPr>
        <w:numPr>
          <w:ilvl w:val="1"/>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Vascular access – timing, type</w:t>
      </w:r>
    </w:p>
    <w:p w14:paraId="6E68A34D" w14:textId="77777777" w:rsidR="00782640" w:rsidRPr="00782640" w:rsidRDefault="00782640" w:rsidP="00782640">
      <w:pPr>
        <w:spacing w:after="0" w:line="240" w:lineRule="auto"/>
        <w:contextualSpacing/>
        <w:jc w:val="both"/>
        <w:rPr>
          <w:rFonts w:ascii="Calibri" w:eastAsia="Calibri" w:hAnsi="Calibri" w:cs="Times New Roman"/>
          <w:sz w:val="24"/>
          <w:szCs w:val="24"/>
        </w:rPr>
      </w:pPr>
    </w:p>
    <w:p w14:paraId="3F4DAEF8" w14:textId="77777777" w:rsidR="00782640" w:rsidRPr="00782640" w:rsidRDefault="00782640" w:rsidP="00782640">
      <w:pPr>
        <w:numPr>
          <w:ilvl w:val="0"/>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Management of ESKD – Dialysis Care and Transplantation </w:t>
      </w:r>
    </w:p>
    <w:p w14:paraId="223E2C73" w14:textId="77777777" w:rsidR="00782640" w:rsidRPr="00782640" w:rsidRDefault="00782640" w:rsidP="00782640">
      <w:pPr>
        <w:numPr>
          <w:ilvl w:val="1"/>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Remote dialysis models of care</w:t>
      </w:r>
    </w:p>
    <w:p w14:paraId="463BEEC6" w14:textId="77777777" w:rsidR="00782640" w:rsidRPr="00782640" w:rsidRDefault="00782640" w:rsidP="00782640">
      <w:pPr>
        <w:numPr>
          <w:ilvl w:val="1"/>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Management of relocation, separation from community</w:t>
      </w:r>
    </w:p>
    <w:p w14:paraId="04440836" w14:textId="77777777" w:rsidR="00782640" w:rsidRPr="00782640" w:rsidRDefault="00782640" w:rsidP="00782640">
      <w:pPr>
        <w:numPr>
          <w:ilvl w:val="1"/>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Addressing barriers and facilitators of treatment attendance</w:t>
      </w:r>
    </w:p>
    <w:p w14:paraId="40FBB0C5" w14:textId="77777777" w:rsidR="00782640" w:rsidRPr="00782640" w:rsidRDefault="00782640" w:rsidP="00782640">
      <w:pPr>
        <w:numPr>
          <w:ilvl w:val="1"/>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 xml:space="preserve">Referral for transplantation </w:t>
      </w:r>
    </w:p>
    <w:p w14:paraId="12B95567" w14:textId="77777777" w:rsidR="00782640" w:rsidRPr="00782640" w:rsidRDefault="00782640" w:rsidP="00782640">
      <w:pPr>
        <w:numPr>
          <w:ilvl w:val="1"/>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Infection management</w:t>
      </w:r>
    </w:p>
    <w:p w14:paraId="6B0E101B" w14:textId="77777777" w:rsidR="00782640" w:rsidRPr="00782640" w:rsidRDefault="00782640" w:rsidP="00782640">
      <w:pPr>
        <w:spacing w:after="0" w:line="240" w:lineRule="auto"/>
        <w:contextualSpacing/>
        <w:jc w:val="both"/>
        <w:rPr>
          <w:rFonts w:ascii="Calibri" w:eastAsia="Calibri" w:hAnsi="Calibri" w:cs="Times New Roman"/>
          <w:sz w:val="24"/>
          <w:szCs w:val="24"/>
        </w:rPr>
      </w:pPr>
    </w:p>
    <w:p w14:paraId="158CC4C9" w14:textId="77777777" w:rsidR="00782640" w:rsidRPr="00782640" w:rsidRDefault="00782640" w:rsidP="00782640">
      <w:pPr>
        <w:numPr>
          <w:ilvl w:val="0"/>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Management of end-of-life care with ESKD</w:t>
      </w:r>
    </w:p>
    <w:p w14:paraId="546618ED" w14:textId="77777777" w:rsidR="00782640" w:rsidRPr="00782640" w:rsidRDefault="00782640" w:rsidP="00782640">
      <w:pPr>
        <w:numPr>
          <w:ilvl w:val="1"/>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Cultural and community aspects</w:t>
      </w:r>
    </w:p>
    <w:p w14:paraId="6BD727FE" w14:textId="77777777" w:rsidR="00782640" w:rsidRPr="00782640" w:rsidRDefault="00782640" w:rsidP="00782640">
      <w:pPr>
        <w:numPr>
          <w:ilvl w:val="1"/>
          <w:numId w:val="123"/>
        </w:numPr>
        <w:spacing w:after="0" w:line="240" w:lineRule="auto"/>
        <w:contextualSpacing/>
        <w:jc w:val="both"/>
        <w:rPr>
          <w:rFonts w:ascii="Calibri" w:eastAsia="Calibri" w:hAnsi="Calibri" w:cs="Times New Roman"/>
          <w:sz w:val="24"/>
          <w:szCs w:val="24"/>
        </w:rPr>
      </w:pPr>
      <w:r w:rsidRPr="00782640">
        <w:rPr>
          <w:rFonts w:ascii="Calibri" w:eastAsia="Calibri" w:hAnsi="Calibri" w:cs="Times New Roman"/>
          <w:sz w:val="24"/>
          <w:szCs w:val="24"/>
        </w:rPr>
        <w:t>Renal Supportive care</w:t>
      </w:r>
    </w:p>
    <w:p w14:paraId="38262AB1" w14:textId="77777777" w:rsidR="00782640" w:rsidRPr="00782640" w:rsidRDefault="00782640" w:rsidP="00782640">
      <w:pPr>
        <w:spacing w:after="0" w:line="240" w:lineRule="auto"/>
        <w:contextualSpacing/>
        <w:jc w:val="both"/>
        <w:rPr>
          <w:rFonts w:ascii="Calibri" w:eastAsia="Calibri" w:hAnsi="Calibri" w:cs="Times New Roman"/>
          <w:sz w:val="24"/>
          <w:szCs w:val="24"/>
        </w:rPr>
      </w:pPr>
    </w:p>
    <w:p w14:paraId="2B40A60A" w14:textId="77777777" w:rsidR="00782640" w:rsidRPr="00782640" w:rsidRDefault="00782640" w:rsidP="00782640">
      <w:pPr>
        <w:spacing w:after="0" w:line="240" w:lineRule="auto"/>
        <w:contextualSpacing/>
        <w:jc w:val="both"/>
        <w:rPr>
          <w:rFonts w:ascii="Calibri" w:eastAsia="Calibri" w:hAnsi="Calibri" w:cs="Times New Roman"/>
          <w:sz w:val="24"/>
          <w:szCs w:val="24"/>
        </w:rPr>
      </w:pPr>
    </w:p>
    <w:p w14:paraId="6A2E8A06" w14:textId="77777777" w:rsidR="00782640" w:rsidRPr="00782640" w:rsidRDefault="00782640" w:rsidP="00782640">
      <w:pPr>
        <w:spacing w:after="0" w:line="240" w:lineRule="auto"/>
        <w:ind w:left="720"/>
        <w:jc w:val="both"/>
        <w:rPr>
          <w:rFonts w:ascii="Calibri" w:eastAsia="Calibri" w:hAnsi="Calibri" w:cs="Times New Roman"/>
          <w:sz w:val="24"/>
          <w:szCs w:val="24"/>
        </w:rPr>
      </w:pPr>
    </w:p>
    <w:p w14:paraId="1671F175" w14:textId="77777777" w:rsidR="00782640" w:rsidRPr="00782640" w:rsidRDefault="00782640" w:rsidP="00782640">
      <w:pPr>
        <w:spacing w:after="0" w:line="240" w:lineRule="auto"/>
        <w:ind w:left="720"/>
        <w:jc w:val="both"/>
        <w:rPr>
          <w:rFonts w:ascii="Calibri" w:eastAsia="Calibri" w:hAnsi="Calibri" w:cs="Times New Roman"/>
          <w:sz w:val="24"/>
          <w:szCs w:val="24"/>
        </w:rPr>
      </w:pPr>
    </w:p>
    <w:p w14:paraId="2C48D0D9" w14:textId="77777777" w:rsidR="00782640" w:rsidRPr="00782640" w:rsidRDefault="00782640" w:rsidP="00782640">
      <w:pPr>
        <w:spacing w:after="0" w:line="240" w:lineRule="auto"/>
        <w:ind w:left="720"/>
        <w:jc w:val="both"/>
        <w:rPr>
          <w:rFonts w:ascii="Calibri" w:eastAsia="Calibri" w:hAnsi="Calibri" w:cs="Times New Roman"/>
          <w:sz w:val="24"/>
          <w:szCs w:val="24"/>
        </w:rPr>
      </w:pPr>
    </w:p>
    <w:p w14:paraId="0080E948" w14:textId="77777777" w:rsidR="00782640" w:rsidRPr="00782640" w:rsidRDefault="00782640" w:rsidP="00782640">
      <w:pPr>
        <w:spacing w:after="0" w:line="240" w:lineRule="auto"/>
        <w:ind w:left="720"/>
        <w:jc w:val="both"/>
        <w:rPr>
          <w:rFonts w:ascii="Calibri" w:eastAsia="Calibri" w:hAnsi="Calibri" w:cs="Times New Roman"/>
          <w:sz w:val="24"/>
          <w:szCs w:val="24"/>
        </w:rPr>
      </w:pPr>
    </w:p>
    <w:p w14:paraId="6C821777" w14:textId="77777777" w:rsidR="00782640" w:rsidRPr="00782640" w:rsidRDefault="00782640" w:rsidP="00782640">
      <w:pPr>
        <w:spacing w:after="0" w:line="240" w:lineRule="auto"/>
        <w:jc w:val="both"/>
        <w:rPr>
          <w:rFonts w:ascii="Calibri" w:eastAsia="Calibri" w:hAnsi="Calibri" w:cs="Times New Roman"/>
          <w:sz w:val="24"/>
          <w:szCs w:val="24"/>
          <w:u w:val="single"/>
        </w:rPr>
      </w:pPr>
      <w:r w:rsidRPr="00782640">
        <w:rPr>
          <w:rFonts w:ascii="Calibri" w:eastAsia="Calibri" w:hAnsi="Calibri" w:cs="Times New Roman"/>
          <w:sz w:val="24"/>
          <w:szCs w:val="24"/>
          <w:u w:val="single"/>
        </w:rPr>
        <w:br w:type="page"/>
      </w:r>
    </w:p>
    <w:p w14:paraId="55CB25CB" w14:textId="77777777" w:rsidR="00782640" w:rsidRPr="00EC7110" w:rsidRDefault="00782640" w:rsidP="00782640">
      <w:pPr>
        <w:spacing w:after="0" w:line="240" w:lineRule="auto"/>
        <w:rPr>
          <w:rFonts w:ascii="Adelle Sans ExtraBold" w:eastAsia="Calibri" w:hAnsi="Adelle Sans ExtraBold" w:cs="Times New Roman"/>
          <w:b/>
          <w:bCs/>
          <w:color w:val="C00000"/>
          <w:sz w:val="40"/>
          <w:szCs w:val="40"/>
        </w:rPr>
      </w:pPr>
      <w:r w:rsidRPr="00EC7110">
        <w:rPr>
          <w:rFonts w:ascii="Adelle Sans ExtraBold" w:eastAsia="Calibri" w:hAnsi="Adelle Sans ExtraBold" w:cs="Times New Roman"/>
          <w:b/>
          <w:bCs/>
          <w:color w:val="C00000"/>
          <w:sz w:val="40"/>
          <w:szCs w:val="40"/>
        </w:rPr>
        <w:lastRenderedPageBreak/>
        <w:t>Appendix A</w:t>
      </w:r>
    </w:p>
    <w:p w14:paraId="6D75C1F9" w14:textId="77777777" w:rsidR="00782640" w:rsidRPr="00782640" w:rsidRDefault="00782640" w:rsidP="00782640">
      <w:pPr>
        <w:spacing w:after="0" w:line="240" w:lineRule="auto"/>
        <w:rPr>
          <w:rFonts w:ascii="Calibri" w:eastAsia="Calibri" w:hAnsi="Calibri" w:cs="Times New Roman"/>
          <w:sz w:val="24"/>
          <w:szCs w:val="24"/>
        </w:rPr>
      </w:pPr>
      <w:r w:rsidRPr="00782640">
        <w:rPr>
          <w:rFonts w:ascii="Calibri" w:eastAsia="Calibri" w:hAnsi="Calibri" w:cs="Times New Roman"/>
          <w:sz w:val="24"/>
          <w:szCs w:val="24"/>
        </w:rPr>
        <w:t>(Reproduction with permissions from RSA Journal)</w:t>
      </w:r>
    </w:p>
    <w:p w14:paraId="599F5681" w14:textId="77777777" w:rsidR="00782640" w:rsidRPr="00782640" w:rsidRDefault="00782640" w:rsidP="00782640">
      <w:pPr>
        <w:tabs>
          <w:tab w:val="left" w:pos="975"/>
        </w:tabs>
        <w:spacing w:after="0" w:line="240" w:lineRule="auto"/>
        <w:jc w:val="both"/>
        <w:rPr>
          <w:rFonts w:ascii="Calibri" w:eastAsia="Calibri" w:hAnsi="Calibri" w:cs="Times New Roman"/>
          <w:sz w:val="24"/>
          <w:szCs w:val="24"/>
        </w:rPr>
      </w:pPr>
      <w:r w:rsidRPr="00782640">
        <w:rPr>
          <w:rFonts w:ascii="Calibri" w:eastAsia="Calibri" w:hAnsi="Calibri" w:cs="Times New Roman"/>
          <w:noProof/>
          <w:sz w:val="24"/>
          <w:szCs w:val="24"/>
          <w:lang w:eastAsia="en-AU"/>
        </w:rPr>
        <w:drawing>
          <wp:inline distT="0" distB="0" distL="0" distR="0" wp14:anchorId="6652062A" wp14:editId="3286F248">
            <wp:extent cx="5476875" cy="8134350"/>
            <wp:effectExtent l="0" t="0" r="9525" b="0"/>
            <wp:docPr id="267" name="Picture 267" descr="Picture of front page of journal article 'A partnership approach to engage Aboriginal and Torres Strait Islander peoples with clinical guideline development for chronic kidney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476875" cy="8134350"/>
                    </a:xfrm>
                    <a:prstGeom prst="rect">
                      <a:avLst/>
                    </a:prstGeom>
                  </pic:spPr>
                </pic:pic>
              </a:graphicData>
            </a:graphic>
          </wp:inline>
        </w:drawing>
      </w:r>
    </w:p>
    <w:p w14:paraId="50C6862D" w14:textId="77777777" w:rsidR="00782640" w:rsidRPr="00782640" w:rsidRDefault="00782640" w:rsidP="00782640">
      <w:pPr>
        <w:tabs>
          <w:tab w:val="left" w:pos="975"/>
        </w:tabs>
        <w:spacing w:after="0" w:line="240" w:lineRule="auto"/>
        <w:jc w:val="both"/>
        <w:rPr>
          <w:rFonts w:ascii="Calibri" w:eastAsia="Calibri" w:hAnsi="Calibri" w:cs="Times New Roman"/>
          <w:sz w:val="24"/>
          <w:szCs w:val="24"/>
        </w:rPr>
      </w:pPr>
    </w:p>
    <w:p w14:paraId="6B165B17" w14:textId="77777777" w:rsidR="00782640" w:rsidRPr="00782640" w:rsidRDefault="00782640" w:rsidP="00782640">
      <w:pPr>
        <w:tabs>
          <w:tab w:val="left" w:pos="975"/>
        </w:tabs>
        <w:spacing w:after="0" w:line="240" w:lineRule="auto"/>
        <w:jc w:val="both"/>
        <w:rPr>
          <w:rFonts w:ascii="Calibri" w:eastAsia="Calibri" w:hAnsi="Calibri" w:cs="Times New Roman"/>
          <w:sz w:val="24"/>
          <w:szCs w:val="24"/>
        </w:rPr>
      </w:pPr>
      <w:r w:rsidRPr="00782640">
        <w:rPr>
          <w:rFonts w:ascii="Calibri" w:eastAsia="Calibri" w:hAnsi="Calibri" w:cs="Times New Roman"/>
          <w:noProof/>
          <w:sz w:val="24"/>
          <w:szCs w:val="24"/>
          <w:lang w:eastAsia="en-AU"/>
        </w:rPr>
        <w:lastRenderedPageBreak/>
        <w:drawing>
          <wp:inline distT="0" distB="0" distL="0" distR="0" wp14:anchorId="2979DF2F" wp14:editId="15C9A18D">
            <wp:extent cx="5419725" cy="8305800"/>
            <wp:effectExtent l="0" t="0" r="9525" b="0"/>
            <wp:docPr id="268" name="Picture 268" descr="Continuation of journal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419725" cy="8305800"/>
                    </a:xfrm>
                    <a:prstGeom prst="rect">
                      <a:avLst/>
                    </a:prstGeom>
                  </pic:spPr>
                </pic:pic>
              </a:graphicData>
            </a:graphic>
          </wp:inline>
        </w:drawing>
      </w:r>
    </w:p>
    <w:p w14:paraId="53B16D07" w14:textId="77777777" w:rsidR="00782640" w:rsidRPr="00782640" w:rsidRDefault="00782640" w:rsidP="00782640">
      <w:pPr>
        <w:tabs>
          <w:tab w:val="left" w:pos="975"/>
        </w:tabs>
        <w:spacing w:after="0" w:line="240" w:lineRule="auto"/>
        <w:jc w:val="both"/>
        <w:rPr>
          <w:rFonts w:ascii="Calibri" w:eastAsia="Calibri" w:hAnsi="Calibri" w:cs="Times New Roman"/>
          <w:sz w:val="24"/>
          <w:szCs w:val="24"/>
        </w:rPr>
      </w:pPr>
    </w:p>
    <w:p w14:paraId="58B08021" w14:textId="77777777" w:rsidR="00782640" w:rsidRPr="00782640" w:rsidRDefault="00782640" w:rsidP="00782640">
      <w:pPr>
        <w:tabs>
          <w:tab w:val="left" w:pos="975"/>
        </w:tabs>
        <w:spacing w:after="0" w:line="240" w:lineRule="auto"/>
        <w:jc w:val="both"/>
        <w:rPr>
          <w:rFonts w:ascii="Calibri" w:eastAsia="Calibri" w:hAnsi="Calibri" w:cs="Times New Roman"/>
          <w:sz w:val="24"/>
          <w:szCs w:val="24"/>
        </w:rPr>
      </w:pPr>
    </w:p>
    <w:p w14:paraId="063062FC" w14:textId="77777777" w:rsidR="00782640" w:rsidRPr="00782640" w:rsidRDefault="00782640" w:rsidP="00782640">
      <w:pPr>
        <w:tabs>
          <w:tab w:val="left" w:pos="975"/>
        </w:tabs>
        <w:spacing w:after="0" w:line="240" w:lineRule="auto"/>
        <w:jc w:val="both"/>
        <w:rPr>
          <w:rFonts w:ascii="Calibri" w:eastAsia="Calibri" w:hAnsi="Calibri" w:cs="Times New Roman"/>
          <w:sz w:val="24"/>
          <w:szCs w:val="24"/>
        </w:rPr>
      </w:pPr>
    </w:p>
    <w:p w14:paraId="09520DBB" w14:textId="77777777" w:rsidR="00782640" w:rsidRPr="00782640" w:rsidRDefault="00782640" w:rsidP="00782640">
      <w:pPr>
        <w:tabs>
          <w:tab w:val="left" w:pos="975"/>
        </w:tabs>
        <w:spacing w:after="0" w:line="240" w:lineRule="auto"/>
        <w:jc w:val="both"/>
        <w:rPr>
          <w:rFonts w:ascii="Calibri" w:eastAsia="Calibri" w:hAnsi="Calibri" w:cs="Times New Roman"/>
          <w:sz w:val="24"/>
          <w:szCs w:val="24"/>
        </w:rPr>
      </w:pPr>
      <w:r w:rsidRPr="00782640">
        <w:rPr>
          <w:rFonts w:ascii="Calibri" w:eastAsia="Calibri" w:hAnsi="Calibri" w:cs="Times New Roman"/>
          <w:noProof/>
          <w:sz w:val="24"/>
          <w:szCs w:val="24"/>
          <w:lang w:eastAsia="en-AU"/>
        </w:rPr>
        <w:lastRenderedPageBreak/>
        <w:drawing>
          <wp:inline distT="0" distB="0" distL="0" distR="0" wp14:anchorId="4E27E99D" wp14:editId="43991231">
            <wp:extent cx="5514975" cy="8334375"/>
            <wp:effectExtent l="0" t="0" r="9525" b="9525"/>
            <wp:docPr id="269" name="Picture 269" descr="Continuation of journal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514975" cy="8334375"/>
                    </a:xfrm>
                    <a:prstGeom prst="rect">
                      <a:avLst/>
                    </a:prstGeom>
                  </pic:spPr>
                </pic:pic>
              </a:graphicData>
            </a:graphic>
          </wp:inline>
        </w:drawing>
      </w:r>
    </w:p>
    <w:p w14:paraId="2BE56A8B" w14:textId="77777777" w:rsidR="00782640" w:rsidRPr="00782640" w:rsidRDefault="00782640" w:rsidP="00782640">
      <w:pPr>
        <w:tabs>
          <w:tab w:val="left" w:pos="975"/>
        </w:tabs>
        <w:spacing w:after="0" w:line="240" w:lineRule="auto"/>
        <w:jc w:val="both"/>
        <w:rPr>
          <w:rFonts w:ascii="Calibri" w:eastAsia="Calibri" w:hAnsi="Calibri" w:cs="Times New Roman"/>
          <w:sz w:val="24"/>
          <w:szCs w:val="24"/>
        </w:rPr>
      </w:pPr>
    </w:p>
    <w:p w14:paraId="1B352566" w14:textId="77777777" w:rsidR="00782640" w:rsidRPr="00782640" w:rsidRDefault="00782640" w:rsidP="00782640">
      <w:pPr>
        <w:tabs>
          <w:tab w:val="left" w:pos="975"/>
        </w:tabs>
        <w:spacing w:after="0" w:line="240" w:lineRule="auto"/>
        <w:jc w:val="both"/>
        <w:rPr>
          <w:rFonts w:ascii="Calibri" w:eastAsia="Calibri" w:hAnsi="Calibri" w:cs="Times New Roman"/>
          <w:sz w:val="24"/>
          <w:szCs w:val="24"/>
        </w:rPr>
      </w:pPr>
    </w:p>
    <w:p w14:paraId="60E877CB" w14:textId="77777777" w:rsidR="00782640" w:rsidRPr="00782640" w:rsidRDefault="00782640" w:rsidP="00782640">
      <w:pPr>
        <w:tabs>
          <w:tab w:val="left" w:pos="975"/>
        </w:tabs>
        <w:spacing w:after="0" w:line="240" w:lineRule="auto"/>
        <w:jc w:val="both"/>
        <w:rPr>
          <w:rFonts w:ascii="Calibri" w:eastAsia="Calibri" w:hAnsi="Calibri" w:cs="Times New Roman"/>
          <w:sz w:val="24"/>
          <w:szCs w:val="24"/>
        </w:rPr>
      </w:pPr>
      <w:r w:rsidRPr="00782640">
        <w:rPr>
          <w:rFonts w:ascii="Calibri" w:eastAsia="Calibri" w:hAnsi="Calibri" w:cs="Times New Roman"/>
          <w:noProof/>
          <w:sz w:val="24"/>
          <w:szCs w:val="24"/>
          <w:lang w:eastAsia="en-AU"/>
        </w:rPr>
        <w:lastRenderedPageBreak/>
        <w:drawing>
          <wp:inline distT="0" distB="0" distL="0" distR="0" wp14:anchorId="0A19E760" wp14:editId="37DBB3E6">
            <wp:extent cx="5534025" cy="8296275"/>
            <wp:effectExtent l="0" t="0" r="9525" b="9525"/>
            <wp:docPr id="270" name="Picture 270" descr="Continuation of journal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534025" cy="8296275"/>
                    </a:xfrm>
                    <a:prstGeom prst="rect">
                      <a:avLst/>
                    </a:prstGeom>
                  </pic:spPr>
                </pic:pic>
              </a:graphicData>
            </a:graphic>
          </wp:inline>
        </w:drawing>
      </w:r>
    </w:p>
    <w:p w14:paraId="51489A5C" w14:textId="77777777" w:rsidR="00782640" w:rsidRPr="00782640" w:rsidRDefault="00782640" w:rsidP="00782640">
      <w:pPr>
        <w:tabs>
          <w:tab w:val="left" w:pos="975"/>
        </w:tabs>
        <w:spacing w:after="0" w:line="240" w:lineRule="auto"/>
        <w:jc w:val="both"/>
        <w:rPr>
          <w:rFonts w:ascii="Calibri" w:eastAsia="Calibri" w:hAnsi="Calibri" w:cs="Times New Roman"/>
          <w:sz w:val="24"/>
          <w:szCs w:val="24"/>
        </w:rPr>
      </w:pPr>
    </w:p>
    <w:p w14:paraId="69569FAC" w14:textId="77777777" w:rsidR="00782640" w:rsidRPr="00782640" w:rsidRDefault="00782640" w:rsidP="00782640">
      <w:pPr>
        <w:tabs>
          <w:tab w:val="left" w:pos="975"/>
        </w:tabs>
        <w:spacing w:after="0" w:line="240" w:lineRule="auto"/>
        <w:jc w:val="both"/>
        <w:rPr>
          <w:rFonts w:ascii="Calibri" w:eastAsia="Calibri" w:hAnsi="Calibri" w:cs="Times New Roman"/>
          <w:sz w:val="24"/>
          <w:szCs w:val="24"/>
        </w:rPr>
      </w:pPr>
    </w:p>
    <w:p w14:paraId="3B388B09" w14:textId="77777777" w:rsidR="00782640" w:rsidRPr="00782640" w:rsidRDefault="00782640" w:rsidP="00782640">
      <w:pPr>
        <w:tabs>
          <w:tab w:val="left" w:pos="975"/>
        </w:tabs>
        <w:spacing w:after="0" w:line="240" w:lineRule="auto"/>
        <w:jc w:val="both"/>
        <w:rPr>
          <w:rFonts w:ascii="Calibri" w:eastAsia="Calibri" w:hAnsi="Calibri" w:cs="Times New Roman"/>
          <w:sz w:val="24"/>
          <w:szCs w:val="24"/>
        </w:rPr>
      </w:pPr>
    </w:p>
    <w:p w14:paraId="033AB449" w14:textId="77777777" w:rsidR="00782640" w:rsidRPr="00782640" w:rsidRDefault="00782640" w:rsidP="00782640">
      <w:pPr>
        <w:tabs>
          <w:tab w:val="left" w:pos="975"/>
        </w:tabs>
        <w:spacing w:after="0" w:line="240" w:lineRule="auto"/>
        <w:jc w:val="both"/>
        <w:rPr>
          <w:rFonts w:ascii="Calibri" w:eastAsia="Calibri" w:hAnsi="Calibri" w:cs="Times New Roman"/>
          <w:sz w:val="24"/>
          <w:szCs w:val="24"/>
        </w:rPr>
      </w:pPr>
      <w:r w:rsidRPr="00782640">
        <w:rPr>
          <w:rFonts w:ascii="Calibri" w:eastAsia="Calibri" w:hAnsi="Calibri" w:cs="Times New Roman"/>
          <w:noProof/>
          <w:sz w:val="24"/>
          <w:szCs w:val="24"/>
          <w:lang w:eastAsia="en-AU"/>
        </w:rPr>
        <w:lastRenderedPageBreak/>
        <w:drawing>
          <wp:inline distT="0" distB="0" distL="0" distR="0" wp14:anchorId="62BD0CD8" wp14:editId="3803B165">
            <wp:extent cx="5572125" cy="8324850"/>
            <wp:effectExtent l="0" t="0" r="9525" b="0"/>
            <wp:docPr id="271" name="Picture 271" descr="Continuation of journal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572125" cy="8324850"/>
                    </a:xfrm>
                    <a:prstGeom prst="rect">
                      <a:avLst/>
                    </a:prstGeom>
                  </pic:spPr>
                </pic:pic>
              </a:graphicData>
            </a:graphic>
          </wp:inline>
        </w:drawing>
      </w:r>
    </w:p>
    <w:p w14:paraId="7E230A17" w14:textId="77777777" w:rsidR="00782640" w:rsidRPr="00782640" w:rsidRDefault="00782640" w:rsidP="00782640">
      <w:pPr>
        <w:tabs>
          <w:tab w:val="left" w:pos="975"/>
        </w:tabs>
        <w:spacing w:after="0" w:line="240" w:lineRule="auto"/>
        <w:jc w:val="both"/>
        <w:rPr>
          <w:rFonts w:ascii="Calibri" w:eastAsia="Calibri" w:hAnsi="Calibri" w:cs="Times New Roman"/>
          <w:sz w:val="24"/>
          <w:szCs w:val="24"/>
        </w:rPr>
      </w:pPr>
    </w:p>
    <w:p w14:paraId="21470FB1" w14:textId="77777777" w:rsidR="00782640" w:rsidRPr="00782640" w:rsidRDefault="00782640" w:rsidP="00782640">
      <w:pPr>
        <w:tabs>
          <w:tab w:val="left" w:pos="975"/>
        </w:tabs>
        <w:spacing w:after="0" w:line="240" w:lineRule="auto"/>
        <w:jc w:val="both"/>
        <w:rPr>
          <w:rFonts w:ascii="Calibri" w:eastAsia="Calibri" w:hAnsi="Calibri" w:cs="Times New Roman"/>
          <w:sz w:val="24"/>
          <w:szCs w:val="24"/>
        </w:rPr>
      </w:pPr>
    </w:p>
    <w:p w14:paraId="3E31C31B" w14:textId="77777777" w:rsidR="00782640" w:rsidRPr="00EC7110" w:rsidRDefault="00782640" w:rsidP="00782640">
      <w:pPr>
        <w:spacing w:after="0" w:line="240" w:lineRule="auto"/>
        <w:rPr>
          <w:rFonts w:ascii="Adelle Sans ExtraBold" w:eastAsia="Calibri" w:hAnsi="Adelle Sans ExtraBold" w:cs="Times New Roman"/>
          <w:b/>
          <w:bCs/>
          <w:color w:val="C00000"/>
          <w:sz w:val="40"/>
          <w:szCs w:val="40"/>
        </w:rPr>
      </w:pPr>
      <w:r w:rsidRPr="00EC7110">
        <w:rPr>
          <w:rFonts w:ascii="Adelle Sans ExtraBold" w:eastAsia="Calibri" w:hAnsi="Adelle Sans ExtraBold" w:cs="Times New Roman"/>
          <w:b/>
          <w:bCs/>
          <w:color w:val="C00000"/>
          <w:sz w:val="40"/>
          <w:szCs w:val="40"/>
        </w:rPr>
        <w:lastRenderedPageBreak/>
        <w:t>Appendix B</w:t>
      </w:r>
    </w:p>
    <w:p w14:paraId="1616B96E" w14:textId="77777777" w:rsidR="00782640" w:rsidRPr="00782640" w:rsidRDefault="00782640" w:rsidP="00782640">
      <w:pPr>
        <w:spacing w:after="0" w:line="240" w:lineRule="auto"/>
        <w:jc w:val="both"/>
        <w:rPr>
          <w:rFonts w:ascii="Calibri" w:eastAsia="Calibri" w:hAnsi="Calibri" w:cs="Times New Roman"/>
          <w:b/>
          <w:sz w:val="24"/>
          <w:szCs w:val="24"/>
        </w:rPr>
      </w:pPr>
    </w:p>
    <w:p w14:paraId="00D4638B" w14:textId="77777777" w:rsidR="00782640" w:rsidRPr="00782640" w:rsidRDefault="00782640" w:rsidP="00782640">
      <w:pPr>
        <w:spacing w:after="0" w:line="240" w:lineRule="auto"/>
        <w:jc w:val="center"/>
        <w:rPr>
          <w:rFonts w:ascii="Calibri" w:eastAsia="Calibri" w:hAnsi="Calibri" w:cs="Times New Roman"/>
          <w:b/>
          <w:sz w:val="24"/>
          <w:szCs w:val="28"/>
        </w:rPr>
      </w:pPr>
      <w:r w:rsidRPr="00782640">
        <w:rPr>
          <w:rFonts w:ascii="Calibri" w:eastAsia="Calibri" w:hAnsi="Calibri" w:cs="Times New Roman"/>
          <w:b/>
          <w:sz w:val="24"/>
          <w:szCs w:val="28"/>
        </w:rPr>
        <w:t>Contributing Health Professionals</w:t>
      </w:r>
    </w:p>
    <w:p w14:paraId="6EFB6FE9" w14:textId="77777777" w:rsidR="00782640" w:rsidRPr="00782640" w:rsidRDefault="00782640" w:rsidP="00782640">
      <w:pPr>
        <w:spacing w:after="0" w:line="240" w:lineRule="auto"/>
        <w:jc w:val="center"/>
        <w:rPr>
          <w:rFonts w:ascii="Calibri" w:eastAsia="Calibri" w:hAnsi="Calibri" w:cs="Times New Roman"/>
          <w:sz w:val="24"/>
          <w:szCs w:val="24"/>
        </w:rPr>
      </w:pPr>
    </w:p>
    <w:tbl>
      <w:tblPr>
        <w:tblStyle w:val="TableGrid3"/>
        <w:tblW w:w="10193" w:type="dxa"/>
        <w:tblInd w:w="-275" w:type="dxa"/>
        <w:tblLayout w:type="fixed"/>
        <w:tblLook w:val="04A0" w:firstRow="1" w:lastRow="0" w:firstColumn="1" w:lastColumn="0" w:noHBand="0" w:noVBand="1"/>
      </w:tblPr>
      <w:tblGrid>
        <w:gridCol w:w="2397"/>
        <w:gridCol w:w="5953"/>
        <w:gridCol w:w="1843"/>
      </w:tblGrid>
      <w:tr w:rsidR="00782640" w:rsidRPr="00782640" w14:paraId="2FB62ADE" w14:textId="77777777" w:rsidTr="00782640">
        <w:tc>
          <w:tcPr>
            <w:tcW w:w="2397" w:type="dxa"/>
            <w:shd w:val="clear" w:color="auto" w:fill="F7CAAC"/>
          </w:tcPr>
          <w:p w14:paraId="3F012220" w14:textId="77777777" w:rsidR="00782640" w:rsidRPr="00782640" w:rsidRDefault="00782640" w:rsidP="00782640">
            <w:pPr>
              <w:jc w:val="center"/>
              <w:rPr>
                <w:rFonts w:ascii="Calibri" w:eastAsia="Calibri" w:hAnsi="Calibri" w:cs="Times New Roman"/>
                <w:b/>
                <w:sz w:val="24"/>
              </w:rPr>
            </w:pPr>
            <w:r w:rsidRPr="00782640">
              <w:rPr>
                <w:rFonts w:ascii="Calibri" w:eastAsia="Calibri" w:hAnsi="Calibri" w:cs="Times New Roman"/>
                <w:b/>
                <w:sz w:val="24"/>
              </w:rPr>
              <w:t>Name</w:t>
            </w:r>
          </w:p>
        </w:tc>
        <w:tc>
          <w:tcPr>
            <w:tcW w:w="5953" w:type="dxa"/>
            <w:shd w:val="clear" w:color="auto" w:fill="F7CAAC"/>
          </w:tcPr>
          <w:p w14:paraId="2986FAF8" w14:textId="77777777" w:rsidR="00782640" w:rsidRPr="00782640" w:rsidRDefault="00782640" w:rsidP="00782640">
            <w:pPr>
              <w:jc w:val="center"/>
              <w:rPr>
                <w:rFonts w:ascii="Calibri" w:eastAsia="Calibri" w:hAnsi="Calibri" w:cs="Times New Roman"/>
                <w:b/>
                <w:sz w:val="24"/>
              </w:rPr>
            </w:pPr>
            <w:r w:rsidRPr="00782640">
              <w:rPr>
                <w:rFonts w:ascii="Calibri" w:eastAsia="Calibri" w:hAnsi="Calibri" w:cs="Times New Roman"/>
                <w:b/>
                <w:sz w:val="24"/>
              </w:rPr>
              <w:t>Role, organisation</w:t>
            </w:r>
          </w:p>
        </w:tc>
        <w:tc>
          <w:tcPr>
            <w:tcW w:w="1843" w:type="dxa"/>
            <w:shd w:val="clear" w:color="auto" w:fill="F7CAAC"/>
          </w:tcPr>
          <w:p w14:paraId="3A56D1AA" w14:textId="77777777" w:rsidR="00782640" w:rsidRPr="00782640" w:rsidRDefault="00782640" w:rsidP="00782640">
            <w:pPr>
              <w:jc w:val="center"/>
              <w:rPr>
                <w:rFonts w:ascii="Calibri" w:eastAsia="Calibri" w:hAnsi="Calibri" w:cs="Times New Roman"/>
                <w:b/>
                <w:sz w:val="24"/>
              </w:rPr>
            </w:pPr>
            <w:r w:rsidRPr="00782640">
              <w:rPr>
                <w:rFonts w:ascii="Calibri" w:eastAsia="Calibri" w:hAnsi="Calibri" w:cs="Times New Roman"/>
                <w:b/>
                <w:sz w:val="24"/>
              </w:rPr>
              <w:t>State/Territory</w:t>
            </w:r>
          </w:p>
        </w:tc>
      </w:tr>
      <w:tr w:rsidR="00782640" w:rsidRPr="00782640" w14:paraId="1D8B8179" w14:textId="77777777" w:rsidTr="00A41391">
        <w:tc>
          <w:tcPr>
            <w:tcW w:w="2397" w:type="dxa"/>
          </w:tcPr>
          <w:p w14:paraId="7A9764C1"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Dr William Majoni</w:t>
            </w:r>
          </w:p>
        </w:tc>
        <w:tc>
          <w:tcPr>
            <w:tcW w:w="5953" w:type="dxa"/>
          </w:tcPr>
          <w:p w14:paraId="1D0145B6"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Senior Consultant Nephrologist &amp; Clinical Lead, Renal Unit, Royal Darwin Hospital</w:t>
            </w:r>
          </w:p>
        </w:tc>
        <w:tc>
          <w:tcPr>
            <w:tcW w:w="1843" w:type="dxa"/>
          </w:tcPr>
          <w:p w14:paraId="54DC2BDC"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NT</w:t>
            </w:r>
          </w:p>
        </w:tc>
      </w:tr>
      <w:tr w:rsidR="00782640" w:rsidRPr="00782640" w14:paraId="61856E42" w14:textId="77777777" w:rsidTr="00A41391">
        <w:tc>
          <w:tcPr>
            <w:tcW w:w="2397" w:type="dxa"/>
          </w:tcPr>
          <w:p w14:paraId="0BF2BDAD"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Ms Heather Hall</w:t>
            </w:r>
          </w:p>
        </w:tc>
        <w:tc>
          <w:tcPr>
            <w:tcW w:w="5953" w:type="dxa"/>
          </w:tcPr>
          <w:p w14:paraId="7A634A98"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 xml:space="preserve">Renal Project Manager, Western Desert </w:t>
            </w:r>
            <w:proofErr w:type="spellStart"/>
            <w:r w:rsidRPr="00782640">
              <w:rPr>
                <w:rFonts w:ascii="Calibri" w:eastAsia="Calibri" w:hAnsi="Calibri" w:cs="Times New Roman"/>
                <w:sz w:val="24"/>
              </w:rPr>
              <w:t>Nganampa</w:t>
            </w:r>
            <w:proofErr w:type="spellEnd"/>
            <w:r w:rsidRPr="00782640">
              <w:rPr>
                <w:rFonts w:ascii="Calibri" w:eastAsia="Calibri" w:hAnsi="Calibri" w:cs="Times New Roman"/>
                <w:sz w:val="24"/>
              </w:rPr>
              <w:t xml:space="preserve"> </w:t>
            </w:r>
            <w:proofErr w:type="spellStart"/>
            <w:r w:rsidRPr="00782640">
              <w:rPr>
                <w:rFonts w:ascii="Calibri" w:eastAsia="Calibri" w:hAnsi="Calibri" w:cs="Times New Roman"/>
                <w:sz w:val="24"/>
              </w:rPr>
              <w:t>Walytja</w:t>
            </w:r>
            <w:proofErr w:type="spellEnd"/>
            <w:r w:rsidRPr="00782640">
              <w:rPr>
                <w:rFonts w:ascii="Calibri" w:eastAsia="Calibri" w:hAnsi="Calibri" w:cs="Times New Roman"/>
                <w:sz w:val="24"/>
              </w:rPr>
              <w:t xml:space="preserve"> </w:t>
            </w:r>
            <w:proofErr w:type="spellStart"/>
            <w:r w:rsidRPr="00782640">
              <w:rPr>
                <w:rFonts w:ascii="Calibri" w:eastAsia="Calibri" w:hAnsi="Calibri" w:cs="Times New Roman"/>
                <w:sz w:val="24"/>
              </w:rPr>
              <w:t>Palyantjaku</w:t>
            </w:r>
            <w:proofErr w:type="spellEnd"/>
            <w:r w:rsidRPr="00782640">
              <w:rPr>
                <w:rFonts w:ascii="Calibri" w:eastAsia="Calibri" w:hAnsi="Calibri" w:cs="Times New Roman"/>
                <w:sz w:val="24"/>
              </w:rPr>
              <w:t xml:space="preserve"> </w:t>
            </w:r>
            <w:proofErr w:type="spellStart"/>
            <w:r w:rsidRPr="00782640">
              <w:rPr>
                <w:rFonts w:ascii="Calibri" w:eastAsia="Calibri" w:hAnsi="Calibri" w:cs="Times New Roman"/>
                <w:sz w:val="24"/>
              </w:rPr>
              <w:t>Tjutaku</w:t>
            </w:r>
            <w:proofErr w:type="spellEnd"/>
            <w:r w:rsidRPr="00782640">
              <w:rPr>
                <w:rFonts w:ascii="Calibri" w:eastAsia="Calibri" w:hAnsi="Calibri" w:cs="Times New Roman"/>
                <w:sz w:val="24"/>
              </w:rPr>
              <w:t xml:space="preserve"> Aboriginal Corporation (aka Purple House)</w:t>
            </w:r>
          </w:p>
        </w:tc>
        <w:tc>
          <w:tcPr>
            <w:tcW w:w="1843" w:type="dxa"/>
          </w:tcPr>
          <w:p w14:paraId="4E31A4A0"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NT</w:t>
            </w:r>
          </w:p>
        </w:tc>
      </w:tr>
      <w:tr w:rsidR="00782640" w:rsidRPr="00782640" w14:paraId="3A393B59" w14:textId="77777777" w:rsidTr="00A41391">
        <w:tc>
          <w:tcPr>
            <w:tcW w:w="2397" w:type="dxa"/>
          </w:tcPr>
          <w:p w14:paraId="56E3B58A"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Ms Sarah Brown</w:t>
            </w:r>
          </w:p>
        </w:tc>
        <w:tc>
          <w:tcPr>
            <w:tcW w:w="5953" w:type="dxa"/>
          </w:tcPr>
          <w:p w14:paraId="78B8479F"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 xml:space="preserve">CEO, Western Desert </w:t>
            </w:r>
            <w:proofErr w:type="spellStart"/>
            <w:r w:rsidRPr="00782640">
              <w:rPr>
                <w:rFonts w:ascii="Calibri" w:eastAsia="Calibri" w:hAnsi="Calibri" w:cs="Times New Roman"/>
                <w:sz w:val="24"/>
              </w:rPr>
              <w:t>Nganampa</w:t>
            </w:r>
            <w:proofErr w:type="spellEnd"/>
            <w:r w:rsidRPr="00782640">
              <w:rPr>
                <w:rFonts w:ascii="Calibri" w:eastAsia="Calibri" w:hAnsi="Calibri" w:cs="Times New Roman"/>
                <w:sz w:val="24"/>
              </w:rPr>
              <w:t xml:space="preserve"> </w:t>
            </w:r>
            <w:proofErr w:type="spellStart"/>
            <w:r w:rsidRPr="00782640">
              <w:rPr>
                <w:rFonts w:ascii="Calibri" w:eastAsia="Calibri" w:hAnsi="Calibri" w:cs="Times New Roman"/>
                <w:sz w:val="24"/>
              </w:rPr>
              <w:t>Walytja</w:t>
            </w:r>
            <w:proofErr w:type="spellEnd"/>
            <w:r w:rsidRPr="00782640">
              <w:rPr>
                <w:rFonts w:ascii="Calibri" w:eastAsia="Calibri" w:hAnsi="Calibri" w:cs="Times New Roman"/>
                <w:sz w:val="24"/>
              </w:rPr>
              <w:t xml:space="preserve"> </w:t>
            </w:r>
            <w:proofErr w:type="spellStart"/>
            <w:r w:rsidRPr="00782640">
              <w:rPr>
                <w:rFonts w:ascii="Calibri" w:eastAsia="Calibri" w:hAnsi="Calibri" w:cs="Times New Roman"/>
                <w:sz w:val="24"/>
              </w:rPr>
              <w:t>Palyantjaku</w:t>
            </w:r>
            <w:proofErr w:type="spellEnd"/>
            <w:r w:rsidRPr="00782640">
              <w:rPr>
                <w:rFonts w:ascii="Calibri" w:eastAsia="Calibri" w:hAnsi="Calibri" w:cs="Times New Roman"/>
                <w:sz w:val="24"/>
              </w:rPr>
              <w:t xml:space="preserve"> </w:t>
            </w:r>
            <w:proofErr w:type="spellStart"/>
            <w:r w:rsidRPr="00782640">
              <w:rPr>
                <w:rFonts w:ascii="Calibri" w:eastAsia="Calibri" w:hAnsi="Calibri" w:cs="Times New Roman"/>
                <w:sz w:val="24"/>
              </w:rPr>
              <w:t>Tjutaku</w:t>
            </w:r>
            <w:proofErr w:type="spellEnd"/>
            <w:r w:rsidRPr="00782640">
              <w:rPr>
                <w:rFonts w:ascii="Calibri" w:eastAsia="Calibri" w:hAnsi="Calibri" w:cs="Times New Roman"/>
                <w:sz w:val="24"/>
              </w:rPr>
              <w:t xml:space="preserve"> Aboriginal Corporation (aka Purple House)</w:t>
            </w:r>
          </w:p>
        </w:tc>
        <w:tc>
          <w:tcPr>
            <w:tcW w:w="1843" w:type="dxa"/>
          </w:tcPr>
          <w:p w14:paraId="50A08C75"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NT</w:t>
            </w:r>
          </w:p>
        </w:tc>
      </w:tr>
      <w:tr w:rsidR="00782640" w:rsidRPr="00782640" w14:paraId="5F03F5C8" w14:textId="77777777" w:rsidTr="00A41391">
        <w:tc>
          <w:tcPr>
            <w:tcW w:w="2397" w:type="dxa"/>
          </w:tcPr>
          <w:p w14:paraId="40A68CD0"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Dr Sajiv Cherian</w:t>
            </w:r>
          </w:p>
        </w:tc>
        <w:tc>
          <w:tcPr>
            <w:tcW w:w="5953" w:type="dxa"/>
          </w:tcPr>
          <w:p w14:paraId="5074EC57" w14:textId="77777777" w:rsidR="00782640" w:rsidRPr="00782640" w:rsidRDefault="00782640" w:rsidP="00782640">
            <w:pPr>
              <w:autoSpaceDE w:val="0"/>
              <w:autoSpaceDN w:val="0"/>
              <w:adjustRightInd w:val="0"/>
              <w:rPr>
                <w:rFonts w:ascii="Calibri" w:eastAsia="Calibri" w:hAnsi="Calibri" w:cs="Calibri"/>
                <w:color w:val="000000"/>
                <w:sz w:val="24"/>
                <w:lang w:val="en-US"/>
              </w:rPr>
            </w:pPr>
            <w:r w:rsidRPr="00782640">
              <w:rPr>
                <w:rFonts w:ascii="Calibri" w:eastAsia="Calibri" w:hAnsi="Calibri" w:cs="Calibri"/>
                <w:color w:val="000000"/>
                <w:sz w:val="24"/>
                <w:lang w:val="en-US"/>
              </w:rPr>
              <w:t>Nephrologist and Head of Renal Services</w:t>
            </w:r>
          </w:p>
        </w:tc>
        <w:tc>
          <w:tcPr>
            <w:tcW w:w="1843" w:type="dxa"/>
          </w:tcPr>
          <w:p w14:paraId="309BAB36"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NT</w:t>
            </w:r>
          </w:p>
        </w:tc>
      </w:tr>
      <w:tr w:rsidR="00782640" w:rsidRPr="00782640" w14:paraId="5EB951DA" w14:textId="77777777" w:rsidTr="00A41391">
        <w:tc>
          <w:tcPr>
            <w:tcW w:w="2397" w:type="dxa"/>
          </w:tcPr>
          <w:p w14:paraId="35F8D837"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Dr Jaquelyne Hughes</w:t>
            </w:r>
          </w:p>
        </w:tc>
        <w:tc>
          <w:tcPr>
            <w:tcW w:w="5953" w:type="dxa"/>
          </w:tcPr>
          <w:p w14:paraId="268B98AA" w14:textId="77777777" w:rsidR="00782640" w:rsidRPr="00782640" w:rsidRDefault="00782640" w:rsidP="00782640">
            <w:pPr>
              <w:autoSpaceDE w:val="0"/>
              <w:autoSpaceDN w:val="0"/>
              <w:adjustRightInd w:val="0"/>
              <w:rPr>
                <w:rFonts w:ascii="Calibri" w:eastAsia="Calibri" w:hAnsi="Calibri" w:cs="Calibri"/>
                <w:color w:val="000000"/>
                <w:sz w:val="24"/>
                <w:lang w:val="en-US"/>
              </w:rPr>
            </w:pPr>
            <w:r w:rsidRPr="00782640">
              <w:rPr>
                <w:rFonts w:ascii="Calibri" w:eastAsia="Calibri" w:hAnsi="Calibri" w:cs="Calibri"/>
                <w:color w:val="000000"/>
                <w:sz w:val="24"/>
                <w:lang w:val="en-US"/>
              </w:rPr>
              <w:t>Nephrologist and Co-Chair, KHA-CARI Guidelines Writing Group</w:t>
            </w:r>
          </w:p>
        </w:tc>
        <w:tc>
          <w:tcPr>
            <w:tcW w:w="1843" w:type="dxa"/>
          </w:tcPr>
          <w:p w14:paraId="546C6DB3" w14:textId="77777777" w:rsidR="00782640" w:rsidRPr="00782640" w:rsidRDefault="00782640" w:rsidP="00782640">
            <w:pPr>
              <w:jc w:val="center"/>
              <w:rPr>
                <w:rFonts w:ascii="Calibri" w:eastAsia="Calibri" w:hAnsi="Calibri" w:cs="Times New Roman"/>
                <w:sz w:val="24"/>
                <w:lang w:val="en-US"/>
              </w:rPr>
            </w:pPr>
            <w:r w:rsidRPr="00782640">
              <w:rPr>
                <w:rFonts w:ascii="Calibri" w:eastAsia="Calibri" w:hAnsi="Calibri" w:cs="Times New Roman"/>
                <w:sz w:val="24"/>
                <w:lang w:val="en-US"/>
              </w:rPr>
              <w:t>NT</w:t>
            </w:r>
          </w:p>
        </w:tc>
      </w:tr>
      <w:tr w:rsidR="00782640" w:rsidRPr="00782640" w14:paraId="1FF945FB" w14:textId="77777777" w:rsidTr="00A41391">
        <w:tc>
          <w:tcPr>
            <w:tcW w:w="2397" w:type="dxa"/>
          </w:tcPr>
          <w:p w14:paraId="068612A2" w14:textId="77777777" w:rsidR="00782640" w:rsidRPr="00782640" w:rsidRDefault="00782640" w:rsidP="00782640">
            <w:pPr>
              <w:autoSpaceDE w:val="0"/>
              <w:autoSpaceDN w:val="0"/>
              <w:adjustRightInd w:val="0"/>
              <w:rPr>
                <w:rFonts w:ascii="Calibri" w:eastAsia="Calibri" w:hAnsi="Calibri" w:cs="Calibri"/>
                <w:color w:val="000000"/>
                <w:sz w:val="24"/>
                <w:lang w:val="en-US"/>
              </w:rPr>
            </w:pPr>
            <w:r w:rsidRPr="00782640">
              <w:rPr>
                <w:rFonts w:ascii="Calibri" w:eastAsia="Calibri" w:hAnsi="Calibri" w:cs="Calibri"/>
                <w:color w:val="000000"/>
                <w:sz w:val="24"/>
                <w:lang w:val="en-US"/>
              </w:rPr>
              <w:t xml:space="preserve">Professor Alan Cass </w:t>
            </w:r>
          </w:p>
        </w:tc>
        <w:tc>
          <w:tcPr>
            <w:tcW w:w="5953" w:type="dxa"/>
          </w:tcPr>
          <w:p w14:paraId="60857CAF" w14:textId="77777777" w:rsidR="00782640" w:rsidRPr="00782640" w:rsidRDefault="00782640" w:rsidP="00782640">
            <w:pPr>
              <w:autoSpaceDE w:val="0"/>
              <w:autoSpaceDN w:val="0"/>
              <w:adjustRightInd w:val="0"/>
              <w:rPr>
                <w:rFonts w:ascii="Calibri" w:eastAsia="Calibri" w:hAnsi="Calibri" w:cs="Calibri"/>
                <w:color w:val="000000"/>
                <w:sz w:val="24"/>
                <w:lang w:val="en-US"/>
              </w:rPr>
            </w:pPr>
            <w:r w:rsidRPr="00782640">
              <w:rPr>
                <w:rFonts w:ascii="Calibri" w:eastAsia="Calibri" w:hAnsi="Calibri" w:cs="Calibri"/>
                <w:color w:val="000000"/>
                <w:sz w:val="24"/>
                <w:lang w:val="en-US"/>
              </w:rPr>
              <w:t>Director of Menzies School of Health Research (Menzies)</w:t>
            </w:r>
          </w:p>
        </w:tc>
        <w:tc>
          <w:tcPr>
            <w:tcW w:w="1843" w:type="dxa"/>
          </w:tcPr>
          <w:p w14:paraId="7C0D2960"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NT</w:t>
            </w:r>
          </w:p>
        </w:tc>
      </w:tr>
      <w:tr w:rsidR="00782640" w:rsidRPr="00782640" w14:paraId="3D0CF4E6" w14:textId="77777777" w:rsidTr="00A41391">
        <w:tc>
          <w:tcPr>
            <w:tcW w:w="2397" w:type="dxa"/>
          </w:tcPr>
          <w:p w14:paraId="38FE7CA2"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Dr Elizabeth Moore</w:t>
            </w:r>
          </w:p>
        </w:tc>
        <w:tc>
          <w:tcPr>
            <w:tcW w:w="5953" w:type="dxa"/>
          </w:tcPr>
          <w:p w14:paraId="16003383"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Public Health Officer, Aboriginal Medical Services Alliance NT (AMSANT)</w:t>
            </w:r>
          </w:p>
        </w:tc>
        <w:tc>
          <w:tcPr>
            <w:tcW w:w="1843" w:type="dxa"/>
          </w:tcPr>
          <w:p w14:paraId="20C4E835"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NT</w:t>
            </w:r>
          </w:p>
        </w:tc>
      </w:tr>
      <w:tr w:rsidR="00782640" w:rsidRPr="00782640" w14:paraId="7A7C8395" w14:textId="77777777" w:rsidTr="00A41391">
        <w:tc>
          <w:tcPr>
            <w:tcW w:w="2397" w:type="dxa"/>
          </w:tcPr>
          <w:p w14:paraId="351BE583"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Dr Marianne Wood</w:t>
            </w:r>
          </w:p>
        </w:tc>
        <w:tc>
          <w:tcPr>
            <w:tcW w:w="5953" w:type="dxa"/>
          </w:tcPr>
          <w:p w14:paraId="0A4090C9"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Public Health Officer, Aboriginal Health Council of WA (AHCWA)</w:t>
            </w:r>
          </w:p>
        </w:tc>
        <w:tc>
          <w:tcPr>
            <w:tcW w:w="1843" w:type="dxa"/>
          </w:tcPr>
          <w:p w14:paraId="69FF195A"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WA</w:t>
            </w:r>
          </w:p>
        </w:tc>
      </w:tr>
      <w:tr w:rsidR="00782640" w:rsidRPr="00782640" w14:paraId="7AC0AFE1" w14:textId="77777777" w:rsidTr="00A41391">
        <w:trPr>
          <w:trHeight w:val="223"/>
        </w:trPr>
        <w:tc>
          <w:tcPr>
            <w:tcW w:w="2397" w:type="dxa"/>
          </w:tcPr>
          <w:p w14:paraId="15D0EEEE"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Mr Phillip Jarvis</w:t>
            </w:r>
          </w:p>
        </w:tc>
        <w:tc>
          <w:tcPr>
            <w:tcW w:w="5953" w:type="dxa"/>
          </w:tcPr>
          <w:p w14:paraId="0B6AE76C"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Kimberley Aboriginal Medical Service Ltd.</w:t>
            </w:r>
          </w:p>
        </w:tc>
        <w:tc>
          <w:tcPr>
            <w:tcW w:w="1843" w:type="dxa"/>
          </w:tcPr>
          <w:p w14:paraId="1F3CCE3D"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WA</w:t>
            </w:r>
          </w:p>
        </w:tc>
      </w:tr>
      <w:tr w:rsidR="00782640" w:rsidRPr="00782640" w14:paraId="7237E2D7" w14:textId="77777777" w:rsidTr="00A41391">
        <w:tc>
          <w:tcPr>
            <w:tcW w:w="2397" w:type="dxa"/>
          </w:tcPr>
          <w:p w14:paraId="4D285402"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Ms Jenny Cutter</w:t>
            </w:r>
          </w:p>
        </w:tc>
        <w:tc>
          <w:tcPr>
            <w:tcW w:w="5953" w:type="dxa"/>
          </w:tcPr>
          <w:p w14:paraId="1F2BA194"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Executive Manager, Kimberley Renal Services Executive Manager, Kimberley Aboriginal Medical Service Ltd.</w:t>
            </w:r>
          </w:p>
        </w:tc>
        <w:tc>
          <w:tcPr>
            <w:tcW w:w="1843" w:type="dxa"/>
          </w:tcPr>
          <w:p w14:paraId="67E25DDD"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WA</w:t>
            </w:r>
          </w:p>
        </w:tc>
      </w:tr>
      <w:tr w:rsidR="00782640" w:rsidRPr="00782640" w14:paraId="29476DDF" w14:textId="77777777" w:rsidTr="00A41391">
        <w:tc>
          <w:tcPr>
            <w:tcW w:w="2397" w:type="dxa"/>
          </w:tcPr>
          <w:p w14:paraId="65064019"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 xml:space="preserve">Ms Melanie </w:t>
            </w:r>
            <w:proofErr w:type="spellStart"/>
            <w:r w:rsidRPr="00782640">
              <w:rPr>
                <w:rFonts w:ascii="Calibri" w:eastAsia="Calibri" w:hAnsi="Calibri" w:cs="Times New Roman"/>
                <w:sz w:val="24"/>
              </w:rPr>
              <w:t>McNiece</w:t>
            </w:r>
            <w:proofErr w:type="spellEnd"/>
          </w:p>
        </w:tc>
        <w:tc>
          <w:tcPr>
            <w:tcW w:w="5953" w:type="dxa"/>
            <w:shd w:val="clear" w:color="auto" w:fill="auto"/>
          </w:tcPr>
          <w:p w14:paraId="3BD5F1CC"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Manager, Broome Renal Health Centre</w:t>
            </w:r>
          </w:p>
        </w:tc>
        <w:tc>
          <w:tcPr>
            <w:tcW w:w="1843" w:type="dxa"/>
          </w:tcPr>
          <w:p w14:paraId="19A9FC79"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WA</w:t>
            </w:r>
          </w:p>
        </w:tc>
      </w:tr>
      <w:tr w:rsidR="00782640" w:rsidRPr="00782640" w14:paraId="257A2A93" w14:textId="77777777" w:rsidTr="00A41391">
        <w:tc>
          <w:tcPr>
            <w:tcW w:w="2397" w:type="dxa"/>
          </w:tcPr>
          <w:p w14:paraId="344EDB87"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Ms Kerrie Parker</w:t>
            </w:r>
          </w:p>
        </w:tc>
        <w:tc>
          <w:tcPr>
            <w:tcW w:w="5953" w:type="dxa"/>
          </w:tcPr>
          <w:p w14:paraId="5048A9E0" w14:textId="77777777" w:rsidR="00782640" w:rsidRPr="00782640" w:rsidRDefault="00782640" w:rsidP="00782640">
            <w:pPr>
              <w:rPr>
                <w:rFonts w:ascii="Calibri" w:eastAsia="Calibri" w:hAnsi="Calibri" w:cs="Times New Roman"/>
                <w:b/>
                <w:sz w:val="24"/>
              </w:rPr>
            </w:pPr>
            <w:r w:rsidRPr="00782640">
              <w:rPr>
                <w:rFonts w:ascii="Calibri" w:eastAsia="Calibri" w:hAnsi="Calibri" w:cs="Times New Roman"/>
                <w:sz w:val="24"/>
              </w:rPr>
              <w:t>CKD Educator, Kimberley Aboriginal Medical Service Ltd.</w:t>
            </w:r>
          </w:p>
        </w:tc>
        <w:tc>
          <w:tcPr>
            <w:tcW w:w="1843" w:type="dxa"/>
          </w:tcPr>
          <w:p w14:paraId="0EA9DC6E"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WA</w:t>
            </w:r>
          </w:p>
        </w:tc>
      </w:tr>
      <w:tr w:rsidR="00782640" w:rsidRPr="00782640" w14:paraId="3AF8B5AC" w14:textId="77777777" w:rsidTr="00A41391">
        <w:tc>
          <w:tcPr>
            <w:tcW w:w="2397" w:type="dxa"/>
          </w:tcPr>
          <w:p w14:paraId="5AC00F3C"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Dr James Stacey</w:t>
            </w:r>
          </w:p>
        </w:tc>
        <w:tc>
          <w:tcPr>
            <w:tcW w:w="5953" w:type="dxa"/>
          </w:tcPr>
          <w:p w14:paraId="151555BA"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GP, Kimberley Aboriginal Medical Service Ltd.</w:t>
            </w:r>
          </w:p>
        </w:tc>
        <w:tc>
          <w:tcPr>
            <w:tcW w:w="1843" w:type="dxa"/>
          </w:tcPr>
          <w:p w14:paraId="6E868DBE"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WA</w:t>
            </w:r>
          </w:p>
        </w:tc>
      </w:tr>
      <w:tr w:rsidR="00782640" w:rsidRPr="00782640" w14:paraId="5D862939" w14:textId="77777777" w:rsidTr="00A41391">
        <w:tc>
          <w:tcPr>
            <w:tcW w:w="2397" w:type="dxa"/>
          </w:tcPr>
          <w:p w14:paraId="725E66DE"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Prof Mark Thomas</w:t>
            </w:r>
          </w:p>
        </w:tc>
        <w:tc>
          <w:tcPr>
            <w:tcW w:w="5953" w:type="dxa"/>
          </w:tcPr>
          <w:p w14:paraId="2A9D3541" w14:textId="77777777" w:rsidR="00782640" w:rsidRPr="00782640" w:rsidRDefault="00782640" w:rsidP="00782640">
            <w:pPr>
              <w:autoSpaceDE w:val="0"/>
              <w:autoSpaceDN w:val="0"/>
              <w:adjustRightInd w:val="0"/>
              <w:rPr>
                <w:rFonts w:ascii="Calibri" w:eastAsia="Calibri" w:hAnsi="Calibri" w:cs="Calibri"/>
                <w:color w:val="000000"/>
                <w:sz w:val="24"/>
                <w:lang w:val="en-US"/>
              </w:rPr>
            </w:pPr>
            <w:r w:rsidRPr="00782640">
              <w:rPr>
                <w:rFonts w:ascii="Calibri" w:eastAsia="Calibri" w:hAnsi="Calibri" w:cs="Calibri"/>
                <w:color w:val="000000"/>
                <w:sz w:val="24"/>
                <w:lang w:val="en-US"/>
              </w:rPr>
              <w:t>Professor, Nephrologist</w:t>
            </w:r>
          </w:p>
        </w:tc>
        <w:tc>
          <w:tcPr>
            <w:tcW w:w="1843" w:type="dxa"/>
          </w:tcPr>
          <w:p w14:paraId="6C10D9F3"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WA</w:t>
            </w:r>
          </w:p>
        </w:tc>
      </w:tr>
      <w:tr w:rsidR="00782640" w:rsidRPr="00782640" w14:paraId="095D22AD" w14:textId="77777777" w:rsidTr="00A41391">
        <w:tc>
          <w:tcPr>
            <w:tcW w:w="2397" w:type="dxa"/>
          </w:tcPr>
          <w:p w14:paraId="7EE869E9"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Ms Lesley Salem</w:t>
            </w:r>
          </w:p>
        </w:tc>
        <w:tc>
          <w:tcPr>
            <w:tcW w:w="5953" w:type="dxa"/>
          </w:tcPr>
          <w:p w14:paraId="353419AA"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Indigenous Renal Nurse Practitioner</w:t>
            </w:r>
          </w:p>
        </w:tc>
        <w:tc>
          <w:tcPr>
            <w:tcW w:w="1843" w:type="dxa"/>
          </w:tcPr>
          <w:p w14:paraId="2AC958B7"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QLD</w:t>
            </w:r>
          </w:p>
        </w:tc>
      </w:tr>
      <w:tr w:rsidR="00782640" w:rsidRPr="00782640" w14:paraId="5EF0BE7B" w14:textId="77777777" w:rsidTr="00A41391">
        <w:tc>
          <w:tcPr>
            <w:tcW w:w="2397" w:type="dxa"/>
          </w:tcPr>
          <w:p w14:paraId="5507F12E"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Ms Rochelle Pitt</w:t>
            </w:r>
          </w:p>
        </w:tc>
        <w:tc>
          <w:tcPr>
            <w:tcW w:w="5953" w:type="dxa"/>
          </w:tcPr>
          <w:p w14:paraId="2CBC639A"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 xml:space="preserve">Care Coordinator Area South, </w:t>
            </w:r>
            <w:proofErr w:type="spellStart"/>
            <w:r w:rsidRPr="00782640">
              <w:rPr>
                <w:rFonts w:ascii="Calibri" w:eastAsia="Calibri" w:hAnsi="Calibri" w:cs="Times New Roman"/>
                <w:sz w:val="24"/>
              </w:rPr>
              <w:t>Apunipima</w:t>
            </w:r>
            <w:proofErr w:type="spellEnd"/>
            <w:r w:rsidRPr="00782640">
              <w:rPr>
                <w:rFonts w:ascii="Calibri" w:eastAsia="Calibri" w:hAnsi="Calibri" w:cs="Times New Roman"/>
                <w:sz w:val="24"/>
              </w:rPr>
              <w:t xml:space="preserve"> Cape York Health Council</w:t>
            </w:r>
          </w:p>
        </w:tc>
        <w:tc>
          <w:tcPr>
            <w:tcW w:w="1843" w:type="dxa"/>
          </w:tcPr>
          <w:p w14:paraId="5245E861"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QLD</w:t>
            </w:r>
          </w:p>
        </w:tc>
      </w:tr>
      <w:tr w:rsidR="00782640" w:rsidRPr="00782640" w14:paraId="78DEEA98" w14:textId="77777777" w:rsidTr="00A41391">
        <w:tc>
          <w:tcPr>
            <w:tcW w:w="2397" w:type="dxa"/>
          </w:tcPr>
          <w:p w14:paraId="54C86E71"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 xml:space="preserve">Ms Valerie </w:t>
            </w:r>
            <w:proofErr w:type="spellStart"/>
            <w:r w:rsidRPr="00782640">
              <w:rPr>
                <w:rFonts w:ascii="Calibri" w:eastAsia="Calibri" w:hAnsi="Calibri" w:cs="Times New Roman"/>
                <w:sz w:val="24"/>
              </w:rPr>
              <w:t>Nancarrow</w:t>
            </w:r>
            <w:proofErr w:type="spellEnd"/>
          </w:p>
        </w:tc>
        <w:tc>
          <w:tcPr>
            <w:tcW w:w="5953" w:type="dxa"/>
          </w:tcPr>
          <w:p w14:paraId="2841C543"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Indigenous Liaison Officer, Cairns and Hinterland Health Service</w:t>
            </w:r>
          </w:p>
        </w:tc>
        <w:tc>
          <w:tcPr>
            <w:tcW w:w="1843" w:type="dxa"/>
          </w:tcPr>
          <w:p w14:paraId="7E395781"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QLD</w:t>
            </w:r>
          </w:p>
        </w:tc>
      </w:tr>
      <w:tr w:rsidR="00782640" w:rsidRPr="00782640" w14:paraId="348EC3F0" w14:textId="77777777" w:rsidTr="00A41391">
        <w:tc>
          <w:tcPr>
            <w:tcW w:w="2397" w:type="dxa"/>
          </w:tcPr>
          <w:p w14:paraId="1ADAB771" w14:textId="77777777" w:rsidR="00782640" w:rsidRPr="00782640" w:rsidRDefault="00782640" w:rsidP="00782640">
            <w:pPr>
              <w:autoSpaceDE w:val="0"/>
              <w:autoSpaceDN w:val="0"/>
              <w:adjustRightInd w:val="0"/>
              <w:rPr>
                <w:rFonts w:ascii="Calibri" w:eastAsia="Calibri" w:hAnsi="Calibri" w:cs="Calibri"/>
                <w:color w:val="000000"/>
                <w:sz w:val="24"/>
                <w:lang w:val="en-US"/>
              </w:rPr>
            </w:pPr>
            <w:r w:rsidRPr="00782640">
              <w:rPr>
                <w:rFonts w:ascii="Calibri" w:eastAsia="Calibri" w:hAnsi="Calibri" w:cs="Calibri"/>
                <w:color w:val="000000"/>
                <w:sz w:val="24"/>
                <w:lang w:val="en-US"/>
              </w:rPr>
              <w:t>Prof David Johnson</w:t>
            </w:r>
          </w:p>
        </w:tc>
        <w:tc>
          <w:tcPr>
            <w:tcW w:w="5953" w:type="dxa"/>
          </w:tcPr>
          <w:p w14:paraId="53BC2505" w14:textId="77777777" w:rsidR="00782640" w:rsidRPr="00782640" w:rsidRDefault="00782640" w:rsidP="00782640">
            <w:pPr>
              <w:autoSpaceDE w:val="0"/>
              <w:autoSpaceDN w:val="0"/>
              <w:adjustRightInd w:val="0"/>
              <w:rPr>
                <w:rFonts w:ascii="Calibri" w:eastAsia="Calibri" w:hAnsi="Calibri" w:cs="Calibri"/>
                <w:color w:val="000000"/>
                <w:sz w:val="24"/>
                <w:lang w:val="en-US"/>
              </w:rPr>
            </w:pPr>
            <w:r w:rsidRPr="00782640">
              <w:rPr>
                <w:rFonts w:ascii="Calibri" w:eastAsia="Calibri" w:hAnsi="Calibri" w:cs="Calibri"/>
                <w:color w:val="000000"/>
                <w:sz w:val="24"/>
                <w:lang w:val="en-US"/>
              </w:rPr>
              <w:t>Director of the Metro South and Ipswich Nephrology and Transplant Service (MINTS) and Medical Director of the Queensland Renal Transplant Service at Princess Alexandra Hospital, Chair, PEAK Committee, Kidney Health Australia</w:t>
            </w:r>
          </w:p>
        </w:tc>
        <w:tc>
          <w:tcPr>
            <w:tcW w:w="1843" w:type="dxa"/>
          </w:tcPr>
          <w:p w14:paraId="73E508C8" w14:textId="77777777" w:rsidR="00782640" w:rsidRPr="00782640" w:rsidRDefault="00782640" w:rsidP="00782640">
            <w:pPr>
              <w:jc w:val="center"/>
              <w:rPr>
                <w:rFonts w:ascii="Calibri" w:eastAsia="Calibri" w:hAnsi="Calibri" w:cs="Calibri"/>
                <w:color w:val="000000"/>
                <w:sz w:val="24"/>
                <w:lang w:val="en-US"/>
              </w:rPr>
            </w:pPr>
            <w:r w:rsidRPr="00782640">
              <w:rPr>
                <w:rFonts w:ascii="Calibri" w:eastAsia="Calibri" w:hAnsi="Calibri" w:cs="Calibri"/>
                <w:color w:val="000000"/>
                <w:sz w:val="24"/>
                <w:lang w:val="en-US"/>
              </w:rPr>
              <w:t>QLD</w:t>
            </w:r>
          </w:p>
        </w:tc>
      </w:tr>
      <w:tr w:rsidR="00782640" w:rsidRPr="00782640" w14:paraId="33B9FA14" w14:textId="77777777" w:rsidTr="00A41391">
        <w:tc>
          <w:tcPr>
            <w:tcW w:w="2397" w:type="dxa"/>
          </w:tcPr>
          <w:p w14:paraId="63FF9B96"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Prof Tim Usherwood</w:t>
            </w:r>
          </w:p>
        </w:tc>
        <w:tc>
          <w:tcPr>
            <w:tcW w:w="5953" w:type="dxa"/>
          </w:tcPr>
          <w:p w14:paraId="6000BBAE"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Professor, General Practice, Westmead Clinical School, University of Sydney School of Medicine</w:t>
            </w:r>
          </w:p>
        </w:tc>
        <w:tc>
          <w:tcPr>
            <w:tcW w:w="1843" w:type="dxa"/>
          </w:tcPr>
          <w:p w14:paraId="172CFB86"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NSW</w:t>
            </w:r>
          </w:p>
        </w:tc>
      </w:tr>
      <w:tr w:rsidR="00782640" w:rsidRPr="00782640" w14:paraId="5F7612B6" w14:textId="77777777" w:rsidTr="00A41391">
        <w:tc>
          <w:tcPr>
            <w:tcW w:w="2397" w:type="dxa"/>
          </w:tcPr>
          <w:p w14:paraId="00BBA62A"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Dr Emma Webster</w:t>
            </w:r>
          </w:p>
        </w:tc>
        <w:tc>
          <w:tcPr>
            <w:tcW w:w="5953" w:type="dxa"/>
          </w:tcPr>
          <w:p w14:paraId="0083229B" w14:textId="52235D0A" w:rsidR="00782640" w:rsidRPr="009B2280" w:rsidRDefault="00782640" w:rsidP="009B2280">
            <w:pPr>
              <w:autoSpaceDE w:val="0"/>
              <w:autoSpaceDN w:val="0"/>
              <w:adjustRightInd w:val="0"/>
              <w:rPr>
                <w:rFonts w:ascii="Calibri" w:eastAsia="Calibri" w:hAnsi="Calibri" w:cs="Calibri"/>
                <w:color w:val="000000"/>
                <w:sz w:val="24"/>
                <w:lang w:val="en-US"/>
              </w:rPr>
            </w:pPr>
            <w:r w:rsidRPr="00782640">
              <w:rPr>
                <w:rFonts w:ascii="Calibri" w:eastAsia="Calibri" w:hAnsi="Calibri" w:cs="Calibri"/>
                <w:color w:val="000000"/>
                <w:sz w:val="24"/>
                <w:lang w:val="en-US"/>
              </w:rPr>
              <w:t>School of Rural Health, Dubbo, University of Sydney</w:t>
            </w:r>
          </w:p>
        </w:tc>
        <w:tc>
          <w:tcPr>
            <w:tcW w:w="1843" w:type="dxa"/>
          </w:tcPr>
          <w:p w14:paraId="41D33A73"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NSW</w:t>
            </w:r>
          </w:p>
        </w:tc>
      </w:tr>
      <w:tr w:rsidR="00782640" w:rsidRPr="00782640" w14:paraId="6BCC6FE9" w14:textId="77777777" w:rsidTr="00A41391">
        <w:tc>
          <w:tcPr>
            <w:tcW w:w="2397" w:type="dxa"/>
          </w:tcPr>
          <w:p w14:paraId="4FB8B99E"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Dr Liz Rix</w:t>
            </w:r>
          </w:p>
        </w:tc>
        <w:tc>
          <w:tcPr>
            <w:tcW w:w="5953" w:type="dxa"/>
          </w:tcPr>
          <w:p w14:paraId="7CB5B2A5" w14:textId="77777777" w:rsidR="00782640" w:rsidRPr="00782640" w:rsidRDefault="00782640" w:rsidP="00782640">
            <w:pPr>
              <w:autoSpaceDE w:val="0"/>
              <w:autoSpaceDN w:val="0"/>
              <w:adjustRightInd w:val="0"/>
              <w:rPr>
                <w:rFonts w:ascii="Calibri" w:eastAsia="Calibri" w:hAnsi="Calibri" w:cs="Calibri"/>
                <w:color w:val="000000"/>
                <w:sz w:val="24"/>
                <w:lang w:val="en-US"/>
              </w:rPr>
            </w:pPr>
            <w:r w:rsidRPr="00782640">
              <w:rPr>
                <w:rFonts w:ascii="Calibri" w:eastAsia="Calibri" w:hAnsi="Calibri" w:cs="Calibri"/>
                <w:color w:val="000000"/>
                <w:sz w:val="24"/>
                <w:lang w:val="en-US"/>
              </w:rPr>
              <w:t xml:space="preserve">Lecturer/Academic, </w:t>
            </w:r>
            <w:proofErr w:type="spellStart"/>
            <w:r w:rsidRPr="00782640">
              <w:rPr>
                <w:rFonts w:ascii="Calibri" w:eastAsia="Calibri" w:hAnsi="Calibri" w:cs="Calibri"/>
                <w:color w:val="000000"/>
                <w:sz w:val="24"/>
                <w:lang w:val="en-US"/>
              </w:rPr>
              <w:t>Gnibi</w:t>
            </w:r>
            <w:proofErr w:type="spellEnd"/>
            <w:r w:rsidRPr="00782640">
              <w:rPr>
                <w:rFonts w:ascii="Calibri" w:eastAsia="Calibri" w:hAnsi="Calibri" w:cs="Calibri"/>
                <w:color w:val="000000"/>
                <w:sz w:val="24"/>
                <w:lang w:val="en-US"/>
              </w:rPr>
              <w:t xml:space="preserve"> College of Indigenous Australians</w:t>
            </w:r>
          </w:p>
        </w:tc>
        <w:tc>
          <w:tcPr>
            <w:tcW w:w="1843" w:type="dxa"/>
          </w:tcPr>
          <w:p w14:paraId="61935262"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NSW</w:t>
            </w:r>
          </w:p>
        </w:tc>
      </w:tr>
      <w:tr w:rsidR="00782640" w:rsidRPr="00782640" w14:paraId="49A3691A" w14:textId="77777777" w:rsidTr="00A41391">
        <w:tc>
          <w:tcPr>
            <w:tcW w:w="2397" w:type="dxa"/>
          </w:tcPr>
          <w:p w14:paraId="1CEE3695"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Ms Kylie Wyndham</w:t>
            </w:r>
          </w:p>
        </w:tc>
        <w:tc>
          <w:tcPr>
            <w:tcW w:w="5953" w:type="dxa"/>
          </w:tcPr>
          <w:p w14:paraId="79B0AC32" w14:textId="77777777" w:rsidR="00782640" w:rsidRPr="00782640" w:rsidRDefault="00782640" w:rsidP="00782640">
            <w:pPr>
              <w:autoSpaceDE w:val="0"/>
              <w:autoSpaceDN w:val="0"/>
              <w:adjustRightInd w:val="0"/>
              <w:rPr>
                <w:rFonts w:ascii="Calibri" w:eastAsia="Calibri" w:hAnsi="Calibri" w:cs="Calibri"/>
                <w:color w:val="000000"/>
                <w:sz w:val="24"/>
                <w:lang w:val="en-US"/>
              </w:rPr>
            </w:pPr>
            <w:r w:rsidRPr="00782640">
              <w:rPr>
                <w:rFonts w:ascii="Calibri" w:eastAsia="Calibri" w:hAnsi="Calibri" w:cs="Calibri"/>
                <w:color w:val="000000"/>
                <w:sz w:val="24"/>
                <w:lang w:val="en-US"/>
              </w:rPr>
              <w:t xml:space="preserve">Chronic Disease Nurse, North Coast (NSW) Primary Health Network, Casino </w:t>
            </w:r>
            <w:proofErr w:type="spellStart"/>
            <w:r w:rsidRPr="00782640">
              <w:rPr>
                <w:rFonts w:ascii="Calibri" w:eastAsia="Calibri" w:hAnsi="Calibri" w:cs="Calibri"/>
                <w:color w:val="000000"/>
                <w:sz w:val="24"/>
                <w:lang w:val="en-US"/>
              </w:rPr>
              <w:t>Bulgarr</w:t>
            </w:r>
            <w:proofErr w:type="spellEnd"/>
            <w:r w:rsidRPr="00782640">
              <w:rPr>
                <w:rFonts w:ascii="Calibri" w:eastAsia="Calibri" w:hAnsi="Calibri" w:cs="Calibri"/>
                <w:color w:val="000000"/>
                <w:sz w:val="24"/>
                <w:lang w:val="en-US"/>
              </w:rPr>
              <w:t xml:space="preserve"> </w:t>
            </w:r>
            <w:proofErr w:type="spellStart"/>
            <w:r w:rsidRPr="00782640">
              <w:rPr>
                <w:rFonts w:ascii="Calibri" w:eastAsia="Calibri" w:hAnsi="Calibri" w:cs="Calibri"/>
                <w:color w:val="000000"/>
                <w:sz w:val="24"/>
                <w:lang w:val="en-US"/>
              </w:rPr>
              <w:t>Ngaru</w:t>
            </w:r>
            <w:proofErr w:type="spellEnd"/>
            <w:r w:rsidRPr="00782640">
              <w:rPr>
                <w:rFonts w:ascii="Calibri" w:eastAsia="Calibri" w:hAnsi="Calibri" w:cs="Calibri"/>
                <w:color w:val="000000"/>
                <w:sz w:val="24"/>
                <w:lang w:val="en-US"/>
              </w:rPr>
              <w:t xml:space="preserve"> Aboriginal Medical Service</w:t>
            </w:r>
          </w:p>
        </w:tc>
        <w:tc>
          <w:tcPr>
            <w:tcW w:w="1843" w:type="dxa"/>
          </w:tcPr>
          <w:p w14:paraId="09CAF19A"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NSW</w:t>
            </w:r>
          </w:p>
        </w:tc>
      </w:tr>
      <w:tr w:rsidR="00782640" w:rsidRPr="00782640" w14:paraId="7E8BE0B6" w14:textId="77777777" w:rsidTr="00A41391">
        <w:tc>
          <w:tcPr>
            <w:tcW w:w="2397" w:type="dxa"/>
          </w:tcPr>
          <w:p w14:paraId="1D03E137"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Dr James Collette</w:t>
            </w:r>
          </w:p>
        </w:tc>
        <w:tc>
          <w:tcPr>
            <w:tcW w:w="5953" w:type="dxa"/>
          </w:tcPr>
          <w:p w14:paraId="38E3BB7F"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Nephrologist, Dubbo Base Hospital</w:t>
            </w:r>
          </w:p>
        </w:tc>
        <w:tc>
          <w:tcPr>
            <w:tcW w:w="1843" w:type="dxa"/>
          </w:tcPr>
          <w:p w14:paraId="139CB9AD"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NSW</w:t>
            </w:r>
          </w:p>
        </w:tc>
      </w:tr>
      <w:tr w:rsidR="00782640" w:rsidRPr="00782640" w14:paraId="3E811391" w14:textId="77777777" w:rsidTr="00A41391">
        <w:tc>
          <w:tcPr>
            <w:tcW w:w="2397" w:type="dxa"/>
          </w:tcPr>
          <w:p w14:paraId="57388F2A"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Ms Barbara Harvie</w:t>
            </w:r>
          </w:p>
          <w:p w14:paraId="2FD93193" w14:textId="77777777" w:rsidR="00782640" w:rsidRPr="00782640" w:rsidRDefault="00782640" w:rsidP="00782640">
            <w:pPr>
              <w:rPr>
                <w:rFonts w:ascii="Calibri" w:eastAsia="Calibri" w:hAnsi="Calibri" w:cs="Times New Roman"/>
                <w:sz w:val="24"/>
              </w:rPr>
            </w:pPr>
          </w:p>
        </w:tc>
        <w:tc>
          <w:tcPr>
            <w:tcW w:w="5953" w:type="dxa"/>
          </w:tcPr>
          <w:p w14:paraId="3A4F9CC9"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lastRenderedPageBreak/>
              <w:t>Nephrology Nurse, Nurse Unit Manager, Dialysis Unit</w:t>
            </w:r>
          </w:p>
          <w:p w14:paraId="1B3E9055" w14:textId="77777777" w:rsidR="00782640" w:rsidRPr="00782640" w:rsidRDefault="00782640" w:rsidP="00782640">
            <w:pPr>
              <w:autoSpaceDE w:val="0"/>
              <w:autoSpaceDN w:val="0"/>
              <w:adjustRightInd w:val="0"/>
              <w:rPr>
                <w:rFonts w:ascii="Calibri" w:eastAsia="Calibri" w:hAnsi="Calibri" w:cs="Times New Roman"/>
                <w:sz w:val="24"/>
              </w:rPr>
            </w:pPr>
            <w:r w:rsidRPr="00782640">
              <w:rPr>
                <w:rFonts w:ascii="Calibri" w:eastAsia="Calibri" w:hAnsi="Calibri" w:cs="Times New Roman"/>
                <w:sz w:val="24"/>
              </w:rPr>
              <w:lastRenderedPageBreak/>
              <w:t xml:space="preserve">Queanbeyan Hospital </w:t>
            </w:r>
          </w:p>
        </w:tc>
        <w:tc>
          <w:tcPr>
            <w:tcW w:w="1843" w:type="dxa"/>
          </w:tcPr>
          <w:p w14:paraId="4A33C107"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lastRenderedPageBreak/>
              <w:t>NSW</w:t>
            </w:r>
          </w:p>
        </w:tc>
      </w:tr>
      <w:tr w:rsidR="00782640" w:rsidRPr="00782640" w14:paraId="74FD1747" w14:textId="77777777" w:rsidTr="00A41391">
        <w:tc>
          <w:tcPr>
            <w:tcW w:w="2397" w:type="dxa"/>
          </w:tcPr>
          <w:p w14:paraId="78D87C56"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Dr Paul Snelling</w:t>
            </w:r>
          </w:p>
        </w:tc>
        <w:tc>
          <w:tcPr>
            <w:tcW w:w="5953" w:type="dxa"/>
          </w:tcPr>
          <w:p w14:paraId="2426E734" w14:textId="77777777" w:rsidR="00782640" w:rsidRPr="00782640" w:rsidRDefault="00782640" w:rsidP="00782640">
            <w:pPr>
              <w:autoSpaceDE w:val="0"/>
              <w:autoSpaceDN w:val="0"/>
              <w:adjustRightInd w:val="0"/>
              <w:rPr>
                <w:rFonts w:ascii="Calibri" w:eastAsia="Calibri" w:hAnsi="Calibri" w:cs="Calibri"/>
                <w:color w:val="000000"/>
                <w:sz w:val="24"/>
                <w:lang w:val="en-US"/>
              </w:rPr>
            </w:pPr>
            <w:r w:rsidRPr="00782640">
              <w:rPr>
                <w:rFonts w:ascii="Calibri" w:eastAsia="Calibri" w:hAnsi="Calibri" w:cs="Calibri"/>
                <w:color w:val="000000"/>
                <w:sz w:val="24"/>
                <w:lang w:val="en-US"/>
              </w:rPr>
              <w:t>Renal Physician &amp; Director of Dialysis, The Royal Prince Alfred Hospital</w:t>
            </w:r>
          </w:p>
        </w:tc>
        <w:tc>
          <w:tcPr>
            <w:tcW w:w="1843" w:type="dxa"/>
          </w:tcPr>
          <w:p w14:paraId="03808864"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NSW</w:t>
            </w:r>
          </w:p>
        </w:tc>
      </w:tr>
      <w:tr w:rsidR="00782640" w:rsidRPr="00782640" w14:paraId="6AF751A6" w14:textId="77777777" w:rsidTr="00A41391">
        <w:tc>
          <w:tcPr>
            <w:tcW w:w="2397" w:type="dxa"/>
          </w:tcPr>
          <w:p w14:paraId="2C72EC6A"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A/Prof Ivor Katz</w:t>
            </w:r>
          </w:p>
          <w:p w14:paraId="4FE46E75" w14:textId="77777777" w:rsidR="00782640" w:rsidRPr="00782640" w:rsidRDefault="00782640" w:rsidP="00782640">
            <w:pPr>
              <w:rPr>
                <w:rFonts w:ascii="Calibri" w:eastAsia="Calibri" w:hAnsi="Calibri" w:cs="Times New Roman"/>
                <w:sz w:val="24"/>
              </w:rPr>
            </w:pPr>
          </w:p>
        </w:tc>
        <w:tc>
          <w:tcPr>
            <w:tcW w:w="5953" w:type="dxa"/>
          </w:tcPr>
          <w:p w14:paraId="096E5114"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Senior Staff Specialist / Consultant Nephrologist</w:t>
            </w:r>
          </w:p>
          <w:p w14:paraId="6829262F"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 xml:space="preserve">The St George Hospital </w:t>
            </w:r>
          </w:p>
        </w:tc>
        <w:tc>
          <w:tcPr>
            <w:tcW w:w="1843" w:type="dxa"/>
          </w:tcPr>
          <w:p w14:paraId="0DAAC294"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NSW</w:t>
            </w:r>
          </w:p>
        </w:tc>
      </w:tr>
      <w:tr w:rsidR="00782640" w:rsidRPr="00782640" w14:paraId="20F821C9" w14:textId="77777777" w:rsidTr="00A41391">
        <w:tc>
          <w:tcPr>
            <w:tcW w:w="2397" w:type="dxa"/>
          </w:tcPr>
          <w:p w14:paraId="2D043BC0"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Dr Richard K S Phoon</w:t>
            </w:r>
          </w:p>
          <w:p w14:paraId="167504B4" w14:textId="77777777" w:rsidR="00782640" w:rsidRPr="00782640" w:rsidRDefault="00782640" w:rsidP="00782640">
            <w:pPr>
              <w:rPr>
                <w:rFonts w:ascii="Calibri" w:eastAsia="Calibri" w:hAnsi="Calibri" w:cs="Times New Roman"/>
                <w:sz w:val="24"/>
              </w:rPr>
            </w:pPr>
          </w:p>
        </w:tc>
        <w:tc>
          <w:tcPr>
            <w:tcW w:w="5953" w:type="dxa"/>
          </w:tcPr>
          <w:p w14:paraId="2242199A"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 xml:space="preserve">Senior Staff Specialist in Nephrology, Western Renal Service (WSLHD &amp; NBMLHD), Senior Lecturer, University of Sydney, Westmead Hospital </w:t>
            </w:r>
          </w:p>
        </w:tc>
        <w:tc>
          <w:tcPr>
            <w:tcW w:w="1843" w:type="dxa"/>
          </w:tcPr>
          <w:p w14:paraId="5CDCE2DD"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NSW</w:t>
            </w:r>
          </w:p>
        </w:tc>
      </w:tr>
      <w:tr w:rsidR="00782640" w:rsidRPr="00782640" w14:paraId="5957ADA7" w14:textId="77777777" w:rsidTr="00A41391">
        <w:tc>
          <w:tcPr>
            <w:tcW w:w="2397" w:type="dxa"/>
          </w:tcPr>
          <w:p w14:paraId="6A34EC44"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Dr Angus Ritchie</w:t>
            </w:r>
          </w:p>
          <w:p w14:paraId="0B58DB27" w14:textId="77777777" w:rsidR="00782640" w:rsidRPr="00782640" w:rsidRDefault="00782640" w:rsidP="00782640">
            <w:pPr>
              <w:rPr>
                <w:rFonts w:ascii="Calibri" w:eastAsia="Calibri" w:hAnsi="Calibri" w:cs="Times New Roman"/>
                <w:sz w:val="24"/>
              </w:rPr>
            </w:pPr>
          </w:p>
        </w:tc>
        <w:tc>
          <w:tcPr>
            <w:tcW w:w="5953" w:type="dxa"/>
          </w:tcPr>
          <w:p w14:paraId="6ADC109A"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Nephrology Staff Specialist, Concord Repatriation General Hospital NSW</w:t>
            </w:r>
          </w:p>
          <w:p w14:paraId="1775CEF2"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 xml:space="preserve">Clinical Lead, </w:t>
            </w:r>
            <w:proofErr w:type="spellStart"/>
            <w:r w:rsidRPr="00782640">
              <w:rPr>
                <w:rFonts w:ascii="Calibri" w:eastAsia="Calibri" w:hAnsi="Calibri" w:cs="Times New Roman"/>
                <w:sz w:val="24"/>
              </w:rPr>
              <w:t>HealthPathways</w:t>
            </w:r>
            <w:proofErr w:type="spellEnd"/>
            <w:r w:rsidRPr="00782640">
              <w:rPr>
                <w:rFonts w:ascii="Calibri" w:eastAsia="Calibri" w:hAnsi="Calibri" w:cs="Times New Roman"/>
                <w:sz w:val="24"/>
              </w:rPr>
              <w:t xml:space="preserve"> Sydney, Physician Informaticist, Sydney Local Health District </w:t>
            </w:r>
          </w:p>
        </w:tc>
        <w:tc>
          <w:tcPr>
            <w:tcW w:w="1843" w:type="dxa"/>
          </w:tcPr>
          <w:p w14:paraId="1D90DC14"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NSW</w:t>
            </w:r>
          </w:p>
        </w:tc>
      </w:tr>
      <w:tr w:rsidR="00782640" w:rsidRPr="00782640" w14:paraId="56AF7549" w14:textId="77777777" w:rsidTr="00A41391">
        <w:tc>
          <w:tcPr>
            <w:tcW w:w="2397" w:type="dxa"/>
          </w:tcPr>
          <w:p w14:paraId="13ADB6F6"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Dr John Saunders</w:t>
            </w:r>
          </w:p>
          <w:p w14:paraId="0A50C64D" w14:textId="77777777" w:rsidR="00782640" w:rsidRPr="00782640" w:rsidRDefault="00782640" w:rsidP="00782640">
            <w:pPr>
              <w:rPr>
                <w:rFonts w:ascii="Calibri" w:eastAsia="Calibri" w:hAnsi="Calibri" w:cs="Times New Roman"/>
                <w:sz w:val="24"/>
              </w:rPr>
            </w:pPr>
          </w:p>
        </w:tc>
        <w:tc>
          <w:tcPr>
            <w:tcW w:w="5953" w:type="dxa"/>
          </w:tcPr>
          <w:p w14:paraId="57D41DA9"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 xml:space="preserve">Consultant Nephrologist, Royal Prince Alfred Hospital </w:t>
            </w:r>
          </w:p>
        </w:tc>
        <w:tc>
          <w:tcPr>
            <w:tcW w:w="1843" w:type="dxa"/>
          </w:tcPr>
          <w:p w14:paraId="7F82C43E"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NSW</w:t>
            </w:r>
          </w:p>
        </w:tc>
      </w:tr>
      <w:tr w:rsidR="00782640" w:rsidRPr="00782640" w14:paraId="3F9CC85C" w14:textId="77777777" w:rsidTr="00A41391">
        <w:tc>
          <w:tcPr>
            <w:tcW w:w="2397" w:type="dxa"/>
          </w:tcPr>
          <w:p w14:paraId="2433479D"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Dr Sheena Wilmot</w:t>
            </w:r>
          </w:p>
          <w:p w14:paraId="5E4F208F" w14:textId="77777777" w:rsidR="00782640" w:rsidRPr="00782640" w:rsidRDefault="00782640" w:rsidP="00782640">
            <w:pPr>
              <w:rPr>
                <w:rFonts w:ascii="Calibri" w:eastAsia="Calibri" w:hAnsi="Calibri" w:cs="Times New Roman"/>
                <w:sz w:val="24"/>
              </w:rPr>
            </w:pPr>
          </w:p>
        </w:tc>
        <w:tc>
          <w:tcPr>
            <w:tcW w:w="5953" w:type="dxa"/>
          </w:tcPr>
          <w:p w14:paraId="1CA0F594"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 xml:space="preserve">General Practitioner, Benchmark Medical, Sydney </w:t>
            </w:r>
          </w:p>
        </w:tc>
        <w:tc>
          <w:tcPr>
            <w:tcW w:w="1843" w:type="dxa"/>
          </w:tcPr>
          <w:p w14:paraId="65F9EA42"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NSW</w:t>
            </w:r>
          </w:p>
        </w:tc>
      </w:tr>
      <w:tr w:rsidR="00782640" w:rsidRPr="00782640" w14:paraId="0EBCC744" w14:textId="77777777" w:rsidTr="00A41391">
        <w:tc>
          <w:tcPr>
            <w:tcW w:w="2397" w:type="dxa"/>
          </w:tcPr>
          <w:p w14:paraId="7CBF37DA"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Dr Martin Howell</w:t>
            </w:r>
          </w:p>
        </w:tc>
        <w:tc>
          <w:tcPr>
            <w:tcW w:w="5953" w:type="dxa"/>
          </w:tcPr>
          <w:p w14:paraId="4ECE9C82"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KHA-CARI Guidelines Group</w:t>
            </w:r>
          </w:p>
        </w:tc>
        <w:tc>
          <w:tcPr>
            <w:tcW w:w="1843" w:type="dxa"/>
          </w:tcPr>
          <w:p w14:paraId="6756F9DF"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NSW</w:t>
            </w:r>
          </w:p>
        </w:tc>
      </w:tr>
      <w:tr w:rsidR="00782640" w:rsidRPr="00782640" w14:paraId="51E556B9" w14:textId="77777777" w:rsidTr="00A41391">
        <w:tc>
          <w:tcPr>
            <w:tcW w:w="2397" w:type="dxa"/>
          </w:tcPr>
          <w:p w14:paraId="7B353AB7" w14:textId="77777777" w:rsidR="00782640" w:rsidRPr="00782640" w:rsidRDefault="00782640" w:rsidP="00782640">
            <w:pPr>
              <w:rPr>
                <w:rFonts w:ascii="Calibri" w:eastAsia="Calibri" w:hAnsi="Calibri" w:cs="Times New Roman"/>
                <w:sz w:val="24"/>
                <w:highlight w:val="yellow"/>
              </w:rPr>
            </w:pPr>
            <w:r w:rsidRPr="00782640">
              <w:rPr>
                <w:rFonts w:ascii="Calibri" w:eastAsia="Calibri" w:hAnsi="Calibri" w:cs="Times New Roman"/>
                <w:sz w:val="24"/>
              </w:rPr>
              <w:t>Dr Pamela López</w:t>
            </w:r>
          </w:p>
        </w:tc>
        <w:tc>
          <w:tcPr>
            <w:tcW w:w="5953" w:type="dxa"/>
          </w:tcPr>
          <w:p w14:paraId="441A7577" w14:textId="2653A50C" w:rsidR="00782640" w:rsidRPr="00782640" w:rsidRDefault="00CF2E5A" w:rsidP="00782640">
            <w:pPr>
              <w:rPr>
                <w:rFonts w:ascii="Calibri" w:eastAsia="Calibri" w:hAnsi="Calibri" w:cs="Times New Roman"/>
                <w:sz w:val="24"/>
              </w:rPr>
            </w:pPr>
            <w:r w:rsidRPr="00CF2E5A">
              <w:rPr>
                <w:rFonts w:ascii="Calibri" w:eastAsia="Calibri" w:hAnsi="Calibri" w:cs="Times New Roman"/>
                <w:sz w:val="24"/>
              </w:rPr>
              <w:t>KHA-CARI Guidelines Group</w:t>
            </w:r>
          </w:p>
        </w:tc>
        <w:tc>
          <w:tcPr>
            <w:tcW w:w="1843" w:type="dxa"/>
          </w:tcPr>
          <w:p w14:paraId="46194127" w14:textId="0047F1B3" w:rsidR="00782640" w:rsidRPr="00782640" w:rsidRDefault="00CF2E5A" w:rsidP="00782640">
            <w:pPr>
              <w:jc w:val="center"/>
              <w:rPr>
                <w:rFonts w:ascii="Calibri" w:eastAsia="Calibri" w:hAnsi="Calibri" w:cs="Times New Roman"/>
                <w:sz w:val="24"/>
              </w:rPr>
            </w:pPr>
            <w:r w:rsidRPr="00CF2E5A">
              <w:rPr>
                <w:rFonts w:ascii="Calibri" w:eastAsia="Calibri" w:hAnsi="Calibri" w:cs="Times New Roman"/>
                <w:sz w:val="24"/>
              </w:rPr>
              <w:t>NSW</w:t>
            </w:r>
          </w:p>
        </w:tc>
      </w:tr>
      <w:tr w:rsidR="00782640" w:rsidRPr="00782640" w14:paraId="7B4A4455" w14:textId="77777777" w:rsidTr="00A41391">
        <w:tc>
          <w:tcPr>
            <w:tcW w:w="2397" w:type="dxa"/>
          </w:tcPr>
          <w:p w14:paraId="663CE413" w14:textId="77777777" w:rsidR="00782640" w:rsidRPr="00782640" w:rsidRDefault="00782640" w:rsidP="00782640">
            <w:pPr>
              <w:rPr>
                <w:rFonts w:ascii="Calibri" w:eastAsia="Calibri" w:hAnsi="Calibri" w:cs="Times New Roman"/>
                <w:sz w:val="24"/>
                <w:highlight w:val="yellow"/>
              </w:rPr>
            </w:pPr>
            <w:r w:rsidRPr="00782640">
              <w:rPr>
                <w:rFonts w:ascii="Calibri" w:eastAsia="Calibri" w:hAnsi="Calibri" w:cs="Times New Roman"/>
                <w:sz w:val="24"/>
              </w:rPr>
              <w:t>Dr Talia Gutman</w:t>
            </w:r>
          </w:p>
        </w:tc>
        <w:tc>
          <w:tcPr>
            <w:tcW w:w="5953" w:type="dxa"/>
          </w:tcPr>
          <w:p w14:paraId="4906AA2F" w14:textId="024A85F4" w:rsidR="00782640" w:rsidRPr="00782640" w:rsidRDefault="00CF2E5A" w:rsidP="00782640">
            <w:pPr>
              <w:rPr>
                <w:rFonts w:ascii="Calibri" w:eastAsia="Calibri" w:hAnsi="Calibri" w:cs="Times New Roman"/>
                <w:sz w:val="24"/>
              </w:rPr>
            </w:pPr>
            <w:r w:rsidRPr="00CF2E5A">
              <w:rPr>
                <w:rFonts w:ascii="Calibri" w:eastAsia="Calibri" w:hAnsi="Calibri" w:cs="Times New Roman"/>
                <w:sz w:val="24"/>
              </w:rPr>
              <w:t>KHA-CARI Guidelines Group</w:t>
            </w:r>
          </w:p>
        </w:tc>
        <w:tc>
          <w:tcPr>
            <w:tcW w:w="1843" w:type="dxa"/>
          </w:tcPr>
          <w:p w14:paraId="1FBB9B87" w14:textId="5093D304" w:rsidR="00782640" w:rsidRPr="00782640" w:rsidRDefault="00CF2E5A" w:rsidP="00782640">
            <w:pPr>
              <w:jc w:val="center"/>
              <w:rPr>
                <w:rFonts w:ascii="Calibri" w:eastAsia="Calibri" w:hAnsi="Calibri" w:cs="Times New Roman"/>
                <w:sz w:val="24"/>
              </w:rPr>
            </w:pPr>
            <w:r w:rsidRPr="00CF2E5A">
              <w:rPr>
                <w:rFonts w:ascii="Calibri" w:eastAsia="Calibri" w:hAnsi="Calibri" w:cs="Times New Roman"/>
                <w:sz w:val="24"/>
              </w:rPr>
              <w:t>NSW</w:t>
            </w:r>
          </w:p>
        </w:tc>
      </w:tr>
      <w:tr w:rsidR="00782640" w:rsidRPr="00782640" w14:paraId="499717B6" w14:textId="77777777" w:rsidTr="00A41391">
        <w:trPr>
          <w:trHeight w:val="547"/>
        </w:trPr>
        <w:tc>
          <w:tcPr>
            <w:tcW w:w="2397" w:type="dxa"/>
          </w:tcPr>
          <w:p w14:paraId="6B2C7D38"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 xml:space="preserve">Ms Libby Teki </w:t>
            </w:r>
          </w:p>
          <w:p w14:paraId="24CCAF6D" w14:textId="77777777" w:rsidR="00782640" w:rsidRPr="00782640" w:rsidRDefault="00782640" w:rsidP="00782640">
            <w:pPr>
              <w:rPr>
                <w:rFonts w:ascii="Calibri" w:eastAsia="Calibri" w:hAnsi="Calibri" w:cs="Times New Roman"/>
                <w:sz w:val="24"/>
              </w:rPr>
            </w:pPr>
          </w:p>
        </w:tc>
        <w:tc>
          <w:tcPr>
            <w:tcW w:w="5953" w:type="dxa"/>
          </w:tcPr>
          <w:p w14:paraId="5B72B998"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Cardiovascular, Diabetes &amp; Kidney Unit, Australian Institute of Health and Welfare</w:t>
            </w:r>
          </w:p>
        </w:tc>
        <w:tc>
          <w:tcPr>
            <w:tcW w:w="1843" w:type="dxa"/>
          </w:tcPr>
          <w:p w14:paraId="5B46E39E"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ACT</w:t>
            </w:r>
          </w:p>
        </w:tc>
      </w:tr>
      <w:tr w:rsidR="00782640" w:rsidRPr="00782640" w14:paraId="60A272F5" w14:textId="77777777" w:rsidTr="00A41391">
        <w:trPr>
          <w:trHeight w:val="547"/>
        </w:trPr>
        <w:tc>
          <w:tcPr>
            <w:tcW w:w="2397" w:type="dxa"/>
          </w:tcPr>
          <w:p w14:paraId="44758FDC"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Ms Jess Styles</w:t>
            </w:r>
          </w:p>
        </w:tc>
        <w:tc>
          <w:tcPr>
            <w:tcW w:w="5953" w:type="dxa"/>
          </w:tcPr>
          <w:p w14:paraId="6D1CD697" w14:textId="77777777" w:rsidR="00782640" w:rsidRPr="00782640" w:rsidRDefault="00782640" w:rsidP="00782640">
            <w:pPr>
              <w:autoSpaceDE w:val="0"/>
              <w:autoSpaceDN w:val="0"/>
              <w:adjustRightInd w:val="0"/>
              <w:rPr>
                <w:rFonts w:ascii="Calibri" w:eastAsia="Calibri" w:hAnsi="Calibri" w:cs="Calibri"/>
                <w:color w:val="000000"/>
                <w:sz w:val="24"/>
                <w:lang w:val="en-US"/>
              </w:rPr>
            </w:pPr>
            <w:r w:rsidRPr="00782640">
              <w:rPr>
                <w:rFonts w:ascii="Calibri" w:eastAsia="Calibri" w:hAnsi="Calibri" w:cs="Calibri"/>
                <w:color w:val="000000"/>
                <w:sz w:val="24"/>
                <w:lang w:val="en-US"/>
              </w:rPr>
              <w:t>Senior Policy Officer, National Aboriginal Community Controlled Health Organisation (NACCHO)</w:t>
            </w:r>
          </w:p>
        </w:tc>
        <w:tc>
          <w:tcPr>
            <w:tcW w:w="1843" w:type="dxa"/>
          </w:tcPr>
          <w:p w14:paraId="06615FBC"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ACT</w:t>
            </w:r>
          </w:p>
        </w:tc>
      </w:tr>
      <w:tr w:rsidR="00782640" w:rsidRPr="00782640" w14:paraId="3E1A540D" w14:textId="77777777" w:rsidTr="00A41391">
        <w:tc>
          <w:tcPr>
            <w:tcW w:w="2397" w:type="dxa"/>
          </w:tcPr>
          <w:p w14:paraId="5320FBAB"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A/Prof Craig Nelson</w:t>
            </w:r>
          </w:p>
        </w:tc>
        <w:tc>
          <w:tcPr>
            <w:tcW w:w="5953" w:type="dxa"/>
          </w:tcPr>
          <w:p w14:paraId="3363A0B8" w14:textId="77777777" w:rsidR="00782640" w:rsidRPr="00782640" w:rsidRDefault="00782640" w:rsidP="00782640">
            <w:pPr>
              <w:rPr>
                <w:rFonts w:ascii="Calibri" w:eastAsia="Times New Roman" w:hAnsi="Calibri" w:cs="Times New Roman"/>
                <w:sz w:val="24"/>
                <w:lang w:eastAsia="en-AU"/>
              </w:rPr>
            </w:pPr>
            <w:r w:rsidRPr="00782640">
              <w:rPr>
                <w:rFonts w:ascii="Calibri" w:eastAsia="Times New Roman" w:hAnsi="Calibri" w:cs="Times New Roman"/>
                <w:sz w:val="24"/>
                <w:lang w:eastAsia="en-AU"/>
              </w:rPr>
              <w:t xml:space="preserve">Nephrologist, Sunshine Hospital, Clinical Director, </w:t>
            </w:r>
            <w:proofErr w:type="spellStart"/>
            <w:r w:rsidRPr="00782640">
              <w:rPr>
                <w:rFonts w:ascii="Calibri" w:eastAsia="Times New Roman" w:hAnsi="Calibri" w:cs="Times New Roman"/>
                <w:sz w:val="24"/>
                <w:lang w:eastAsia="en-AU"/>
              </w:rPr>
              <w:t>Healthlinks</w:t>
            </w:r>
            <w:proofErr w:type="spellEnd"/>
            <w:r w:rsidRPr="00782640">
              <w:rPr>
                <w:rFonts w:ascii="Calibri" w:eastAsia="Times New Roman" w:hAnsi="Calibri" w:cs="Times New Roman"/>
                <w:sz w:val="24"/>
                <w:lang w:eastAsia="en-AU"/>
              </w:rPr>
              <w:t>, Western Health, Associated Professor, University of Melbourne</w:t>
            </w:r>
          </w:p>
        </w:tc>
        <w:tc>
          <w:tcPr>
            <w:tcW w:w="1843" w:type="dxa"/>
          </w:tcPr>
          <w:p w14:paraId="10198545"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VIC</w:t>
            </w:r>
          </w:p>
        </w:tc>
      </w:tr>
      <w:tr w:rsidR="00782640" w:rsidRPr="00782640" w14:paraId="16B9D748" w14:textId="77777777" w:rsidTr="00A41391">
        <w:tc>
          <w:tcPr>
            <w:tcW w:w="2397" w:type="dxa"/>
          </w:tcPr>
          <w:p w14:paraId="1317421B"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Dr Katherine Barraclough</w:t>
            </w:r>
          </w:p>
        </w:tc>
        <w:tc>
          <w:tcPr>
            <w:tcW w:w="5953" w:type="dxa"/>
          </w:tcPr>
          <w:p w14:paraId="7E4FAEF1" w14:textId="77777777" w:rsidR="00782640" w:rsidRPr="00782640" w:rsidRDefault="00782640" w:rsidP="00782640">
            <w:pPr>
              <w:autoSpaceDE w:val="0"/>
              <w:autoSpaceDN w:val="0"/>
              <w:adjustRightInd w:val="0"/>
              <w:rPr>
                <w:rFonts w:ascii="Calibri" w:eastAsia="Times New Roman" w:hAnsi="Calibri" w:cs="Times New Roman"/>
                <w:sz w:val="24"/>
                <w:lang w:eastAsia="en-AU"/>
              </w:rPr>
            </w:pPr>
            <w:r w:rsidRPr="00782640">
              <w:rPr>
                <w:rFonts w:ascii="Calibri" w:eastAsia="Times New Roman" w:hAnsi="Calibri" w:cs="Times New Roman"/>
                <w:sz w:val="24"/>
                <w:lang w:eastAsia="en-AU"/>
              </w:rPr>
              <w:t>Nephrologist, Royal Melbourne Hospital</w:t>
            </w:r>
          </w:p>
        </w:tc>
        <w:tc>
          <w:tcPr>
            <w:tcW w:w="1843" w:type="dxa"/>
          </w:tcPr>
          <w:p w14:paraId="51F7490A"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VIC</w:t>
            </w:r>
          </w:p>
        </w:tc>
      </w:tr>
      <w:tr w:rsidR="00782640" w:rsidRPr="00782640" w14:paraId="1DFB19E6" w14:textId="77777777" w:rsidTr="00A41391">
        <w:tc>
          <w:tcPr>
            <w:tcW w:w="2397" w:type="dxa"/>
          </w:tcPr>
          <w:p w14:paraId="7284A60B"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Ms Kathryn Godwin</w:t>
            </w:r>
          </w:p>
          <w:p w14:paraId="65E2D95F" w14:textId="77777777" w:rsidR="00782640" w:rsidRPr="00782640" w:rsidRDefault="00782640" w:rsidP="00782640">
            <w:pPr>
              <w:autoSpaceDE w:val="0"/>
              <w:autoSpaceDN w:val="0"/>
              <w:adjustRightInd w:val="0"/>
              <w:rPr>
                <w:rFonts w:ascii="Calibri" w:eastAsia="Calibri" w:hAnsi="Calibri" w:cs="Times New Roman"/>
                <w:sz w:val="24"/>
              </w:rPr>
            </w:pPr>
          </w:p>
        </w:tc>
        <w:tc>
          <w:tcPr>
            <w:tcW w:w="5953" w:type="dxa"/>
          </w:tcPr>
          <w:p w14:paraId="4ABA0893"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Primary Care Nurse, APNA</w:t>
            </w:r>
          </w:p>
        </w:tc>
        <w:tc>
          <w:tcPr>
            <w:tcW w:w="1843" w:type="dxa"/>
          </w:tcPr>
          <w:p w14:paraId="5DE7BAEE"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VIC</w:t>
            </w:r>
          </w:p>
        </w:tc>
      </w:tr>
      <w:tr w:rsidR="00782640" w:rsidRPr="00782640" w14:paraId="4BB2B1CC" w14:textId="77777777" w:rsidTr="00A41391">
        <w:tc>
          <w:tcPr>
            <w:tcW w:w="2397" w:type="dxa"/>
          </w:tcPr>
          <w:p w14:paraId="451D5370" w14:textId="77777777" w:rsidR="00782640" w:rsidRPr="00782640" w:rsidRDefault="00782640" w:rsidP="00782640">
            <w:pPr>
              <w:autoSpaceDE w:val="0"/>
              <w:autoSpaceDN w:val="0"/>
              <w:adjustRightInd w:val="0"/>
              <w:rPr>
                <w:rFonts w:ascii="Calibri" w:eastAsia="Calibri" w:hAnsi="Calibri" w:cs="Calibri"/>
                <w:color w:val="000000"/>
                <w:sz w:val="24"/>
                <w:lang w:val="en-US"/>
              </w:rPr>
            </w:pPr>
            <w:r w:rsidRPr="00782640">
              <w:rPr>
                <w:rFonts w:ascii="Calibri" w:eastAsia="Calibri" w:hAnsi="Calibri" w:cs="Calibri"/>
                <w:color w:val="000000"/>
                <w:sz w:val="24"/>
                <w:lang w:val="en-US"/>
              </w:rPr>
              <w:t>Prof Robyn Langham</w:t>
            </w:r>
          </w:p>
          <w:p w14:paraId="1116C316" w14:textId="77777777" w:rsidR="00782640" w:rsidRPr="00782640" w:rsidRDefault="00782640" w:rsidP="00782640">
            <w:pPr>
              <w:autoSpaceDE w:val="0"/>
              <w:autoSpaceDN w:val="0"/>
              <w:adjustRightInd w:val="0"/>
              <w:rPr>
                <w:rFonts w:ascii="Calibri" w:eastAsia="Calibri" w:hAnsi="Calibri" w:cs="Calibri"/>
                <w:color w:val="000000"/>
                <w:sz w:val="24"/>
                <w:lang w:val="en-US"/>
              </w:rPr>
            </w:pPr>
          </w:p>
        </w:tc>
        <w:tc>
          <w:tcPr>
            <w:tcW w:w="5953" w:type="dxa"/>
          </w:tcPr>
          <w:p w14:paraId="3146DCD7" w14:textId="77777777" w:rsidR="00782640" w:rsidRPr="00782640" w:rsidRDefault="00782640" w:rsidP="00782640">
            <w:pPr>
              <w:autoSpaceDE w:val="0"/>
              <w:autoSpaceDN w:val="0"/>
              <w:adjustRightInd w:val="0"/>
              <w:rPr>
                <w:rFonts w:ascii="Calibri" w:eastAsia="Calibri" w:hAnsi="Calibri" w:cs="Calibri"/>
                <w:color w:val="000000"/>
                <w:sz w:val="24"/>
                <w:lang w:val="en-US"/>
              </w:rPr>
            </w:pPr>
            <w:r w:rsidRPr="00782640">
              <w:rPr>
                <w:rFonts w:ascii="Calibri" w:eastAsia="Calibri" w:hAnsi="Calibri" w:cs="Calibri"/>
                <w:color w:val="000000"/>
                <w:sz w:val="24"/>
                <w:lang w:val="en-US"/>
              </w:rPr>
              <w:t>Professor and Head, School of Rural Health, Faculty of Medicine, Nursing and Health Sciences, Monash University</w:t>
            </w:r>
          </w:p>
        </w:tc>
        <w:tc>
          <w:tcPr>
            <w:tcW w:w="1843" w:type="dxa"/>
          </w:tcPr>
          <w:p w14:paraId="0692E047" w14:textId="77777777" w:rsidR="00782640" w:rsidRPr="00782640" w:rsidRDefault="00782640" w:rsidP="00782640">
            <w:pPr>
              <w:autoSpaceDE w:val="0"/>
              <w:autoSpaceDN w:val="0"/>
              <w:adjustRightInd w:val="0"/>
              <w:jc w:val="center"/>
              <w:rPr>
                <w:rFonts w:ascii="Calibri" w:eastAsia="Calibri" w:hAnsi="Calibri" w:cs="Calibri"/>
                <w:color w:val="000000"/>
                <w:sz w:val="24"/>
                <w:lang w:val="en-US"/>
              </w:rPr>
            </w:pPr>
            <w:r w:rsidRPr="00782640">
              <w:rPr>
                <w:rFonts w:ascii="Calibri" w:eastAsia="Calibri" w:hAnsi="Calibri" w:cs="Calibri"/>
                <w:color w:val="000000"/>
                <w:sz w:val="24"/>
                <w:lang w:val="en-US"/>
              </w:rPr>
              <w:t>VIC</w:t>
            </w:r>
          </w:p>
        </w:tc>
      </w:tr>
      <w:tr w:rsidR="00782640" w:rsidRPr="00782640" w14:paraId="212337B7" w14:textId="77777777" w:rsidTr="00A41391">
        <w:tc>
          <w:tcPr>
            <w:tcW w:w="2397" w:type="dxa"/>
          </w:tcPr>
          <w:p w14:paraId="215BCD2E"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Prof Kevan Polkinghorne</w:t>
            </w:r>
          </w:p>
          <w:p w14:paraId="59DB3108" w14:textId="77777777" w:rsidR="00782640" w:rsidRPr="00782640" w:rsidRDefault="00782640" w:rsidP="00782640">
            <w:pPr>
              <w:autoSpaceDE w:val="0"/>
              <w:autoSpaceDN w:val="0"/>
              <w:adjustRightInd w:val="0"/>
              <w:rPr>
                <w:rFonts w:ascii="Calibri" w:eastAsia="Calibri" w:hAnsi="Calibri" w:cs="Times New Roman"/>
                <w:sz w:val="24"/>
              </w:rPr>
            </w:pPr>
          </w:p>
        </w:tc>
        <w:tc>
          <w:tcPr>
            <w:tcW w:w="5953" w:type="dxa"/>
          </w:tcPr>
          <w:p w14:paraId="48F4D925"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Nephrologist, Department of Nephrology, Monash Medical Centre, Adjunct (Clinical) Associate Professor, Department of Medicine, Monash University</w:t>
            </w:r>
          </w:p>
        </w:tc>
        <w:tc>
          <w:tcPr>
            <w:tcW w:w="1843" w:type="dxa"/>
          </w:tcPr>
          <w:p w14:paraId="743B4717"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VIC</w:t>
            </w:r>
          </w:p>
        </w:tc>
      </w:tr>
      <w:tr w:rsidR="00782640" w:rsidRPr="00782640" w14:paraId="3B88CAF1" w14:textId="77777777" w:rsidTr="00A41391">
        <w:tc>
          <w:tcPr>
            <w:tcW w:w="2397" w:type="dxa"/>
          </w:tcPr>
          <w:p w14:paraId="5F1D32C8"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Ms Wendy Shepherdley</w:t>
            </w:r>
          </w:p>
        </w:tc>
        <w:tc>
          <w:tcPr>
            <w:tcW w:w="5953" w:type="dxa"/>
          </w:tcPr>
          <w:p w14:paraId="7E32118C"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 xml:space="preserve">Credentialed Diabetes Educator, Woodend </w:t>
            </w:r>
          </w:p>
        </w:tc>
        <w:tc>
          <w:tcPr>
            <w:tcW w:w="1843" w:type="dxa"/>
          </w:tcPr>
          <w:p w14:paraId="61D82177"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VIC</w:t>
            </w:r>
          </w:p>
        </w:tc>
      </w:tr>
      <w:tr w:rsidR="00782640" w:rsidRPr="00782640" w14:paraId="6410271F" w14:textId="77777777" w:rsidTr="00A41391">
        <w:tc>
          <w:tcPr>
            <w:tcW w:w="2397" w:type="dxa"/>
          </w:tcPr>
          <w:p w14:paraId="09DE4AEF"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Mr Peter Williams</w:t>
            </w:r>
          </w:p>
          <w:p w14:paraId="2FED5BF6" w14:textId="77777777" w:rsidR="00782640" w:rsidRPr="00782640" w:rsidRDefault="00782640" w:rsidP="00782640">
            <w:pPr>
              <w:autoSpaceDE w:val="0"/>
              <w:autoSpaceDN w:val="0"/>
              <w:adjustRightInd w:val="0"/>
              <w:rPr>
                <w:rFonts w:ascii="Calibri" w:eastAsia="Calibri" w:hAnsi="Calibri" w:cs="Times New Roman"/>
                <w:sz w:val="24"/>
              </w:rPr>
            </w:pPr>
          </w:p>
        </w:tc>
        <w:tc>
          <w:tcPr>
            <w:tcW w:w="5953" w:type="dxa"/>
          </w:tcPr>
          <w:p w14:paraId="3FEDBB7E"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 xml:space="preserve">Consumer Representative, Peak Committee, Kidney Health Australia </w:t>
            </w:r>
          </w:p>
        </w:tc>
        <w:tc>
          <w:tcPr>
            <w:tcW w:w="1843" w:type="dxa"/>
          </w:tcPr>
          <w:p w14:paraId="1E3EA36C"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VIC</w:t>
            </w:r>
          </w:p>
        </w:tc>
      </w:tr>
      <w:tr w:rsidR="00782640" w:rsidRPr="00782640" w14:paraId="10081D56" w14:textId="77777777" w:rsidTr="00A41391">
        <w:tc>
          <w:tcPr>
            <w:tcW w:w="2397" w:type="dxa"/>
          </w:tcPr>
          <w:p w14:paraId="5AB9B5A3" w14:textId="77777777" w:rsidR="00782640" w:rsidRPr="00782640" w:rsidRDefault="00782640" w:rsidP="00782640">
            <w:pPr>
              <w:autoSpaceDE w:val="0"/>
              <w:autoSpaceDN w:val="0"/>
              <w:adjustRightInd w:val="0"/>
              <w:rPr>
                <w:rFonts w:ascii="Calibri" w:eastAsia="Calibri" w:hAnsi="Calibri" w:cs="Calibri"/>
                <w:color w:val="000000"/>
                <w:sz w:val="24"/>
                <w:lang w:val="en-US"/>
              </w:rPr>
            </w:pPr>
            <w:r w:rsidRPr="00782640">
              <w:rPr>
                <w:rFonts w:ascii="Calibri" w:eastAsia="Calibri" w:hAnsi="Calibri" w:cs="Calibri"/>
                <w:color w:val="000000"/>
                <w:sz w:val="24"/>
                <w:lang w:val="en-US"/>
              </w:rPr>
              <w:t>Dr Lisa Murphy</w:t>
            </w:r>
          </w:p>
        </w:tc>
        <w:tc>
          <w:tcPr>
            <w:tcW w:w="5953" w:type="dxa"/>
          </w:tcPr>
          <w:p w14:paraId="217A2534" w14:textId="77777777" w:rsidR="00782640" w:rsidRPr="00782640" w:rsidRDefault="00782640" w:rsidP="00782640">
            <w:pPr>
              <w:autoSpaceDE w:val="0"/>
              <w:autoSpaceDN w:val="0"/>
              <w:adjustRightInd w:val="0"/>
              <w:rPr>
                <w:rFonts w:ascii="Calibri" w:eastAsia="Calibri" w:hAnsi="Calibri" w:cs="Calibri"/>
                <w:color w:val="000000"/>
                <w:sz w:val="24"/>
                <w:lang w:val="en-US"/>
              </w:rPr>
            </w:pPr>
            <w:r w:rsidRPr="00782640">
              <w:rPr>
                <w:rFonts w:ascii="Calibri" w:eastAsia="Calibri" w:hAnsi="Calibri" w:cs="Calibri"/>
                <w:color w:val="000000"/>
                <w:sz w:val="24"/>
                <w:lang w:val="en-US"/>
              </w:rPr>
              <w:t xml:space="preserve">General Manager, Prevention and Advocacy, Kidney Health Australia </w:t>
            </w:r>
          </w:p>
        </w:tc>
        <w:tc>
          <w:tcPr>
            <w:tcW w:w="1843" w:type="dxa"/>
          </w:tcPr>
          <w:p w14:paraId="65F20073" w14:textId="77777777" w:rsidR="00782640" w:rsidRPr="00782640" w:rsidRDefault="00782640" w:rsidP="00782640">
            <w:pPr>
              <w:jc w:val="center"/>
              <w:rPr>
                <w:rFonts w:ascii="Calibri" w:eastAsia="Calibri" w:hAnsi="Calibri" w:cs="Calibri"/>
                <w:color w:val="000000"/>
                <w:sz w:val="24"/>
                <w:lang w:val="en-US"/>
              </w:rPr>
            </w:pPr>
            <w:r w:rsidRPr="00782640">
              <w:rPr>
                <w:rFonts w:ascii="Calibri" w:eastAsia="Calibri" w:hAnsi="Calibri" w:cs="Calibri"/>
                <w:color w:val="000000"/>
                <w:sz w:val="24"/>
                <w:lang w:val="en-US"/>
              </w:rPr>
              <w:t>VIC</w:t>
            </w:r>
          </w:p>
        </w:tc>
      </w:tr>
      <w:tr w:rsidR="00782640" w:rsidRPr="00782640" w14:paraId="75172DC5" w14:textId="77777777" w:rsidTr="00A41391">
        <w:tc>
          <w:tcPr>
            <w:tcW w:w="2397" w:type="dxa"/>
          </w:tcPr>
          <w:p w14:paraId="225A32C0"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Prof Stephen McDonald</w:t>
            </w:r>
          </w:p>
        </w:tc>
        <w:tc>
          <w:tcPr>
            <w:tcW w:w="5953" w:type="dxa"/>
          </w:tcPr>
          <w:p w14:paraId="7959C6AA" w14:textId="77777777" w:rsidR="00782640" w:rsidRPr="00782640" w:rsidRDefault="00782640" w:rsidP="00782640">
            <w:pPr>
              <w:autoSpaceDE w:val="0"/>
              <w:autoSpaceDN w:val="0"/>
              <w:adjustRightInd w:val="0"/>
              <w:rPr>
                <w:rFonts w:ascii="Calibri" w:eastAsia="Calibri" w:hAnsi="Calibri" w:cs="Calibri"/>
                <w:color w:val="000000"/>
                <w:sz w:val="24"/>
                <w:lang w:val="en-US"/>
              </w:rPr>
            </w:pPr>
            <w:r w:rsidRPr="00782640">
              <w:rPr>
                <w:rFonts w:ascii="Calibri" w:eastAsia="Calibri" w:hAnsi="Calibri" w:cs="Calibri"/>
                <w:color w:val="000000"/>
                <w:sz w:val="24"/>
                <w:lang w:val="en-US"/>
              </w:rPr>
              <w:t>Nephrologist, Royal Adelaide Hospital</w:t>
            </w:r>
          </w:p>
        </w:tc>
        <w:tc>
          <w:tcPr>
            <w:tcW w:w="1843" w:type="dxa"/>
          </w:tcPr>
          <w:p w14:paraId="04275C93"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SA</w:t>
            </w:r>
          </w:p>
        </w:tc>
      </w:tr>
      <w:tr w:rsidR="00782640" w:rsidRPr="00782640" w14:paraId="2BD9CD1F" w14:textId="77777777" w:rsidTr="00A41391">
        <w:tc>
          <w:tcPr>
            <w:tcW w:w="2397" w:type="dxa"/>
          </w:tcPr>
          <w:p w14:paraId="1543CB84" w14:textId="77777777" w:rsidR="00782640" w:rsidRPr="00782640" w:rsidRDefault="00782640" w:rsidP="00782640">
            <w:pPr>
              <w:autoSpaceDE w:val="0"/>
              <w:autoSpaceDN w:val="0"/>
              <w:adjustRightInd w:val="0"/>
              <w:rPr>
                <w:rFonts w:ascii="Calibri" w:eastAsia="Calibri" w:hAnsi="Calibri" w:cs="Calibri"/>
                <w:color w:val="000000"/>
                <w:sz w:val="24"/>
                <w:lang w:val="en-US"/>
              </w:rPr>
            </w:pPr>
            <w:r w:rsidRPr="00782640">
              <w:rPr>
                <w:rFonts w:ascii="Calibri" w:eastAsia="Calibri" w:hAnsi="Calibri" w:cs="Calibri"/>
                <w:color w:val="000000"/>
                <w:sz w:val="24"/>
                <w:lang w:val="en-US"/>
              </w:rPr>
              <w:t>Dr Janet Kelly</w:t>
            </w:r>
          </w:p>
        </w:tc>
        <w:tc>
          <w:tcPr>
            <w:tcW w:w="5953" w:type="dxa"/>
          </w:tcPr>
          <w:p w14:paraId="64E33E9F" w14:textId="77777777" w:rsidR="00782640" w:rsidRPr="00782640" w:rsidRDefault="00782640" w:rsidP="00782640">
            <w:pPr>
              <w:autoSpaceDE w:val="0"/>
              <w:autoSpaceDN w:val="0"/>
              <w:adjustRightInd w:val="0"/>
              <w:rPr>
                <w:rFonts w:ascii="Calibri" w:eastAsia="Calibri" w:hAnsi="Calibri" w:cs="Calibri"/>
                <w:color w:val="000000"/>
                <w:sz w:val="24"/>
                <w:lang w:val="en-US"/>
              </w:rPr>
            </w:pPr>
            <w:r w:rsidRPr="00782640">
              <w:rPr>
                <w:rFonts w:ascii="Calibri" w:eastAsia="Calibri" w:hAnsi="Calibri" w:cs="Calibri"/>
                <w:color w:val="000000"/>
                <w:sz w:val="24"/>
                <w:lang w:val="en-US"/>
              </w:rPr>
              <w:t>University of Adelaide</w:t>
            </w:r>
          </w:p>
        </w:tc>
        <w:tc>
          <w:tcPr>
            <w:tcW w:w="1843" w:type="dxa"/>
          </w:tcPr>
          <w:p w14:paraId="7CE65863"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SA</w:t>
            </w:r>
          </w:p>
        </w:tc>
      </w:tr>
      <w:tr w:rsidR="00782640" w:rsidRPr="00782640" w14:paraId="187975D8" w14:textId="77777777" w:rsidTr="00A41391">
        <w:tc>
          <w:tcPr>
            <w:tcW w:w="2397" w:type="dxa"/>
          </w:tcPr>
          <w:p w14:paraId="5D9EDB2D" w14:textId="77777777" w:rsidR="00782640" w:rsidRPr="00782640" w:rsidRDefault="00782640" w:rsidP="00782640">
            <w:pPr>
              <w:autoSpaceDE w:val="0"/>
              <w:autoSpaceDN w:val="0"/>
              <w:adjustRightInd w:val="0"/>
              <w:rPr>
                <w:rFonts w:ascii="Calibri" w:eastAsia="Calibri" w:hAnsi="Calibri" w:cs="Calibri"/>
                <w:color w:val="000000"/>
                <w:sz w:val="24"/>
                <w:lang w:val="en-US"/>
              </w:rPr>
            </w:pPr>
            <w:r w:rsidRPr="00782640">
              <w:rPr>
                <w:rFonts w:ascii="Calibri" w:eastAsia="Calibri" w:hAnsi="Calibri" w:cs="Calibri"/>
                <w:color w:val="000000"/>
                <w:sz w:val="24"/>
                <w:lang w:val="en-US"/>
              </w:rPr>
              <w:t xml:space="preserve">Dr Susan Crail </w:t>
            </w:r>
          </w:p>
        </w:tc>
        <w:tc>
          <w:tcPr>
            <w:tcW w:w="5953" w:type="dxa"/>
          </w:tcPr>
          <w:p w14:paraId="324B410A" w14:textId="77777777" w:rsidR="00782640" w:rsidRPr="00782640" w:rsidRDefault="00D32AD3" w:rsidP="00782640">
            <w:pPr>
              <w:keepNext/>
              <w:keepLines/>
              <w:shd w:val="clear" w:color="auto" w:fill="FFFFFF"/>
              <w:textAlignment w:val="top"/>
              <w:outlineLvl w:val="0"/>
              <w:rPr>
                <w:rFonts w:ascii="Calibri Light" w:eastAsia="Times New Roman" w:hAnsi="Calibri Light" w:cs="Calibri"/>
                <w:color w:val="000000"/>
                <w:sz w:val="32"/>
                <w:szCs w:val="32"/>
                <w:lang w:val="en-US"/>
              </w:rPr>
            </w:pPr>
            <w:hyperlink r:id="rId99" w:history="1">
              <w:r w:rsidR="00782640" w:rsidRPr="00782640">
                <w:rPr>
                  <w:rFonts w:ascii="Calibri" w:eastAsia="Calibri" w:hAnsi="Calibri" w:cs="Calibri"/>
                  <w:color w:val="000000"/>
                  <w:sz w:val="24"/>
                  <w:lang w:val="en-US"/>
                </w:rPr>
                <w:t xml:space="preserve">Royal Adelaide Hospital, </w:t>
              </w:r>
            </w:hyperlink>
            <w:hyperlink r:id="rId100" w:history="1">
              <w:r w:rsidR="00782640" w:rsidRPr="00782640">
                <w:rPr>
                  <w:rFonts w:ascii="Calibri" w:eastAsia="Calibri" w:hAnsi="Calibri" w:cs="Calibri"/>
                  <w:color w:val="000000"/>
                  <w:sz w:val="24"/>
                  <w:lang w:val="en-US"/>
                </w:rPr>
                <w:t xml:space="preserve">Central Northern Adelaide Renal and Transplantation Service </w:t>
              </w:r>
            </w:hyperlink>
          </w:p>
        </w:tc>
        <w:tc>
          <w:tcPr>
            <w:tcW w:w="1843" w:type="dxa"/>
          </w:tcPr>
          <w:p w14:paraId="0C0AE17F"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SA</w:t>
            </w:r>
          </w:p>
        </w:tc>
      </w:tr>
      <w:tr w:rsidR="00782640" w:rsidRPr="00782640" w14:paraId="1FE7D139" w14:textId="77777777" w:rsidTr="00A41391">
        <w:tc>
          <w:tcPr>
            <w:tcW w:w="2397" w:type="dxa"/>
          </w:tcPr>
          <w:p w14:paraId="06AA957F" w14:textId="77777777" w:rsidR="00782640" w:rsidRPr="00782640" w:rsidRDefault="00782640" w:rsidP="00782640">
            <w:pPr>
              <w:autoSpaceDE w:val="0"/>
              <w:autoSpaceDN w:val="0"/>
              <w:adjustRightInd w:val="0"/>
              <w:rPr>
                <w:rFonts w:ascii="Calibri" w:eastAsia="Calibri" w:hAnsi="Calibri" w:cs="Calibri"/>
                <w:color w:val="000000"/>
                <w:sz w:val="24"/>
                <w:lang w:val="en-US"/>
              </w:rPr>
            </w:pPr>
            <w:proofErr w:type="spellStart"/>
            <w:r w:rsidRPr="00782640">
              <w:rPr>
                <w:rFonts w:ascii="Calibri" w:eastAsia="Calibri" w:hAnsi="Calibri" w:cs="Calibri"/>
                <w:color w:val="000000"/>
                <w:sz w:val="24"/>
                <w:lang w:val="en-US"/>
              </w:rPr>
              <w:lastRenderedPageBreak/>
              <w:t>Ms</w:t>
            </w:r>
            <w:proofErr w:type="spellEnd"/>
            <w:r w:rsidRPr="00782640">
              <w:rPr>
                <w:rFonts w:ascii="Calibri" w:eastAsia="Calibri" w:hAnsi="Calibri" w:cs="Calibri"/>
                <w:color w:val="000000"/>
                <w:sz w:val="24"/>
                <w:lang w:val="en-US"/>
              </w:rPr>
              <w:t xml:space="preserve"> Verity McTaggart</w:t>
            </w:r>
          </w:p>
        </w:tc>
        <w:tc>
          <w:tcPr>
            <w:tcW w:w="5953" w:type="dxa"/>
          </w:tcPr>
          <w:p w14:paraId="5935DB30" w14:textId="77777777" w:rsidR="00782640" w:rsidRPr="00782640" w:rsidRDefault="00782640" w:rsidP="00782640">
            <w:pPr>
              <w:autoSpaceDE w:val="0"/>
              <w:autoSpaceDN w:val="0"/>
              <w:adjustRightInd w:val="0"/>
              <w:rPr>
                <w:rFonts w:ascii="Calibri" w:eastAsia="Calibri" w:hAnsi="Calibri" w:cs="Calibri"/>
                <w:color w:val="000000"/>
                <w:sz w:val="24"/>
                <w:lang w:val="en-US"/>
              </w:rPr>
            </w:pPr>
            <w:r w:rsidRPr="00782640">
              <w:rPr>
                <w:rFonts w:ascii="Calibri" w:eastAsia="Calibri" w:hAnsi="Calibri" w:cs="Calibri"/>
                <w:color w:val="000000"/>
                <w:sz w:val="24"/>
                <w:lang w:val="en-US"/>
              </w:rPr>
              <w:t xml:space="preserve">Pika </w:t>
            </w:r>
            <w:proofErr w:type="spellStart"/>
            <w:r w:rsidRPr="00782640">
              <w:rPr>
                <w:rFonts w:ascii="Calibri" w:eastAsia="Calibri" w:hAnsi="Calibri" w:cs="Calibri"/>
                <w:color w:val="000000"/>
                <w:sz w:val="24"/>
                <w:lang w:val="en-US"/>
              </w:rPr>
              <w:t>Wiya</w:t>
            </w:r>
            <w:proofErr w:type="spellEnd"/>
            <w:r w:rsidRPr="00782640">
              <w:rPr>
                <w:rFonts w:ascii="Calibri" w:eastAsia="Calibri" w:hAnsi="Calibri" w:cs="Calibri"/>
                <w:color w:val="000000"/>
                <w:sz w:val="24"/>
                <w:lang w:val="en-US"/>
              </w:rPr>
              <w:t xml:space="preserve"> Health Service Aboriginal Corporation</w:t>
            </w:r>
          </w:p>
        </w:tc>
        <w:tc>
          <w:tcPr>
            <w:tcW w:w="1843" w:type="dxa"/>
          </w:tcPr>
          <w:p w14:paraId="0226A72B"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SA</w:t>
            </w:r>
          </w:p>
        </w:tc>
      </w:tr>
      <w:tr w:rsidR="00782640" w:rsidRPr="00782640" w14:paraId="7ACCDD13" w14:textId="77777777" w:rsidTr="00A41391">
        <w:tc>
          <w:tcPr>
            <w:tcW w:w="2397" w:type="dxa"/>
          </w:tcPr>
          <w:p w14:paraId="1B523ED2" w14:textId="77777777" w:rsidR="00782640" w:rsidRPr="00782640" w:rsidRDefault="00782640" w:rsidP="00782640">
            <w:pPr>
              <w:autoSpaceDE w:val="0"/>
              <w:autoSpaceDN w:val="0"/>
              <w:adjustRightInd w:val="0"/>
              <w:rPr>
                <w:rFonts w:ascii="Calibri" w:eastAsia="Calibri" w:hAnsi="Calibri" w:cs="Calibri"/>
                <w:color w:val="000000"/>
                <w:sz w:val="24"/>
                <w:lang w:val="en-US"/>
              </w:rPr>
            </w:pPr>
            <w:proofErr w:type="spellStart"/>
            <w:r w:rsidRPr="00782640">
              <w:rPr>
                <w:rFonts w:ascii="Calibri" w:eastAsia="Calibri" w:hAnsi="Calibri" w:cs="Calibri"/>
                <w:color w:val="000000"/>
                <w:sz w:val="24"/>
                <w:lang w:val="en-US"/>
              </w:rPr>
              <w:t>Ms</w:t>
            </w:r>
            <w:proofErr w:type="spellEnd"/>
            <w:r w:rsidRPr="00782640">
              <w:rPr>
                <w:rFonts w:ascii="Calibri" w:eastAsia="Calibri" w:hAnsi="Calibri" w:cs="Calibri"/>
                <w:color w:val="000000"/>
                <w:sz w:val="24"/>
                <w:lang w:val="en-US"/>
              </w:rPr>
              <w:t xml:space="preserve"> Laurel Dodd</w:t>
            </w:r>
          </w:p>
        </w:tc>
        <w:tc>
          <w:tcPr>
            <w:tcW w:w="5953" w:type="dxa"/>
          </w:tcPr>
          <w:p w14:paraId="3D40B0DE" w14:textId="77777777" w:rsidR="00782640" w:rsidRPr="00782640" w:rsidRDefault="00782640" w:rsidP="00782640">
            <w:pPr>
              <w:autoSpaceDE w:val="0"/>
              <w:autoSpaceDN w:val="0"/>
              <w:adjustRightInd w:val="0"/>
              <w:rPr>
                <w:rFonts w:ascii="Calibri" w:eastAsia="Calibri" w:hAnsi="Calibri" w:cs="Calibri"/>
                <w:color w:val="000000"/>
                <w:sz w:val="24"/>
                <w:lang w:val="en-US"/>
              </w:rPr>
            </w:pPr>
            <w:r w:rsidRPr="00782640">
              <w:rPr>
                <w:rFonts w:ascii="Calibri" w:eastAsia="Calibri" w:hAnsi="Calibri" w:cs="Calibri"/>
                <w:color w:val="000000"/>
                <w:sz w:val="24"/>
                <w:lang w:val="en-US"/>
              </w:rPr>
              <w:t xml:space="preserve">Pika </w:t>
            </w:r>
            <w:proofErr w:type="spellStart"/>
            <w:r w:rsidRPr="00782640">
              <w:rPr>
                <w:rFonts w:ascii="Calibri" w:eastAsia="Calibri" w:hAnsi="Calibri" w:cs="Calibri"/>
                <w:color w:val="000000"/>
                <w:sz w:val="24"/>
                <w:lang w:val="en-US"/>
              </w:rPr>
              <w:t>Wiya</w:t>
            </w:r>
            <w:proofErr w:type="spellEnd"/>
            <w:r w:rsidRPr="00782640">
              <w:rPr>
                <w:rFonts w:ascii="Calibri" w:eastAsia="Calibri" w:hAnsi="Calibri" w:cs="Calibri"/>
                <w:color w:val="000000"/>
                <w:sz w:val="24"/>
                <w:lang w:val="en-US"/>
              </w:rPr>
              <w:t xml:space="preserve"> Health Service Aboriginal Corporation</w:t>
            </w:r>
          </w:p>
        </w:tc>
        <w:tc>
          <w:tcPr>
            <w:tcW w:w="1843" w:type="dxa"/>
          </w:tcPr>
          <w:p w14:paraId="75CDFF6D"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SA</w:t>
            </w:r>
          </w:p>
        </w:tc>
      </w:tr>
      <w:tr w:rsidR="00782640" w:rsidRPr="00782640" w14:paraId="6F015CA0" w14:textId="77777777" w:rsidTr="00A41391">
        <w:tc>
          <w:tcPr>
            <w:tcW w:w="2397" w:type="dxa"/>
          </w:tcPr>
          <w:p w14:paraId="204A1212"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Dr Chris Bollen</w:t>
            </w:r>
          </w:p>
        </w:tc>
        <w:tc>
          <w:tcPr>
            <w:tcW w:w="5953" w:type="dxa"/>
          </w:tcPr>
          <w:p w14:paraId="54A4133B"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 xml:space="preserve">General Practitioner, </w:t>
            </w:r>
            <w:proofErr w:type="spellStart"/>
            <w:r w:rsidRPr="00782640">
              <w:rPr>
                <w:rFonts w:ascii="Calibri" w:eastAsia="Calibri" w:hAnsi="Calibri" w:cs="Times New Roman"/>
                <w:sz w:val="24"/>
              </w:rPr>
              <w:t>Oakden</w:t>
            </w:r>
            <w:proofErr w:type="spellEnd"/>
            <w:r w:rsidRPr="00782640">
              <w:rPr>
                <w:rFonts w:ascii="Calibri" w:eastAsia="Calibri" w:hAnsi="Calibri" w:cs="Times New Roman"/>
                <w:sz w:val="24"/>
              </w:rPr>
              <w:t xml:space="preserve"> Medical Centre</w:t>
            </w:r>
          </w:p>
        </w:tc>
        <w:tc>
          <w:tcPr>
            <w:tcW w:w="1843" w:type="dxa"/>
          </w:tcPr>
          <w:p w14:paraId="35829E58"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SA</w:t>
            </w:r>
          </w:p>
        </w:tc>
      </w:tr>
      <w:tr w:rsidR="00782640" w:rsidRPr="00782640" w14:paraId="59925503" w14:textId="77777777" w:rsidTr="00A41391">
        <w:tc>
          <w:tcPr>
            <w:tcW w:w="2397" w:type="dxa"/>
          </w:tcPr>
          <w:p w14:paraId="224B4AFB"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Dr Caitlin Sum</w:t>
            </w:r>
          </w:p>
        </w:tc>
        <w:tc>
          <w:tcPr>
            <w:tcW w:w="5953" w:type="dxa"/>
          </w:tcPr>
          <w:p w14:paraId="3D88458B" w14:textId="77777777" w:rsidR="00782640" w:rsidRPr="00782640" w:rsidRDefault="00782640" w:rsidP="00782640">
            <w:pPr>
              <w:rPr>
                <w:rFonts w:ascii="Calibri" w:eastAsia="Calibri" w:hAnsi="Calibri" w:cs="Times New Roman"/>
                <w:sz w:val="24"/>
              </w:rPr>
            </w:pPr>
            <w:r w:rsidRPr="00782640">
              <w:rPr>
                <w:rFonts w:ascii="Calibri" w:eastAsia="Calibri" w:hAnsi="Calibri" w:cs="Times New Roman"/>
                <w:sz w:val="24"/>
              </w:rPr>
              <w:t>General Practitioner, Medical HQ</w:t>
            </w:r>
          </w:p>
        </w:tc>
        <w:tc>
          <w:tcPr>
            <w:tcW w:w="1843" w:type="dxa"/>
          </w:tcPr>
          <w:p w14:paraId="2FE0AE7A"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SA</w:t>
            </w:r>
          </w:p>
        </w:tc>
      </w:tr>
      <w:tr w:rsidR="00782640" w:rsidRPr="00782640" w14:paraId="7D8371AB" w14:textId="77777777" w:rsidTr="00A41391">
        <w:tc>
          <w:tcPr>
            <w:tcW w:w="2397" w:type="dxa"/>
          </w:tcPr>
          <w:p w14:paraId="5DD433FF" w14:textId="77777777" w:rsidR="00782640" w:rsidRPr="00782640" w:rsidRDefault="00782640" w:rsidP="00782640">
            <w:pPr>
              <w:autoSpaceDE w:val="0"/>
              <w:autoSpaceDN w:val="0"/>
              <w:adjustRightInd w:val="0"/>
              <w:rPr>
                <w:rFonts w:ascii="Calibri" w:eastAsia="Calibri" w:hAnsi="Calibri" w:cs="Calibri"/>
                <w:color w:val="000000"/>
                <w:sz w:val="24"/>
                <w:lang w:val="en-US"/>
              </w:rPr>
            </w:pPr>
            <w:r w:rsidRPr="00782640">
              <w:rPr>
                <w:rFonts w:ascii="Calibri" w:eastAsia="Calibri" w:hAnsi="Calibri" w:cs="Calibri"/>
                <w:color w:val="000000"/>
                <w:sz w:val="24"/>
                <w:lang w:val="en-US"/>
              </w:rPr>
              <w:t>A/Prof. Shilpa Jesudason</w:t>
            </w:r>
          </w:p>
        </w:tc>
        <w:tc>
          <w:tcPr>
            <w:tcW w:w="5953" w:type="dxa"/>
          </w:tcPr>
          <w:p w14:paraId="30DBAAA9" w14:textId="77777777" w:rsidR="00782640" w:rsidRPr="00782640" w:rsidRDefault="00782640" w:rsidP="00782640">
            <w:pPr>
              <w:autoSpaceDE w:val="0"/>
              <w:autoSpaceDN w:val="0"/>
              <w:adjustRightInd w:val="0"/>
              <w:rPr>
                <w:rFonts w:ascii="Calibri" w:eastAsia="Calibri" w:hAnsi="Calibri" w:cs="Calibri"/>
                <w:color w:val="000000"/>
                <w:sz w:val="24"/>
                <w:lang w:val="en-US"/>
              </w:rPr>
            </w:pPr>
            <w:r w:rsidRPr="00782640">
              <w:rPr>
                <w:rFonts w:ascii="Calibri" w:eastAsia="Calibri" w:hAnsi="Calibri" w:cs="Calibri"/>
                <w:color w:val="000000"/>
                <w:sz w:val="24"/>
                <w:lang w:val="en-US"/>
              </w:rPr>
              <w:t xml:space="preserve">Clinical Director, Kidney Health Australia </w:t>
            </w:r>
          </w:p>
        </w:tc>
        <w:tc>
          <w:tcPr>
            <w:tcW w:w="1843" w:type="dxa"/>
          </w:tcPr>
          <w:p w14:paraId="762ED3E2" w14:textId="77777777" w:rsidR="00782640" w:rsidRPr="00782640" w:rsidRDefault="00782640" w:rsidP="00782640">
            <w:pPr>
              <w:jc w:val="center"/>
              <w:rPr>
                <w:rFonts w:ascii="Calibri" w:eastAsia="Calibri" w:hAnsi="Calibri" w:cs="Times New Roman"/>
                <w:sz w:val="24"/>
              </w:rPr>
            </w:pPr>
            <w:r w:rsidRPr="00782640">
              <w:rPr>
                <w:rFonts w:ascii="Calibri" w:eastAsia="Calibri" w:hAnsi="Calibri" w:cs="Times New Roman"/>
                <w:sz w:val="24"/>
              </w:rPr>
              <w:t>SA</w:t>
            </w:r>
          </w:p>
        </w:tc>
      </w:tr>
      <w:tr w:rsidR="00782640" w:rsidRPr="00782640" w14:paraId="4D0CD4CB" w14:textId="77777777" w:rsidTr="00A41391">
        <w:tc>
          <w:tcPr>
            <w:tcW w:w="2397" w:type="dxa"/>
          </w:tcPr>
          <w:p w14:paraId="36ACB4F8" w14:textId="77777777" w:rsidR="00782640" w:rsidRPr="00782640" w:rsidRDefault="00782640" w:rsidP="00782640">
            <w:pPr>
              <w:autoSpaceDE w:val="0"/>
              <w:autoSpaceDN w:val="0"/>
              <w:adjustRightInd w:val="0"/>
              <w:rPr>
                <w:rFonts w:ascii="Calibri" w:eastAsia="Calibri" w:hAnsi="Calibri" w:cs="Calibri"/>
                <w:color w:val="000000"/>
                <w:sz w:val="24"/>
                <w:lang w:val="en-US"/>
              </w:rPr>
            </w:pPr>
            <w:r w:rsidRPr="00782640">
              <w:rPr>
                <w:rFonts w:ascii="Calibri" w:eastAsia="Calibri" w:hAnsi="Calibri" w:cs="Calibri"/>
                <w:color w:val="000000"/>
                <w:sz w:val="24"/>
                <w:lang w:val="en-US"/>
              </w:rPr>
              <w:t xml:space="preserve">Dr Marie Ludlow </w:t>
            </w:r>
          </w:p>
        </w:tc>
        <w:tc>
          <w:tcPr>
            <w:tcW w:w="5953" w:type="dxa"/>
          </w:tcPr>
          <w:p w14:paraId="1AA74DB6" w14:textId="77777777" w:rsidR="00782640" w:rsidRPr="00782640" w:rsidRDefault="00782640" w:rsidP="00782640">
            <w:pPr>
              <w:autoSpaceDE w:val="0"/>
              <w:autoSpaceDN w:val="0"/>
              <w:adjustRightInd w:val="0"/>
              <w:rPr>
                <w:rFonts w:ascii="Calibri" w:eastAsia="Calibri" w:hAnsi="Calibri" w:cs="Calibri"/>
                <w:color w:val="000000"/>
                <w:sz w:val="24"/>
                <w:lang w:val="en-US"/>
              </w:rPr>
            </w:pPr>
            <w:r w:rsidRPr="00782640">
              <w:rPr>
                <w:rFonts w:ascii="Calibri" w:eastAsia="Calibri" w:hAnsi="Calibri" w:cs="Calibri"/>
                <w:color w:val="000000"/>
                <w:sz w:val="24"/>
                <w:lang w:val="en-US"/>
              </w:rPr>
              <w:t xml:space="preserve">General Manager, Community Programs, Kidney Health Australia </w:t>
            </w:r>
          </w:p>
        </w:tc>
        <w:tc>
          <w:tcPr>
            <w:tcW w:w="1843" w:type="dxa"/>
          </w:tcPr>
          <w:p w14:paraId="1F5CFAC3" w14:textId="77777777" w:rsidR="00782640" w:rsidRPr="00782640" w:rsidRDefault="00782640" w:rsidP="00782640">
            <w:pPr>
              <w:jc w:val="center"/>
              <w:rPr>
                <w:rFonts w:ascii="Calibri" w:eastAsia="Calibri" w:hAnsi="Calibri" w:cs="Calibri"/>
                <w:color w:val="000000"/>
                <w:sz w:val="24"/>
                <w:lang w:val="en-US"/>
              </w:rPr>
            </w:pPr>
            <w:r w:rsidRPr="00782640">
              <w:rPr>
                <w:rFonts w:ascii="Calibri" w:eastAsia="Calibri" w:hAnsi="Calibri" w:cs="Calibri"/>
                <w:color w:val="000000"/>
                <w:sz w:val="24"/>
                <w:lang w:val="en-US"/>
              </w:rPr>
              <w:t>SA</w:t>
            </w:r>
          </w:p>
        </w:tc>
      </w:tr>
      <w:tr w:rsidR="00782640" w:rsidRPr="00782640" w14:paraId="53F79515" w14:textId="77777777" w:rsidTr="00A41391">
        <w:tc>
          <w:tcPr>
            <w:tcW w:w="2397" w:type="dxa"/>
          </w:tcPr>
          <w:p w14:paraId="004C544E" w14:textId="77777777" w:rsidR="00782640" w:rsidRPr="00782640" w:rsidRDefault="00782640" w:rsidP="00782640">
            <w:pPr>
              <w:autoSpaceDE w:val="0"/>
              <w:autoSpaceDN w:val="0"/>
              <w:adjustRightInd w:val="0"/>
              <w:rPr>
                <w:rFonts w:ascii="Calibri" w:eastAsia="Calibri" w:hAnsi="Calibri" w:cs="Calibri"/>
                <w:color w:val="000000"/>
                <w:sz w:val="24"/>
                <w:lang w:val="en-US"/>
              </w:rPr>
            </w:pPr>
            <w:proofErr w:type="spellStart"/>
            <w:r w:rsidRPr="00782640">
              <w:rPr>
                <w:rFonts w:ascii="Calibri" w:eastAsia="Calibri" w:hAnsi="Calibri" w:cs="Calibri"/>
                <w:color w:val="000000"/>
                <w:sz w:val="24"/>
                <w:lang w:val="en-US"/>
              </w:rPr>
              <w:t>Ms</w:t>
            </w:r>
            <w:proofErr w:type="spellEnd"/>
            <w:r w:rsidRPr="00782640">
              <w:rPr>
                <w:rFonts w:ascii="Calibri" w:eastAsia="Calibri" w:hAnsi="Calibri" w:cs="Calibri"/>
                <w:color w:val="000000"/>
                <w:sz w:val="24"/>
                <w:lang w:val="en-US"/>
              </w:rPr>
              <w:t xml:space="preserve"> Breonny Robson</w:t>
            </w:r>
          </w:p>
        </w:tc>
        <w:tc>
          <w:tcPr>
            <w:tcW w:w="5953" w:type="dxa"/>
          </w:tcPr>
          <w:p w14:paraId="0B4ADEAD" w14:textId="77777777" w:rsidR="00782640" w:rsidRPr="00782640" w:rsidRDefault="00782640" w:rsidP="00782640">
            <w:pPr>
              <w:autoSpaceDE w:val="0"/>
              <w:autoSpaceDN w:val="0"/>
              <w:adjustRightInd w:val="0"/>
              <w:rPr>
                <w:rFonts w:ascii="Calibri" w:eastAsia="Calibri" w:hAnsi="Calibri" w:cs="Calibri"/>
                <w:color w:val="000000"/>
                <w:sz w:val="24"/>
                <w:lang w:val="en-US"/>
              </w:rPr>
            </w:pPr>
            <w:r w:rsidRPr="00782640">
              <w:rPr>
                <w:rFonts w:ascii="Calibri" w:eastAsia="Calibri" w:hAnsi="Calibri" w:cs="Calibri"/>
                <w:color w:val="000000"/>
                <w:sz w:val="24"/>
                <w:lang w:val="en-US"/>
              </w:rPr>
              <w:t xml:space="preserve">National Education Manager, Kidney Health Australia </w:t>
            </w:r>
          </w:p>
          <w:p w14:paraId="524D3803" w14:textId="77777777" w:rsidR="00782640" w:rsidRPr="00782640" w:rsidRDefault="00782640" w:rsidP="00782640">
            <w:pPr>
              <w:autoSpaceDE w:val="0"/>
              <w:autoSpaceDN w:val="0"/>
              <w:adjustRightInd w:val="0"/>
              <w:rPr>
                <w:rFonts w:ascii="Calibri" w:eastAsia="Calibri" w:hAnsi="Calibri" w:cs="Calibri"/>
                <w:color w:val="000000"/>
                <w:sz w:val="24"/>
                <w:lang w:val="en-US"/>
              </w:rPr>
            </w:pPr>
          </w:p>
        </w:tc>
        <w:tc>
          <w:tcPr>
            <w:tcW w:w="1843" w:type="dxa"/>
          </w:tcPr>
          <w:p w14:paraId="776AB6E6" w14:textId="77777777" w:rsidR="00782640" w:rsidRPr="00782640" w:rsidRDefault="00782640" w:rsidP="00782640">
            <w:pPr>
              <w:jc w:val="center"/>
              <w:rPr>
                <w:rFonts w:ascii="Calibri" w:eastAsia="Calibri" w:hAnsi="Calibri" w:cs="Calibri"/>
                <w:color w:val="000000"/>
                <w:sz w:val="24"/>
                <w:lang w:val="en-US"/>
              </w:rPr>
            </w:pPr>
            <w:r w:rsidRPr="00782640">
              <w:rPr>
                <w:rFonts w:ascii="Calibri" w:eastAsia="Calibri" w:hAnsi="Calibri" w:cs="Calibri"/>
                <w:color w:val="000000"/>
                <w:sz w:val="24"/>
                <w:lang w:val="en-US"/>
              </w:rPr>
              <w:t>SA</w:t>
            </w:r>
          </w:p>
        </w:tc>
      </w:tr>
      <w:tr w:rsidR="00782640" w:rsidRPr="00782640" w14:paraId="5EE7AE2A" w14:textId="77777777" w:rsidTr="00A41391">
        <w:tc>
          <w:tcPr>
            <w:tcW w:w="2397" w:type="dxa"/>
          </w:tcPr>
          <w:p w14:paraId="5C1F2676" w14:textId="77777777" w:rsidR="00782640" w:rsidRPr="00782640" w:rsidRDefault="00782640" w:rsidP="00782640">
            <w:pPr>
              <w:autoSpaceDE w:val="0"/>
              <w:autoSpaceDN w:val="0"/>
              <w:adjustRightInd w:val="0"/>
              <w:rPr>
                <w:rFonts w:ascii="Calibri" w:eastAsia="Calibri" w:hAnsi="Calibri" w:cs="Calibri"/>
                <w:color w:val="000000"/>
                <w:sz w:val="24"/>
                <w:lang w:val="en-US"/>
              </w:rPr>
            </w:pPr>
            <w:proofErr w:type="spellStart"/>
            <w:r w:rsidRPr="00782640">
              <w:rPr>
                <w:rFonts w:ascii="Calibri" w:eastAsia="Calibri" w:hAnsi="Calibri" w:cs="Calibri"/>
                <w:color w:val="000000"/>
                <w:sz w:val="24"/>
                <w:lang w:val="en-US"/>
              </w:rPr>
              <w:t>Ms</w:t>
            </w:r>
            <w:proofErr w:type="spellEnd"/>
            <w:r w:rsidRPr="00782640">
              <w:rPr>
                <w:rFonts w:ascii="Calibri" w:eastAsia="Calibri" w:hAnsi="Calibri" w:cs="Calibri"/>
                <w:color w:val="000000"/>
                <w:sz w:val="24"/>
                <w:lang w:val="en-US"/>
              </w:rPr>
              <w:t xml:space="preserve"> Dora Oliva</w:t>
            </w:r>
          </w:p>
        </w:tc>
        <w:tc>
          <w:tcPr>
            <w:tcW w:w="5953" w:type="dxa"/>
          </w:tcPr>
          <w:p w14:paraId="321362EC" w14:textId="77777777" w:rsidR="00782640" w:rsidRPr="00782640" w:rsidRDefault="00782640" w:rsidP="00782640">
            <w:pPr>
              <w:autoSpaceDE w:val="0"/>
              <w:autoSpaceDN w:val="0"/>
              <w:adjustRightInd w:val="0"/>
              <w:rPr>
                <w:rFonts w:ascii="Calibri" w:eastAsia="Calibri" w:hAnsi="Calibri" w:cs="Calibri"/>
                <w:color w:val="000000"/>
                <w:sz w:val="24"/>
                <w:lang w:val="en-US"/>
              </w:rPr>
            </w:pPr>
            <w:r w:rsidRPr="00782640">
              <w:rPr>
                <w:rFonts w:ascii="Calibri" w:eastAsia="Calibri" w:hAnsi="Calibri" w:cs="Calibri"/>
                <w:color w:val="000000"/>
                <w:sz w:val="24"/>
                <w:lang w:val="en-US"/>
              </w:rPr>
              <w:t>National Manager, Indigenous Kidney Health, Kidney Health Australia</w:t>
            </w:r>
          </w:p>
        </w:tc>
        <w:tc>
          <w:tcPr>
            <w:tcW w:w="1843" w:type="dxa"/>
          </w:tcPr>
          <w:p w14:paraId="2CC6BA59" w14:textId="77777777" w:rsidR="00782640" w:rsidRPr="00782640" w:rsidRDefault="00782640" w:rsidP="00782640">
            <w:pPr>
              <w:jc w:val="center"/>
              <w:rPr>
                <w:rFonts w:ascii="Calibri" w:eastAsia="Calibri" w:hAnsi="Calibri" w:cs="Calibri"/>
                <w:color w:val="000000"/>
                <w:sz w:val="24"/>
                <w:lang w:val="en-US"/>
              </w:rPr>
            </w:pPr>
            <w:r w:rsidRPr="00782640">
              <w:rPr>
                <w:rFonts w:ascii="Calibri" w:eastAsia="Calibri" w:hAnsi="Calibri" w:cs="Calibri"/>
                <w:color w:val="000000"/>
                <w:sz w:val="24"/>
                <w:lang w:val="en-US"/>
              </w:rPr>
              <w:t>SA</w:t>
            </w:r>
          </w:p>
        </w:tc>
      </w:tr>
      <w:tr w:rsidR="00782640" w:rsidRPr="00782640" w14:paraId="6C501380" w14:textId="77777777" w:rsidTr="00A41391">
        <w:tc>
          <w:tcPr>
            <w:tcW w:w="2397" w:type="dxa"/>
          </w:tcPr>
          <w:p w14:paraId="7911662F" w14:textId="77777777" w:rsidR="00782640" w:rsidRPr="00782640" w:rsidRDefault="00782640" w:rsidP="00782640">
            <w:pPr>
              <w:autoSpaceDE w:val="0"/>
              <w:autoSpaceDN w:val="0"/>
              <w:adjustRightInd w:val="0"/>
              <w:rPr>
                <w:rFonts w:ascii="Calibri" w:eastAsia="Calibri" w:hAnsi="Calibri" w:cs="Calibri"/>
                <w:color w:val="000000"/>
                <w:sz w:val="24"/>
                <w:lang w:val="en-US"/>
              </w:rPr>
            </w:pPr>
            <w:proofErr w:type="spellStart"/>
            <w:r w:rsidRPr="00782640">
              <w:rPr>
                <w:rFonts w:ascii="Calibri" w:eastAsia="Calibri" w:hAnsi="Calibri" w:cs="Calibri"/>
                <w:color w:val="000000"/>
                <w:sz w:val="24"/>
                <w:lang w:val="en-US"/>
              </w:rPr>
              <w:t>Mrs</w:t>
            </w:r>
            <w:proofErr w:type="spellEnd"/>
            <w:r w:rsidRPr="00782640">
              <w:rPr>
                <w:rFonts w:ascii="Calibri" w:eastAsia="Calibri" w:hAnsi="Calibri" w:cs="Calibri"/>
                <w:color w:val="000000"/>
                <w:sz w:val="24"/>
                <w:lang w:val="en-US"/>
              </w:rPr>
              <w:t xml:space="preserve"> Claire Sheeky</w:t>
            </w:r>
          </w:p>
          <w:p w14:paraId="2B8A0C9D" w14:textId="77777777" w:rsidR="00782640" w:rsidRPr="00782640" w:rsidRDefault="00782640" w:rsidP="00782640">
            <w:pPr>
              <w:autoSpaceDE w:val="0"/>
              <w:autoSpaceDN w:val="0"/>
              <w:adjustRightInd w:val="0"/>
              <w:rPr>
                <w:rFonts w:ascii="Calibri" w:eastAsia="Calibri" w:hAnsi="Calibri" w:cs="Calibri"/>
                <w:color w:val="000000"/>
                <w:sz w:val="24"/>
                <w:lang w:val="en-US"/>
              </w:rPr>
            </w:pPr>
          </w:p>
        </w:tc>
        <w:tc>
          <w:tcPr>
            <w:tcW w:w="5953" w:type="dxa"/>
          </w:tcPr>
          <w:p w14:paraId="6A12C078" w14:textId="77777777" w:rsidR="00782640" w:rsidRPr="00782640" w:rsidRDefault="00782640" w:rsidP="00782640">
            <w:pPr>
              <w:autoSpaceDE w:val="0"/>
              <w:autoSpaceDN w:val="0"/>
              <w:adjustRightInd w:val="0"/>
              <w:rPr>
                <w:rFonts w:ascii="Calibri" w:eastAsia="Calibri" w:hAnsi="Calibri" w:cs="Calibri"/>
                <w:color w:val="000000"/>
                <w:sz w:val="24"/>
                <w:lang w:val="en-US"/>
              </w:rPr>
            </w:pPr>
            <w:r w:rsidRPr="00782640">
              <w:rPr>
                <w:rFonts w:ascii="Calibri" w:eastAsia="Calibri" w:hAnsi="Calibri" w:cs="Calibri"/>
                <w:color w:val="000000"/>
                <w:sz w:val="24"/>
                <w:lang w:val="en-US"/>
              </w:rPr>
              <w:t>National Primary Care Education Officer, Kidney Health Australia SA</w:t>
            </w:r>
          </w:p>
        </w:tc>
        <w:tc>
          <w:tcPr>
            <w:tcW w:w="1843" w:type="dxa"/>
          </w:tcPr>
          <w:p w14:paraId="6C6EA8D6" w14:textId="77777777" w:rsidR="00782640" w:rsidRPr="00782640" w:rsidRDefault="00782640" w:rsidP="00782640">
            <w:pPr>
              <w:autoSpaceDE w:val="0"/>
              <w:autoSpaceDN w:val="0"/>
              <w:adjustRightInd w:val="0"/>
              <w:jc w:val="center"/>
              <w:rPr>
                <w:rFonts w:ascii="Calibri" w:eastAsia="Calibri" w:hAnsi="Calibri" w:cs="Calibri"/>
                <w:color w:val="000000"/>
                <w:sz w:val="24"/>
                <w:lang w:val="en-US"/>
              </w:rPr>
            </w:pPr>
            <w:r w:rsidRPr="00782640">
              <w:rPr>
                <w:rFonts w:ascii="Calibri" w:eastAsia="Calibri" w:hAnsi="Calibri" w:cs="Calibri"/>
                <w:color w:val="000000"/>
                <w:sz w:val="24"/>
                <w:lang w:val="en-US"/>
              </w:rPr>
              <w:t>SA</w:t>
            </w:r>
          </w:p>
        </w:tc>
      </w:tr>
      <w:tr w:rsidR="00782640" w:rsidRPr="00782640" w14:paraId="66F43BA0" w14:textId="77777777" w:rsidTr="00A41391">
        <w:tc>
          <w:tcPr>
            <w:tcW w:w="2397" w:type="dxa"/>
          </w:tcPr>
          <w:p w14:paraId="5708F5C8" w14:textId="77777777" w:rsidR="00782640" w:rsidRPr="00782640" w:rsidRDefault="00782640" w:rsidP="00782640">
            <w:pPr>
              <w:autoSpaceDE w:val="0"/>
              <w:autoSpaceDN w:val="0"/>
              <w:adjustRightInd w:val="0"/>
              <w:rPr>
                <w:rFonts w:ascii="Calibri" w:eastAsia="Calibri" w:hAnsi="Calibri" w:cs="Calibri"/>
                <w:color w:val="000000"/>
                <w:sz w:val="24"/>
                <w:lang w:val="en-US"/>
              </w:rPr>
            </w:pPr>
            <w:proofErr w:type="spellStart"/>
            <w:r w:rsidRPr="00782640">
              <w:rPr>
                <w:rFonts w:ascii="Calibri" w:eastAsia="Calibri" w:hAnsi="Calibri" w:cs="Calibri"/>
                <w:color w:val="000000"/>
                <w:sz w:val="24"/>
                <w:lang w:val="en-US"/>
              </w:rPr>
              <w:t>Ms</w:t>
            </w:r>
            <w:proofErr w:type="spellEnd"/>
            <w:r w:rsidRPr="00782640">
              <w:rPr>
                <w:rFonts w:ascii="Calibri" w:eastAsia="Calibri" w:hAnsi="Calibri" w:cs="Calibri"/>
                <w:color w:val="000000"/>
                <w:sz w:val="24"/>
                <w:lang w:val="en-US"/>
              </w:rPr>
              <w:t xml:space="preserve"> Joanna Stoic </w:t>
            </w:r>
          </w:p>
        </w:tc>
        <w:tc>
          <w:tcPr>
            <w:tcW w:w="5953" w:type="dxa"/>
          </w:tcPr>
          <w:p w14:paraId="0DC9E33C" w14:textId="77777777" w:rsidR="00782640" w:rsidRPr="00782640" w:rsidRDefault="00782640" w:rsidP="00782640">
            <w:pPr>
              <w:autoSpaceDE w:val="0"/>
              <w:autoSpaceDN w:val="0"/>
              <w:adjustRightInd w:val="0"/>
              <w:rPr>
                <w:rFonts w:ascii="Calibri" w:eastAsia="Calibri" w:hAnsi="Calibri" w:cs="Calibri"/>
                <w:color w:val="000000"/>
                <w:sz w:val="24"/>
                <w:lang w:val="en-US"/>
              </w:rPr>
            </w:pPr>
            <w:r w:rsidRPr="00782640">
              <w:rPr>
                <w:rFonts w:ascii="Calibri" w:eastAsia="Calibri" w:hAnsi="Calibri" w:cs="Calibri"/>
                <w:color w:val="000000"/>
                <w:sz w:val="24"/>
                <w:lang w:val="en-US"/>
              </w:rPr>
              <w:t xml:space="preserve">Executive Support Officer, Community Programs, Kidney Health Australia </w:t>
            </w:r>
          </w:p>
        </w:tc>
        <w:tc>
          <w:tcPr>
            <w:tcW w:w="1843" w:type="dxa"/>
          </w:tcPr>
          <w:p w14:paraId="151F25A7" w14:textId="77777777" w:rsidR="00782640" w:rsidRPr="00782640" w:rsidRDefault="00782640" w:rsidP="00782640">
            <w:pPr>
              <w:jc w:val="center"/>
              <w:rPr>
                <w:rFonts w:ascii="Calibri" w:eastAsia="Calibri" w:hAnsi="Calibri" w:cs="Calibri"/>
                <w:color w:val="000000"/>
                <w:sz w:val="24"/>
                <w:lang w:val="en-US"/>
              </w:rPr>
            </w:pPr>
            <w:r w:rsidRPr="00782640">
              <w:rPr>
                <w:rFonts w:ascii="Calibri" w:eastAsia="Calibri" w:hAnsi="Calibri" w:cs="Calibri"/>
                <w:color w:val="000000"/>
                <w:sz w:val="24"/>
                <w:lang w:val="en-US"/>
              </w:rPr>
              <w:t>SA</w:t>
            </w:r>
          </w:p>
        </w:tc>
      </w:tr>
    </w:tbl>
    <w:p w14:paraId="42A05FA9" w14:textId="77777777" w:rsidR="00782640" w:rsidRPr="00782640" w:rsidRDefault="00782640" w:rsidP="00782640">
      <w:pPr>
        <w:spacing w:after="0" w:line="240" w:lineRule="auto"/>
        <w:jc w:val="center"/>
        <w:rPr>
          <w:rFonts w:ascii="Calibri" w:eastAsia="Calibri" w:hAnsi="Calibri" w:cs="Times New Roman"/>
          <w:sz w:val="24"/>
          <w:szCs w:val="24"/>
        </w:rPr>
      </w:pPr>
    </w:p>
    <w:p w14:paraId="1D82BDDF" w14:textId="77777777" w:rsidR="00782640" w:rsidRPr="00782640" w:rsidRDefault="00782640" w:rsidP="00782640">
      <w:pPr>
        <w:spacing w:after="0" w:line="240" w:lineRule="auto"/>
        <w:jc w:val="center"/>
        <w:rPr>
          <w:rFonts w:ascii="Calibri" w:eastAsia="Calibri" w:hAnsi="Calibri" w:cs="Times New Roman"/>
          <w:sz w:val="24"/>
          <w:szCs w:val="24"/>
        </w:rPr>
      </w:pPr>
    </w:p>
    <w:p w14:paraId="3BBAE7EF" w14:textId="77777777" w:rsidR="00782640" w:rsidRPr="00782640" w:rsidRDefault="00782640" w:rsidP="00782640">
      <w:pPr>
        <w:spacing w:after="0" w:line="240" w:lineRule="auto"/>
        <w:jc w:val="both"/>
        <w:rPr>
          <w:rFonts w:ascii="Calibri" w:eastAsia="Times New Roman" w:hAnsi="Calibri" w:cs="Times New Roman"/>
          <w:color w:val="C45911"/>
          <w:sz w:val="24"/>
          <w:szCs w:val="24"/>
          <w:lang w:val="en-US"/>
        </w:rPr>
      </w:pPr>
    </w:p>
    <w:p w14:paraId="0C608016" w14:textId="77777777" w:rsidR="00782640" w:rsidRPr="00782640" w:rsidRDefault="00782640" w:rsidP="00782640">
      <w:pPr>
        <w:spacing w:after="0" w:line="240" w:lineRule="auto"/>
        <w:jc w:val="both"/>
        <w:rPr>
          <w:rFonts w:ascii="Calibri" w:eastAsia="Times New Roman" w:hAnsi="Calibri" w:cs="Times New Roman"/>
          <w:color w:val="C45911"/>
          <w:sz w:val="32"/>
          <w:szCs w:val="32"/>
          <w:lang w:val="en-US"/>
        </w:rPr>
      </w:pPr>
    </w:p>
    <w:p w14:paraId="6D1E91AC" w14:textId="77777777" w:rsidR="00782640" w:rsidRPr="00782640" w:rsidRDefault="00782640" w:rsidP="00782640">
      <w:pPr>
        <w:spacing w:after="0" w:line="240" w:lineRule="auto"/>
        <w:jc w:val="both"/>
        <w:rPr>
          <w:rFonts w:ascii="Calibri" w:eastAsia="Times New Roman" w:hAnsi="Calibri" w:cs="Times New Roman"/>
          <w:color w:val="C45911"/>
          <w:sz w:val="32"/>
          <w:szCs w:val="32"/>
          <w:lang w:val="en-US"/>
        </w:rPr>
      </w:pPr>
    </w:p>
    <w:p w14:paraId="48C770D7" w14:textId="77777777" w:rsidR="00782640" w:rsidRPr="00782640" w:rsidRDefault="00782640" w:rsidP="00782640">
      <w:pPr>
        <w:spacing w:after="0" w:line="240" w:lineRule="auto"/>
        <w:jc w:val="both"/>
        <w:rPr>
          <w:rFonts w:ascii="Calibri" w:eastAsia="Times New Roman" w:hAnsi="Calibri" w:cs="Times New Roman"/>
          <w:color w:val="C45911"/>
          <w:sz w:val="32"/>
          <w:szCs w:val="32"/>
          <w:lang w:val="en-US"/>
        </w:rPr>
      </w:pPr>
    </w:p>
    <w:p w14:paraId="2640BD9A" w14:textId="77777777" w:rsidR="00782640" w:rsidRPr="00782640" w:rsidRDefault="00782640" w:rsidP="00782640">
      <w:pPr>
        <w:spacing w:after="0" w:line="240" w:lineRule="auto"/>
        <w:jc w:val="both"/>
        <w:rPr>
          <w:rFonts w:ascii="Calibri" w:eastAsia="Times New Roman" w:hAnsi="Calibri" w:cs="Times New Roman"/>
          <w:color w:val="C45911"/>
          <w:sz w:val="32"/>
          <w:szCs w:val="32"/>
          <w:lang w:val="en-US"/>
        </w:rPr>
      </w:pPr>
    </w:p>
    <w:p w14:paraId="1CB67A17" w14:textId="77777777" w:rsidR="00782640" w:rsidRPr="00782640" w:rsidRDefault="00782640" w:rsidP="00782640">
      <w:pPr>
        <w:spacing w:after="0" w:line="240" w:lineRule="auto"/>
        <w:jc w:val="both"/>
        <w:rPr>
          <w:rFonts w:ascii="Calibri" w:eastAsia="Times New Roman" w:hAnsi="Calibri" w:cs="Times New Roman"/>
          <w:color w:val="C45911"/>
          <w:sz w:val="32"/>
          <w:szCs w:val="32"/>
          <w:lang w:val="en-US"/>
        </w:rPr>
      </w:pPr>
    </w:p>
    <w:p w14:paraId="1F76803A" w14:textId="77777777" w:rsidR="00782640" w:rsidRPr="00782640" w:rsidRDefault="00782640" w:rsidP="00782640">
      <w:pPr>
        <w:spacing w:after="0" w:line="240" w:lineRule="auto"/>
        <w:jc w:val="both"/>
        <w:rPr>
          <w:rFonts w:ascii="Calibri" w:eastAsia="Times New Roman" w:hAnsi="Calibri" w:cs="Times New Roman"/>
          <w:color w:val="C45911"/>
          <w:sz w:val="32"/>
          <w:szCs w:val="32"/>
          <w:lang w:val="en-US"/>
        </w:rPr>
      </w:pPr>
    </w:p>
    <w:p w14:paraId="2021E992" w14:textId="77777777" w:rsidR="00782640" w:rsidRPr="00782640" w:rsidRDefault="00782640" w:rsidP="00782640">
      <w:pPr>
        <w:spacing w:after="0" w:line="240" w:lineRule="auto"/>
        <w:jc w:val="both"/>
        <w:rPr>
          <w:rFonts w:ascii="Calibri" w:eastAsia="Times New Roman" w:hAnsi="Calibri" w:cs="Times New Roman"/>
          <w:color w:val="C45911"/>
          <w:sz w:val="32"/>
          <w:szCs w:val="32"/>
          <w:lang w:val="en-US"/>
        </w:rPr>
      </w:pPr>
    </w:p>
    <w:p w14:paraId="500A37DE" w14:textId="77777777" w:rsidR="00782640" w:rsidRPr="00782640" w:rsidRDefault="00782640" w:rsidP="00782640">
      <w:pPr>
        <w:spacing w:after="0" w:line="240" w:lineRule="auto"/>
        <w:jc w:val="both"/>
        <w:rPr>
          <w:rFonts w:ascii="Calibri" w:eastAsia="Times New Roman" w:hAnsi="Calibri" w:cs="Times New Roman"/>
          <w:color w:val="C45911"/>
          <w:sz w:val="32"/>
          <w:szCs w:val="32"/>
          <w:lang w:val="en-US"/>
        </w:rPr>
      </w:pPr>
    </w:p>
    <w:p w14:paraId="330E1179" w14:textId="77777777" w:rsidR="00782640" w:rsidRPr="00782640" w:rsidRDefault="00782640" w:rsidP="00782640">
      <w:pPr>
        <w:spacing w:after="0" w:line="240" w:lineRule="auto"/>
        <w:jc w:val="both"/>
        <w:rPr>
          <w:rFonts w:ascii="Calibri" w:eastAsia="Times New Roman" w:hAnsi="Calibri" w:cs="Times New Roman"/>
          <w:color w:val="C45911"/>
          <w:sz w:val="32"/>
          <w:szCs w:val="32"/>
          <w:lang w:val="en-US"/>
        </w:rPr>
      </w:pPr>
    </w:p>
    <w:p w14:paraId="3DC10FEC" w14:textId="77777777" w:rsidR="00782640" w:rsidRPr="00782640" w:rsidRDefault="00782640" w:rsidP="00782640">
      <w:pPr>
        <w:spacing w:after="0" w:line="240" w:lineRule="auto"/>
        <w:jc w:val="both"/>
        <w:rPr>
          <w:rFonts w:ascii="Calibri" w:eastAsia="Times New Roman" w:hAnsi="Calibri" w:cs="Times New Roman"/>
          <w:color w:val="C45911"/>
          <w:sz w:val="32"/>
          <w:szCs w:val="32"/>
          <w:lang w:val="en-US"/>
        </w:rPr>
      </w:pPr>
    </w:p>
    <w:p w14:paraId="328C96B8" w14:textId="77777777" w:rsidR="00782640" w:rsidRPr="00782640" w:rsidRDefault="00782640" w:rsidP="00782640">
      <w:pPr>
        <w:spacing w:after="0" w:line="240" w:lineRule="auto"/>
        <w:jc w:val="both"/>
        <w:rPr>
          <w:rFonts w:ascii="Calibri" w:eastAsia="Times New Roman" w:hAnsi="Calibri" w:cs="Times New Roman"/>
          <w:color w:val="C45911"/>
          <w:sz w:val="32"/>
          <w:szCs w:val="32"/>
          <w:lang w:val="en-US"/>
        </w:rPr>
      </w:pPr>
    </w:p>
    <w:p w14:paraId="567EDD58" w14:textId="77777777" w:rsidR="00782640" w:rsidRPr="00782640" w:rsidRDefault="00782640" w:rsidP="00782640">
      <w:pPr>
        <w:spacing w:after="0" w:line="240" w:lineRule="auto"/>
        <w:jc w:val="both"/>
        <w:rPr>
          <w:rFonts w:ascii="Calibri" w:eastAsia="Times New Roman" w:hAnsi="Calibri" w:cs="Times New Roman"/>
          <w:color w:val="C45911"/>
          <w:sz w:val="32"/>
          <w:szCs w:val="32"/>
          <w:lang w:val="en-US"/>
        </w:rPr>
      </w:pPr>
    </w:p>
    <w:p w14:paraId="5BFE6444" w14:textId="77777777" w:rsidR="00782640" w:rsidRPr="00782640" w:rsidRDefault="00782640" w:rsidP="00782640">
      <w:pPr>
        <w:spacing w:after="0" w:line="240" w:lineRule="auto"/>
        <w:jc w:val="both"/>
        <w:rPr>
          <w:rFonts w:ascii="Calibri" w:eastAsia="Times New Roman" w:hAnsi="Calibri" w:cs="Times New Roman"/>
          <w:color w:val="C45911"/>
          <w:sz w:val="32"/>
          <w:szCs w:val="32"/>
          <w:lang w:val="en-US"/>
        </w:rPr>
      </w:pPr>
    </w:p>
    <w:p w14:paraId="495962BD" w14:textId="77777777" w:rsidR="00782640" w:rsidRPr="00782640" w:rsidRDefault="00782640" w:rsidP="00782640">
      <w:pPr>
        <w:spacing w:after="0" w:line="240" w:lineRule="auto"/>
        <w:jc w:val="both"/>
        <w:rPr>
          <w:rFonts w:ascii="Calibri" w:eastAsia="Times New Roman" w:hAnsi="Calibri" w:cs="Times New Roman"/>
          <w:color w:val="C45911"/>
          <w:sz w:val="32"/>
          <w:szCs w:val="32"/>
          <w:lang w:val="en-US"/>
        </w:rPr>
      </w:pPr>
    </w:p>
    <w:p w14:paraId="052DC4EE" w14:textId="77777777" w:rsidR="00782640" w:rsidRPr="00782640" w:rsidRDefault="00782640" w:rsidP="00782640">
      <w:pPr>
        <w:spacing w:after="0" w:line="240" w:lineRule="auto"/>
        <w:jc w:val="both"/>
        <w:rPr>
          <w:rFonts w:ascii="Calibri" w:eastAsia="Times New Roman" w:hAnsi="Calibri" w:cs="Times New Roman"/>
          <w:color w:val="C45911"/>
          <w:sz w:val="32"/>
          <w:szCs w:val="32"/>
          <w:lang w:val="en-US"/>
        </w:rPr>
      </w:pPr>
    </w:p>
    <w:p w14:paraId="47E890E3" w14:textId="77777777" w:rsidR="00782640" w:rsidRPr="00782640" w:rsidRDefault="00782640" w:rsidP="00782640">
      <w:pPr>
        <w:spacing w:after="0" w:line="240" w:lineRule="auto"/>
        <w:jc w:val="both"/>
        <w:rPr>
          <w:rFonts w:ascii="Calibri" w:eastAsia="Times New Roman" w:hAnsi="Calibri" w:cs="Times New Roman"/>
          <w:color w:val="C45911"/>
          <w:sz w:val="32"/>
          <w:szCs w:val="32"/>
          <w:lang w:val="en-US"/>
        </w:rPr>
      </w:pPr>
    </w:p>
    <w:p w14:paraId="400B37AC" w14:textId="77777777" w:rsidR="00782640" w:rsidRPr="00782640" w:rsidRDefault="00782640" w:rsidP="00782640">
      <w:pPr>
        <w:spacing w:after="0" w:line="240" w:lineRule="auto"/>
        <w:jc w:val="both"/>
        <w:rPr>
          <w:rFonts w:ascii="Calibri" w:eastAsia="Times New Roman" w:hAnsi="Calibri" w:cs="Times New Roman"/>
          <w:color w:val="C45911"/>
          <w:sz w:val="32"/>
          <w:szCs w:val="32"/>
          <w:lang w:val="en-US"/>
        </w:rPr>
      </w:pPr>
    </w:p>
    <w:p w14:paraId="096387D8" w14:textId="77777777" w:rsidR="00782640" w:rsidRPr="00782640" w:rsidRDefault="00782640" w:rsidP="00782640">
      <w:pPr>
        <w:spacing w:after="0" w:line="240" w:lineRule="auto"/>
        <w:jc w:val="both"/>
        <w:rPr>
          <w:rFonts w:ascii="Calibri" w:eastAsia="Times New Roman" w:hAnsi="Calibri" w:cs="Times New Roman"/>
          <w:color w:val="C45911"/>
          <w:sz w:val="32"/>
          <w:szCs w:val="32"/>
          <w:lang w:val="en-US"/>
        </w:rPr>
      </w:pPr>
    </w:p>
    <w:p w14:paraId="4A5F3273" w14:textId="77777777" w:rsidR="00782640" w:rsidRPr="00782640" w:rsidRDefault="00782640" w:rsidP="00782640">
      <w:pPr>
        <w:spacing w:after="0" w:line="240" w:lineRule="auto"/>
        <w:jc w:val="both"/>
        <w:rPr>
          <w:rFonts w:ascii="Calibri" w:eastAsia="Times New Roman" w:hAnsi="Calibri" w:cs="Times New Roman"/>
          <w:color w:val="C45911"/>
          <w:sz w:val="32"/>
          <w:szCs w:val="32"/>
          <w:lang w:val="en-US"/>
        </w:rPr>
      </w:pPr>
    </w:p>
    <w:p w14:paraId="442308B2" w14:textId="77777777" w:rsidR="0016723C" w:rsidRDefault="0016723C" w:rsidP="00782640">
      <w:pPr>
        <w:spacing w:after="0" w:line="240" w:lineRule="auto"/>
        <w:rPr>
          <w:rFonts w:ascii="Adelle Sans ExtraBold" w:eastAsia="Calibri" w:hAnsi="Adelle Sans ExtraBold" w:cs="Times New Roman"/>
          <w:b/>
          <w:bCs/>
          <w:color w:val="C00000"/>
          <w:sz w:val="40"/>
          <w:szCs w:val="40"/>
        </w:rPr>
      </w:pPr>
      <w:r>
        <w:rPr>
          <w:rFonts w:ascii="Adelle Sans ExtraBold" w:eastAsia="Calibri" w:hAnsi="Adelle Sans ExtraBold" w:cs="Times New Roman"/>
          <w:b/>
          <w:bCs/>
          <w:color w:val="C00000"/>
          <w:sz w:val="40"/>
          <w:szCs w:val="40"/>
        </w:rPr>
        <w:br w:type="page"/>
      </w:r>
    </w:p>
    <w:p w14:paraId="411F3C78" w14:textId="15B7B838" w:rsidR="00782640" w:rsidRPr="00EC7110" w:rsidRDefault="00782640" w:rsidP="00782640">
      <w:pPr>
        <w:spacing w:after="0" w:line="240" w:lineRule="auto"/>
        <w:rPr>
          <w:rFonts w:ascii="Adelle Sans ExtraBold" w:eastAsia="Calibri" w:hAnsi="Adelle Sans ExtraBold" w:cs="Times New Roman"/>
          <w:b/>
          <w:bCs/>
          <w:color w:val="C00000"/>
          <w:sz w:val="40"/>
          <w:szCs w:val="40"/>
        </w:rPr>
      </w:pPr>
      <w:r w:rsidRPr="00EC7110">
        <w:rPr>
          <w:rFonts w:ascii="Adelle Sans ExtraBold" w:eastAsia="Calibri" w:hAnsi="Adelle Sans ExtraBold" w:cs="Times New Roman"/>
          <w:b/>
          <w:bCs/>
          <w:color w:val="C00000"/>
          <w:sz w:val="40"/>
          <w:szCs w:val="40"/>
        </w:rPr>
        <w:lastRenderedPageBreak/>
        <w:t>Appendix C</w:t>
      </w:r>
    </w:p>
    <w:p w14:paraId="665FA780" w14:textId="77777777" w:rsidR="00782640" w:rsidRPr="00782640" w:rsidRDefault="00782640" w:rsidP="00782640">
      <w:pPr>
        <w:spacing w:after="0" w:line="240" w:lineRule="auto"/>
        <w:jc w:val="both"/>
        <w:rPr>
          <w:rFonts w:ascii="Calibri" w:eastAsia="Calibri" w:hAnsi="Calibri" w:cs="Times New Roman"/>
          <w:b/>
          <w:sz w:val="24"/>
          <w:szCs w:val="24"/>
        </w:rPr>
      </w:pPr>
    </w:p>
    <w:p w14:paraId="7EA9C684" w14:textId="77777777" w:rsidR="00782640" w:rsidRPr="00782640" w:rsidRDefault="00782640" w:rsidP="00782640">
      <w:pPr>
        <w:spacing w:after="0" w:line="240" w:lineRule="auto"/>
        <w:jc w:val="center"/>
        <w:rPr>
          <w:rFonts w:ascii="Calibri" w:eastAsia="Calibri" w:hAnsi="Calibri" w:cs="Times New Roman"/>
          <w:b/>
          <w:sz w:val="24"/>
          <w:szCs w:val="24"/>
        </w:rPr>
      </w:pPr>
      <w:r w:rsidRPr="00782640">
        <w:rPr>
          <w:rFonts w:ascii="Calibri" w:eastAsia="Calibri" w:hAnsi="Calibri" w:cs="Times New Roman"/>
          <w:b/>
          <w:sz w:val="24"/>
          <w:szCs w:val="24"/>
        </w:rPr>
        <w:t>Framework of Questions for Discussion: Expert Panel tele/video conferences</w:t>
      </w:r>
    </w:p>
    <w:p w14:paraId="67A525ED" w14:textId="77777777" w:rsidR="00CF2E5A" w:rsidRDefault="00CF2E5A" w:rsidP="00782640">
      <w:pPr>
        <w:spacing w:after="0" w:line="240" w:lineRule="auto"/>
        <w:jc w:val="both"/>
        <w:rPr>
          <w:rFonts w:ascii="Calibri" w:eastAsia="Calibri" w:hAnsi="Calibri" w:cs="Times New Roman"/>
          <w:b/>
          <w:sz w:val="24"/>
          <w:szCs w:val="24"/>
        </w:rPr>
      </w:pPr>
    </w:p>
    <w:p w14:paraId="5231C12B" w14:textId="17245387" w:rsidR="00782640" w:rsidRPr="00782640" w:rsidRDefault="00CF2E5A" w:rsidP="00782640">
      <w:pPr>
        <w:spacing w:after="0" w:line="240" w:lineRule="auto"/>
        <w:jc w:val="both"/>
        <w:rPr>
          <w:rFonts w:ascii="Calibri" w:eastAsia="Calibri" w:hAnsi="Calibri" w:cs="Times New Roman"/>
          <w:b/>
          <w:sz w:val="24"/>
          <w:szCs w:val="24"/>
        </w:rPr>
      </w:pPr>
      <w:r w:rsidRPr="00CF2E5A">
        <w:rPr>
          <w:rFonts w:ascii="Calibri" w:eastAsia="Calibri" w:hAnsi="Calibri" w:cs="Times New Roman"/>
          <w:b/>
          <w:sz w:val="24"/>
          <w:szCs w:val="24"/>
        </w:rPr>
        <w:t>Usefulness of Existing CKD Guidelines</w:t>
      </w:r>
    </w:p>
    <w:tbl>
      <w:tblPr>
        <w:tblStyle w:val="TableGrid3"/>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108" w:type="dxa"/>
          <w:bottom w:w="108" w:type="dxa"/>
        </w:tblCellMar>
        <w:tblLook w:val="04A0" w:firstRow="1" w:lastRow="0" w:firstColumn="1" w:lastColumn="0" w:noHBand="0" w:noVBand="1"/>
      </w:tblPr>
      <w:tblGrid>
        <w:gridCol w:w="4527"/>
        <w:gridCol w:w="4483"/>
      </w:tblGrid>
      <w:tr w:rsidR="00782640" w:rsidRPr="00782640" w14:paraId="0BCBEBF9" w14:textId="77777777" w:rsidTr="00782640">
        <w:trPr>
          <w:trHeight w:val="397"/>
        </w:trPr>
        <w:tc>
          <w:tcPr>
            <w:tcW w:w="4527" w:type="dxa"/>
            <w:shd w:val="clear" w:color="auto" w:fill="FF0000"/>
            <w:vAlign w:val="center"/>
          </w:tcPr>
          <w:p w14:paraId="59CC7B57" w14:textId="77777777" w:rsidR="00782640" w:rsidRPr="00782640" w:rsidRDefault="00782640" w:rsidP="00782640">
            <w:pPr>
              <w:jc w:val="center"/>
              <w:rPr>
                <w:rFonts w:ascii="Calibri" w:eastAsia="Calibri" w:hAnsi="Calibri" w:cs="Times New Roman"/>
                <w:b/>
                <w:color w:val="FFFFFF"/>
                <w:sz w:val="24"/>
              </w:rPr>
            </w:pPr>
            <w:bookmarkStart w:id="104" w:name="_Hlk24528522"/>
            <w:r w:rsidRPr="00917039">
              <w:rPr>
                <w:rFonts w:ascii="Calibri" w:eastAsia="Calibri" w:hAnsi="Calibri" w:cs="Times New Roman"/>
                <w:b/>
                <w:color w:val="000000" w:themeColor="text1"/>
                <w:sz w:val="24"/>
              </w:rPr>
              <w:t>TOPIC</w:t>
            </w:r>
          </w:p>
        </w:tc>
        <w:tc>
          <w:tcPr>
            <w:tcW w:w="4483" w:type="dxa"/>
            <w:shd w:val="clear" w:color="auto" w:fill="FF0000"/>
            <w:vAlign w:val="center"/>
          </w:tcPr>
          <w:p w14:paraId="14A4A7F4" w14:textId="77777777" w:rsidR="00782640" w:rsidRPr="00782640" w:rsidRDefault="00782640" w:rsidP="00782640">
            <w:pPr>
              <w:jc w:val="center"/>
              <w:rPr>
                <w:rFonts w:ascii="Calibri" w:eastAsia="Calibri" w:hAnsi="Calibri" w:cs="Times New Roman"/>
                <w:b/>
                <w:color w:val="FFFFFF"/>
                <w:sz w:val="24"/>
              </w:rPr>
            </w:pPr>
            <w:r w:rsidRPr="00917039">
              <w:rPr>
                <w:rFonts w:ascii="Calibri" w:eastAsia="Calibri" w:hAnsi="Calibri" w:cs="Times New Roman"/>
                <w:b/>
                <w:color w:val="000000" w:themeColor="text1"/>
                <w:sz w:val="24"/>
              </w:rPr>
              <w:t>CONSIDER THESE ISSUES</w:t>
            </w:r>
          </w:p>
        </w:tc>
      </w:tr>
      <w:bookmarkEnd w:id="104"/>
      <w:tr w:rsidR="00782640" w:rsidRPr="00782640" w14:paraId="6F6C1A19" w14:textId="77777777" w:rsidTr="00782640">
        <w:tc>
          <w:tcPr>
            <w:tcW w:w="4527" w:type="dxa"/>
          </w:tcPr>
          <w:p w14:paraId="572D2EAB" w14:textId="77777777" w:rsidR="00782640" w:rsidRPr="00782640" w:rsidRDefault="00782640" w:rsidP="00782640">
            <w:pPr>
              <w:numPr>
                <w:ilvl w:val="0"/>
                <w:numId w:val="91"/>
              </w:numPr>
              <w:contextualSpacing/>
              <w:jc w:val="both"/>
              <w:rPr>
                <w:rFonts w:ascii="Calibri" w:eastAsia="Calibri" w:hAnsi="Calibri" w:cs="Times New Roman"/>
                <w:sz w:val="24"/>
              </w:rPr>
            </w:pPr>
            <w:r w:rsidRPr="00782640">
              <w:rPr>
                <w:rFonts w:ascii="Calibri" w:eastAsia="Calibri" w:hAnsi="Calibri" w:cs="Times New Roman"/>
                <w:sz w:val="24"/>
              </w:rPr>
              <w:t xml:space="preserve">Which guidelines / evidence bases are routinely used in practice? </w:t>
            </w:r>
          </w:p>
          <w:p w14:paraId="7B6442B0" w14:textId="77777777" w:rsidR="00782640" w:rsidRPr="00782640" w:rsidRDefault="00782640" w:rsidP="00782640">
            <w:pPr>
              <w:jc w:val="both"/>
              <w:rPr>
                <w:rFonts w:ascii="Calibri" w:eastAsia="Calibri" w:hAnsi="Calibri" w:cs="Times New Roman"/>
                <w:sz w:val="24"/>
              </w:rPr>
            </w:pPr>
          </w:p>
        </w:tc>
        <w:tc>
          <w:tcPr>
            <w:tcW w:w="4483" w:type="dxa"/>
          </w:tcPr>
          <w:p w14:paraId="505F61B5" w14:textId="77777777" w:rsidR="00782640" w:rsidRPr="00782640" w:rsidRDefault="00782640" w:rsidP="00782640">
            <w:pPr>
              <w:jc w:val="both"/>
              <w:rPr>
                <w:rFonts w:ascii="Calibri" w:eastAsia="Calibri" w:hAnsi="Calibri" w:cs="Times New Roman"/>
                <w:sz w:val="24"/>
              </w:rPr>
            </w:pPr>
            <w:r w:rsidRPr="00782640">
              <w:rPr>
                <w:rFonts w:ascii="Calibri" w:eastAsia="Calibri" w:hAnsi="Calibri" w:cs="Times New Roman"/>
                <w:sz w:val="24"/>
              </w:rPr>
              <w:t>Local, Kidney Health Australia CKD Handbook, KHA-CARI, International (KDIGO), Cochrane</w:t>
            </w:r>
          </w:p>
          <w:p w14:paraId="76343BAF" w14:textId="77777777" w:rsidR="00782640" w:rsidRPr="00782640" w:rsidRDefault="00782640" w:rsidP="00782640">
            <w:pPr>
              <w:jc w:val="both"/>
              <w:rPr>
                <w:rFonts w:ascii="Calibri" w:eastAsia="Calibri" w:hAnsi="Calibri" w:cs="Times New Roman"/>
                <w:sz w:val="24"/>
              </w:rPr>
            </w:pPr>
            <w:r w:rsidRPr="00782640">
              <w:rPr>
                <w:rFonts w:ascii="Calibri" w:eastAsia="Calibri" w:hAnsi="Calibri" w:cs="Times New Roman"/>
                <w:sz w:val="24"/>
              </w:rPr>
              <w:t>Awareness of these Guidelines</w:t>
            </w:r>
          </w:p>
          <w:p w14:paraId="4CE2AE19" w14:textId="77777777" w:rsidR="00782640" w:rsidRPr="00782640" w:rsidRDefault="00782640" w:rsidP="00782640">
            <w:pPr>
              <w:jc w:val="both"/>
              <w:rPr>
                <w:rFonts w:ascii="Calibri" w:eastAsia="Calibri" w:hAnsi="Calibri" w:cs="Times New Roman"/>
                <w:sz w:val="24"/>
              </w:rPr>
            </w:pPr>
            <w:r w:rsidRPr="00782640">
              <w:rPr>
                <w:rFonts w:ascii="Calibri" w:eastAsia="Calibri" w:hAnsi="Calibri" w:cs="Times New Roman"/>
                <w:sz w:val="24"/>
              </w:rPr>
              <w:t xml:space="preserve">Barriers to Awareness </w:t>
            </w:r>
          </w:p>
          <w:p w14:paraId="2F3DC2EF" w14:textId="77777777" w:rsidR="00782640" w:rsidRPr="00782640" w:rsidRDefault="00782640" w:rsidP="00782640">
            <w:pPr>
              <w:jc w:val="both"/>
              <w:rPr>
                <w:rFonts w:ascii="Calibri" w:eastAsia="Calibri" w:hAnsi="Calibri" w:cs="Times New Roman"/>
                <w:sz w:val="24"/>
              </w:rPr>
            </w:pPr>
          </w:p>
        </w:tc>
      </w:tr>
      <w:tr w:rsidR="00782640" w:rsidRPr="00782640" w14:paraId="25017200" w14:textId="77777777" w:rsidTr="00782640">
        <w:tc>
          <w:tcPr>
            <w:tcW w:w="4527" w:type="dxa"/>
          </w:tcPr>
          <w:p w14:paraId="213211AB" w14:textId="77777777" w:rsidR="00782640" w:rsidRPr="00782640" w:rsidRDefault="00782640" w:rsidP="00782640">
            <w:pPr>
              <w:numPr>
                <w:ilvl w:val="0"/>
                <w:numId w:val="91"/>
              </w:numPr>
              <w:contextualSpacing/>
              <w:jc w:val="both"/>
              <w:rPr>
                <w:rFonts w:ascii="Calibri" w:eastAsia="Calibri" w:hAnsi="Calibri" w:cs="Times New Roman"/>
                <w:sz w:val="24"/>
              </w:rPr>
            </w:pPr>
            <w:r w:rsidRPr="00782640">
              <w:rPr>
                <w:rFonts w:ascii="Calibri" w:eastAsia="Calibri" w:hAnsi="Calibri" w:cs="Times New Roman"/>
                <w:sz w:val="24"/>
              </w:rPr>
              <w:t xml:space="preserve">Are these guidelines useful in ABORIGINAL AND TORRES STRAIT ISLANDER cohorts? </w:t>
            </w:r>
          </w:p>
          <w:p w14:paraId="18DC85D8" w14:textId="77777777" w:rsidR="00782640" w:rsidRPr="00782640" w:rsidRDefault="00782640" w:rsidP="00782640">
            <w:pPr>
              <w:jc w:val="both"/>
              <w:rPr>
                <w:rFonts w:ascii="Calibri" w:eastAsia="Calibri" w:hAnsi="Calibri" w:cs="Times New Roman"/>
                <w:sz w:val="24"/>
              </w:rPr>
            </w:pPr>
          </w:p>
        </w:tc>
        <w:tc>
          <w:tcPr>
            <w:tcW w:w="4483" w:type="dxa"/>
          </w:tcPr>
          <w:p w14:paraId="5F077633" w14:textId="77777777" w:rsidR="00782640" w:rsidRPr="00782640" w:rsidRDefault="00782640" w:rsidP="00782640">
            <w:pPr>
              <w:jc w:val="both"/>
              <w:rPr>
                <w:rFonts w:ascii="Calibri" w:eastAsia="Calibri" w:hAnsi="Calibri" w:cs="Times New Roman"/>
                <w:sz w:val="24"/>
              </w:rPr>
            </w:pPr>
            <w:r w:rsidRPr="00782640">
              <w:rPr>
                <w:rFonts w:ascii="Calibri" w:eastAsia="Calibri" w:hAnsi="Calibri" w:cs="Times New Roman"/>
                <w:sz w:val="24"/>
              </w:rPr>
              <w:t>Biological factors</w:t>
            </w:r>
          </w:p>
          <w:p w14:paraId="3C4E6E5A" w14:textId="77777777" w:rsidR="00782640" w:rsidRPr="00782640" w:rsidRDefault="00782640" w:rsidP="00782640">
            <w:pPr>
              <w:jc w:val="both"/>
              <w:rPr>
                <w:rFonts w:ascii="Calibri" w:eastAsia="Calibri" w:hAnsi="Calibri" w:cs="Times New Roman"/>
                <w:sz w:val="24"/>
              </w:rPr>
            </w:pPr>
            <w:r w:rsidRPr="00782640">
              <w:rPr>
                <w:rFonts w:ascii="Calibri" w:eastAsia="Calibri" w:hAnsi="Calibri" w:cs="Times New Roman"/>
                <w:sz w:val="24"/>
              </w:rPr>
              <w:t>Cultural issues</w:t>
            </w:r>
          </w:p>
          <w:p w14:paraId="27EC34C9" w14:textId="77777777" w:rsidR="00782640" w:rsidRPr="00782640" w:rsidRDefault="00782640" w:rsidP="00782640">
            <w:pPr>
              <w:jc w:val="both"/>
              <w:rPr>
                <w:rFonts w:ascii="Calibri" w:eastAsia="Calibri" w:hAnsi="Calibri" w:cs="Times New Roman"/>
                <w:sz w:val="24"/>
              </w:rPr>
            </w:pPr>
            <w:r w:rsidRPr="00782640">
              <w:rPr>
                <w:rFonts w:ascii="Calibri" w:eastAsia="Calibri" w:hAnsi="Calibri" w:cs="Times New Roman"/>
                <w:sz w:val="24"/>
              </w:rPr>
              <w:t>Social / demographic factors</w:t>
            </w:r>
          </w:p>
          <w:p w14:paraId="2BB1BE70" w14:textId="77777777" w:rsidR="00782640" w:rsidRPr="00782640" w:rsidRDefault="00782640" w:rsidP="00782640">
            <w:pPr>
              <w:jc w:val="both"/>
              <w:rPr>
                <w:rFonts w:ascii="Calibri" w:eastAsia="Calibri" w:hAnsi="Calibri" w:cs="Times New Roman"/>
                <w:sz w:val="24"/>
              </w:rPr>
            </w:pPr>
            <w:r w:rsidRPr="00782640">
              <w:rPr>
                <w:rFonts w:ascii="Calibri" w:eastAsia="Calibri" w:hAnsi="Calibri" w:cs="Times New Roman"/>
                <w:sz w:val="24"/>
              </w:rPr>
              <w:t xml:space="preserve">Gaps in the guideline topics </w:t>
            </w:r>
          </w:p>
          <w:p w14:paraId="5CE3AA19" w14:textId="77777777" w:rsidR="00782640" w:rsidRPr="00782640" w:rsidRDefault="00782640" w:rsidP="00782640">
            <w:pPr>
              <w:jc w:val="both"/>
              <w:rPr>
                <w:rFonts w:ascii="Calibri" w:eastAsia="Calibri" w:hAnsi="Calibri" w:cs="Times New Roman"/>
                <w:sz w:val="24"/>
              </w:rPr>
            </w:pPr>
          </w:p>
        </w:tc>
      </w:tr>
      <w:tr w:rsidR="00782640" w:rsidRPr="00782640" w14:paraId="4CF0BAD4" w14:textId="77777777" w:rsidTr="00782640">
        <w:tc>
          <w:tcPr>
            <w:tcW w:w="4527" w:type="dxa"/>
          </w:tcPr>
          <w:p w14:paraId="437F3993" w14:textId="77777777" w:rsidR="00782640" w:rsidRPr="00782640" w:rsidRDefault="00782640" w:rsidP="00782640">
            <w:pPr>
              <w:numPr>
                <w:ilvl w:val="0"/>
                <w:numId w:val="91"/>
              </w:numPr>
              <w:contextualSpacing/>
              <w:jc w:val="both"/>
              <w:rPr>
                <w:rFonts w:ascii="Calibri" w:eastAsia="Calibri" w:hAnsi="Calibri" w:cs="Times New Roman"/>
                <w:sz w:val="24"/>
              </w:rPr>
            </w:pPr>
            <w:r w:rsidRPr="00782640">
              <w:rPr>
                <w:rFonts w:ascii="Calibri" w:eastAsia="Calibri" w:hAnsi="Calibri" w:cs="Times New Roman"/>
                <w:sz w:val="24"/>
              </w:rPr>
              <w:t xml:space="preserve">What are the key barriers to guideline usefulness? </w:t>
            </w:r>
          </w:p>
          <w:p w14:paraId="02D09280" w14:textId="77777777" w:rsidR="00782640" w:rsidRPr="00782640" w:rsidRDefault="00782640" w:rsidP="00782640">
            <w:pPr>
              <w:jc w:val="both"/>
              <w:rPr>
                <w:rFonts w:ascii="Calibri" w:eastAsia="Calibri" w:hAnsi="Calibri" w:cs="Times New Roman"/>
                <w:sz w:val="24"/>
              </w:rPr>
            </w:pPr>
          </w:p>
        </w:tc>
        <w:tc>
          <w:tcPr>
            <w:tcW w:w="4483" w:type="dxa"/>
          </w:tcPr>
          <w:p w14:paraId="1690E0AA" w14:textId="77777777" w:rsidR="00782640" w:rsidRPr="00782640" w:rsidRDefault="00782640" w:rsidP="00782640">
            <w:pPr>
              <w:jc w:val="both"/>
              <w:rPr>
                <w:rFonts w:ascii="Calibri" w:eastAsia="Calibri" w:hAnsi="Calibri" w:cs="Times New Roman"/>
                <w:sz w:val="24"/>
              </w:rPr>
            </w:pPr>
            <w:r w:rsidRPr="00782640">
              <w:rPr>
                <w:rFonts w:ascii="Calibri" w:eastAsia="Calibri" w:hAnsi="Calibri" w:cs="Times New Roman"/>
                <w:sz w:val="24"/>
              </w:rPr>
              <w:t>Consumer factors</w:t>
            </w:r>
          </w:p>
          <w:p w14:paraId="4F079B06" w14:textId="77777777" w:rsidR="00782640" w:rsidRPr="00782640" w:rsidRDefault="00782640" w:rsidP="00782640">
            <w:pPr>
              <w:jc w:val="both"/>
              <w:rPr>
                <w:rFonts w:ascii="Calibri" w:eastAsia="Calibri" w:hAnsi="Calibri" w:cs="Times New Roman"/>
                <w:sz w:val="24"/>
              </w:rPr>
            </w:pPr>
            <w:r w:rsidRPr="00782640">
              <w:rPr>
                <w:rFonts w:ascii="Calibri" w:eastAsia="Calibri" w:hAnsi="Calibri" w:cs="Times New Roman"/>
                <w:sz w:val="24"/>
              </w:rPr>
              <w:t xml:space="preserve">Health Care Professional </w:t>
            </w:r>
          </w:p>
          <w:p w14:paraId="71D307AC" w14:textId="77777777" w:rsidR="00782640" w:rsidRPr="00782640" w:rsidRDefault="00782640" w:rsidP="00782640">
            <w:pPr>
              <w:jc w:val="both"/>
              <w:rPr>
                <w:rFonts w:ascii="Calibri" w:eastAsia="Calibri" w:hAnsi="Calibri" w:cs="Times New Roman"/>
                <w:sz w:val="24"/>
              </w:rPr>
            </w:pPr>
            <w:r w:rsidRPr="00782640">
              <w:rPr>
                <w:rFonts w:ascii="Calibri" w:eastAsia="Calibri" w:hAnsi="Calibri" w:cs="Times New Roman"/>
                <w:sz w:val="24"/>
              </w:rPr>
              <w:t>Health service factors</w:t>
            </w:r>
          </w:p>
          <w:p w14:paraId="47DA5129" w14:textId="77777777" w:rsidR="00782640" w:rsidRPr="00782640" w:rsidRDefault="00782640" w:rsidP="00782640">
            <w:pPr>
              <w:jc w:val="both"/>
              <w:rPr>
                <w:rFonts w:ascii="Calibri" w:eastAsia="Calibri" w:hAnsi="Calibri" w:cs="Times New Roman"/>
                <w:sz w:val="24"/>
              </w:rPr>
            </w:pPr>
            <w:r w:rsidRPr="00782640">
              <w:rPr>
                <w:rFonts w:ascii="Calibri" w:eastAsia="Calibri" w:hAnsi="Calibri" w:cs="Times New Roman"/>
                <w:sz w:val="24"/>
              </w:rPr>
              <w:t>Guideline Factors</w:t>
            </w:r>
          </w:p>
          <w:p w14:paraId="1D687F84" w14:textId="77777777" w:rsidR="00782640" w:rsidRPr="00782640" w:rsidRDefault="00782640" w:rsidP="00782640">
            <w:pPr>
              <w:jc w:val="both"/>
              <w:rPr>
                <w:rFonts w:ascii="Calibri" w:eastAsia="Calibri" w:hAnsi="Calibri" w:cs="Times New Roman"/>
                <w:sz w:val="24"/>
              </w:rPr>
            </w:pPr>
          </w:p>
        </w:tc>
      </w:tr>
      <w:tr w:rsidR="00782640" w:rsidRPr="00782640" w14:paraId="178B8C12" w14:textId="77777777" w:rsidTr="00782640">
        <w:tc>
          <w:tcPr>
            <w:tcW w:w="4527" w:type="dxa"/>
          </w:tcPr>
          <w:p w14:paraId="4A3C229E" w14:textId="77777777" w:rsidR="00782640" w:rsidRPr="00782640" w:rsidRDefault="00782640" w:rsidP="00782640">
            <w:pPr>
              <w:numPr>
                <w:ilvl w:val="0"/>
                <w:numId w:val="91"/>
              </w:numPr>
              <w:contextualSpacing/>
              <w:jc w:val="both"/>
              <w:rPr>
                <w:rFonts w:ascii="Calibri" w:eastAsia="Calibri" w:hAnsi="Calibri" w:cs="Times New Roman"/>
                <w:sz w:val="24"/>
              </w:rPr>
            </w:pPr>
            <w:r w:rsidRPr="00782640">
              <w:rPr>
                <w:rFonts w:ascii="Calibri" w:eastAsia="Calibri" w:hAnsi="Calibri" w:cs="Times New Roman"/>
                <w:sz w:val="24"/>
              </w:rPr>
              <w:t xml:space="preserve">What would make guidelines more useful? </w:t>
            </w:r>
          </w:p>
          <w:p w14:paraId="0008EBCE" w14:textId="77777777" w:rsidR="00782640" w:rsidRPr="00782640" w:rsidRDefault="00782640" w:rsidP="00782640">
            <w:pPr>
              <w:jc w:val="both"/>
              <w:rPr>
                <w:rFonts w:ascii="Calibri" w:eastAsia="Calibri" w:hAnsi="Calibri" w:cs="Times New Roman"/>
                <w:sz w:val="24"/>
              </w:rPr>
            </w:pPr>
          </w:p>
        </w:tc>
        <w:tc>
          <w:tcPr>
            <w:tcW w:w="4483" w:type="dxa"/>
          </w:tcPr>
          <w:p w14:paraId="714B0098" w14:textId="77777777" w:rsidR="00782640" w:rsidRPr="00782640" w:rsidRDefault="00782640" w:rsidP="00782640">
            <w:pPr>
              <w:jc w:val="both"/>
              <w:rPr>
                <w:rFonts w:ascii="Calibri" w:eastAsia="Calibri" w:hAnsi="Calibri" w:cs="Times New Roman"/>
                <w:sz w:val="24"/>
              </w:rPr>
            </w:pPr>
            <w:r w:rsidRPr="00782640">
              <w:rPr>
                <w:rFonts w:ascii="Calibri" w:eastAsia="Calibri" w:hAnsi="Calibri" w:cs="Times New Roman"/>
                <w:sz w:val="24"/>
              </w:rPr>
              <w:t xml:space="preserve">Format and delivery </w:t>
            </w:r>
          </w:p>
          <w:p w14:paraId="6562C15A" w14:textId="77777777" w:rsidR="00782640" w:rsidRPr="00782640" w:rsidRDefault="00782640" w:rsidP="00782640">
            <w:pPr>
              <w:jc w:val="both"/>
              <w:rPr>
                <w:rFonts w:ascii="Calibri" w:eastAsia="Calibri" w:hAnsi="Calibri" w:cs="Times New Roman"/>
                <w:sz w:val="24"/>
              </w:rPr>
            </w:pPr>
            <w:r w:rsidRPr="00782640">
              <w:rPr>
                <w:rFonts w:ascii="Calibri" w:eastAsia="Calibri" w:hAnsi="Calibri" w:cs="Times New Roman"/>
                <w:sz w:val="24"/>
              </w:rPr>
              <w:t>Accessibility</w:t>
            </w:r>
          </w:p>
          <w:p w14:paraId="18A0842C" w14:textId="77777777" w:rsidR="00782640" w:rsidRPr="00782640" w:rsidRDefault="00782640" w:rsidP="00782640">
            <w:pPr>
              <w:jc w:val="both"/>
              <w:rPr>
                <w:rFonts w:ascii="Calibri" w:eastAsia="Calibri" w:hAnsi="Calibri" w:cs="Times New Roman"/>
                <w:sz w:val="24"/>
              </w:rPr>
            </w:pPr>
            <w:r w:rsidRPr="00782640">
              <w:rPr>
                <w:rFonts w:ascii="Calibri" w:eastAsia="Calibri" w:hAnsi="Calibri" w:cs="Times New Roman"/>
                <w:sz w:val="24"/>
              </w:rPr>
              <w:t>Consumer engagement</w:t>
            </w:r>
          </w:p>
          <w:p w14:paraId="60FB43BB" w14:textId="77777777" w:rsidR="00782640" w:rsidRPr="00782640" w:rsidRDefault="00782640" w:rsidP="00782640">
            <w:pPr>
              <w:jc w:val="both"/>
              <w:rPr>
                <w:rFonts w:ascii="Calibri" w:eastAsia="Calibri" w:hAnsi="Calibri" w:cs="Times New Roman"/>
                <w:sz w:val="24"/>
              </w:rPr>
            </w:pPr>
            <w:r w:rsidRPr="00782640">
              <w:rPr>
                <w:rFonts w:ascii="Calibri" w:eastAsia="Calibri" w:hAnsi="Calibri" w:cs="Times New Roman"/>
                <w:sz w:val="24"/>
              </w:rPr>
              <w:t>Health Care professional engagement</w:t>
            </w:r>
          </w:p>
          <w:p w14:paraId="22623C2B" w14:textId="77777777" w:rsidR="00782640" w:rsidRPr="00782640" w:rsidRDefault="00782640" w:rsidP="00782640">
            <w:pPr>
              <w:jc w:val="both"/>
              <w:rPr>
                <w:rFonts w:ascii="Calibri" w:eastAsia="Calibri" w:hAnsi="Calibri" w:cs="Times New Roman"/>
                <w:sz w:val="24"/>
              </w:rPr>
            </w:pPr>
            <w:r w:rsidRPr="00782640">
              <w:rPr>
                <w:rFonts w:ascii="Calibri" w:eastAsia="Calibri" w:hAnsi="Calibri" w:cs="Times New Roman"/>
                <w:sz w:val="24"/>
              </w:rPr>
              <w:t>Resources</w:t>
            </w:r>
          </w:p>
          <w:p w14:paraId="2DAB124B" w14:textId="77777777" w:rsidR="00782640" w:rsidRPr="00782640" w:rsidRDefault="00782640" w:rsidP="00782640">
            <w:pPr>
              <w:jc w:val="both"/>
              <w:rPr>
                <w:rFonts w:ascii="Calibri" w:eastAsia="Calibri" w:hAnsi="Calibri" w:cs="Times New Roman"/>
                <w:sz w:val="24"/>
              </w:rPr>
            </w:pPr>
            <w:r w:rsidRPr="00782640">
              <w:rPr>
                <w:rFonts w:ascii="Calibri" w:eastAsia="Calibri" w:hAnsi="Calibri" w:cs="Times New Roman"/>
                <w:sz w:val="24"/>
              </w:rPr>
              <w:t>Technology</w:t>
            </w:r>
          </w:p>
          <w:p w14:paraId="16E98477" w14:textId="77777777" w:rsidR="00782640" w:rsidRPr="00782640" w:rsidRDefault="00782640" w:rsidP="00782640">
            <w:pPr>
              <w:jc w:val="both"/>
              <w:rPr>
                <w:rFonts w:ascii="Calibri" w:eastAsia="Calibri" w:hAnsi="Calibri" w:cs="Times New Roman"/>
                <w:sz w:val="24"/>
              </w:rPr>
            </w:pPr>
          </w:p>
        </w:tc>
      </w:tr>
    </w:tbl>
    <w:p w14:paraId="2C1CDC5C" w14:textId="77777777" w:rsidR="00CF2E5A" w:rsidRDefault="00CF2E5A">
      <w:pPr>
        <w:rPr>
          <w:rFonts w:ascii="Calibri" w:eastAsia="Calibri" w:hAnsi="Calibri" w:cs="Times New Roman"/>
          <w:b/>
          <w:sz w:val="24"/>
        </w:rPr>
      </w:pPr>
    </w:p>
    <w:p w14:paraId="201E2B9B" w14:textId="07C85977" w:rsidR="00CF2E5A" w:rsidRDefault="00CF2E5A" w:rsidP="00CF2E5A">
      <w:pPr>
        <w:contextualSpacing/>
      </w:pPr>
      <w:r w:rsidRPr="00782640">
        <w:rPr>
          <w:rFonts w:ascii="Calibri" w:eastAsia="Calibri" w:hAnsi="Calibri" w:cs="Times New Roman"/>
          <w:b/>
          <w:sz w:val="24"/>
        </w:rPr>
        <w:t>Gaps in Care</w:t>
      </w:r>
    </w:p>
    <w:tbl>
      <w:tblPr>
        <w:tblStyle w:val="TableGrid3"/>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108" w:type="dxa"/>
          <w:bottom w:w="108" w:type="dxa"/>
        </w:tblCellMar>
        <w:tblLook w:val="04A0" w:firstRow="1" w:lastRow="0" w:firstColumn="1" w:lastColumn="0" w:noHBand="0" w:noVBand="1"/>
      </w:tblPr>
      <w:tblGrid>
        <w:gridCol w:w="4527"/>
        <w:gridCol w:w="4483"/>
      </w:tblGrid>
      <w:tr w:rsidR="00CF2E5A" w:rsidRPr="00782640" w14:paraId="59B85CCC" w14:textId="77777777" w:rsidTr="007162C7">
        <w:tc>
          <w:tcPr>
            <w:tcW w:w="4527" w:type="dxa"/>
            <w:shd w:val="clear" w:color="auto" w:fill="FF0000"/>
          </w:tcPr>
          <w:p w14:paraId="372789EC" w14:textId="3DAEE533" w:rsidR="00CF2E5A" w:rsidRPr="00782640" w:rsidRDefault="00CF2E5A" w:rsidP="00CF2E5A">
            <w:pPr>
              <w:contextualSpacing/>
              <w:jc w:val="center"/>
              <w:rPr>
                <w:rFonts w:ascii="Calibri" w:eastAsia="Calibri" w:hAnsi="Calibri" w:cs="Times New Roman"/>
                <w:sz w:val="24"/>
              </w:rPr>
            </w:pPr>
            <w:r w:rsidRPr="00BD064E">
              <w:rPr>
                <w:rFonts w:ascii="Calibri" w:eastAsia="Calibri" w:hAnsi="Calibri" w:cs="Times New Roman"/>
                <w:b/>
                <w:color w:val="000000" w:themeColor="text1"/>
                <w:sz w:val="24"/>
              </w:rPr>
              <w:t>TOPIC</w:t>
            </w:r>
          </w:p>
        </w:tc>
        <w:tc>
          <w:tcPr>
            <w:tcW w:w="4483" w:type="dxa"/>
            <w:shd w:val="clear" w:color="auto" w:fill="FF0000"/>
          </w:tcPr>
          <w:p w14:paraId="02E3015F" w14:textId="799B9909" w:rsidR="00CF2E5A" w:rsidRPr="00782640" w:rsidRDefault="00CF2E5A" w:rsidP="00CF2E5A">
            <w:pPr>
              <w:contextualSpacing/>
              <w:jc w:val="center"/>
              <w:rPr>
                <w:rFonts w:ascii="Calibri" w:eastAsia="Calibri" w:hAnsi="Calibri" w:cs="Times New Roman"/>
                <w:sz w:val="24"/>
              </w:rPr>
            </w:pPr>
            <w:r w:rsidRPr="00BD064E">
              <w:rPr>
                <w:rFonts w:ascii="Calibri" w:eastAsia="Calibri" w:hAnsi="Calibri" w:cs="Times New Roman"/>
                <w:b/>
                <w:color w:val="000000" w:themeColor="text1"/>
                <w:sz w:val="24"/>
              </w:rPr>
              <w:t>CONSIDER THESE ISSUES</w:t>
            </w:r>
          </w:p>
        </w:tc>
      </w:tr>
      <w:tr w:rsidR="00CF2E5A" w:rsidRPr="00782640" w14:paraId="280AE2FA" w14:textId="77777777" w:rsidTr="00782640">
        <w:tc>
          <w:tcPr>
            <w:tcW w:w="4527" w:type="dxa"/>
          </w:tcPr>
          <w:p w14:paraId="2E9F4CB4" w14:textId="77777777" w:rsidR="00CF2E5A" w:rsidRPr="00782640" w:rsidRDefault="00CF2E5A" w:rsidP="00CF2E5A">
            <w:pPr>
              <w:numPr>
                <w:ilvl w:val="0"/>
                <w:numId w:val="92"/>
              </w:numPr>
              <w:contextualSpacing/>
              <w:jc w:val="both"/>
              <w:rPr>
                <w:rFonts w:ascii="Calibri" w:eastAsia="Calibri" w:hAnsi="Calibri" w:cs="Times New Roman"/>
                <w:sz w:val="24"/>
              </w:rPr>
            </w:pPr>
            <w:r w:rsidRPr="00782640">
              <w:rPr>
                <w:rFonts w:ascii="Calibri" w:eastAsia="Calibri" w:hAnsi="Calibri" w:cs="Times New Roman"/>
                <w:sz w:val="24"/>
              </w:rPr>
              <w:t xml:space="preserve">Which gaps in care need to be addressed most urgently? </w:t>
            </w:r>
          </w:p>
          <w:p w14:paraId="304E681D" w14:textId="77777777" w:rsidR="00CF2E5A" w:rsidRPr="00782640" w:rsidRDefault="00CF2E5A" w:rsidP="00CF2E5A">
            <w:pPr>
              <w:ind w:left="360"/>
              <w:contextualSpacing/>
              <w:jc w:val="both"/>
              <w:rPr>
                <w:rFonts w:ascii="Calibri" w:eastAsia="Calibri" w:hAnsi="Calibri" w:cs="Times New Roman"/>
                <w:sz w:val="24"/>
              </w:rPr>
            </w:pPr>
          </w:p>
          <w:p w14:paraId="4AFCE864" w14:textId="77777777" w:rsidR="00CF2E5A" w:rsidRPr="00782640" w:rsidRDefault="00CF2E5A" w:rsidP="00CF2E5A">
            <w:pPr>
              <w:numPr>
                <w:ilvl w:val="0"/>
                <w:numId w:val="92"/>
              </w:numPr>
              <w:contextualSpacing/>
              <w:jc w:val="both"/>
              <w:rPr>
                <w:rFonts w:ascii="Calibri" w:eastAsia="Calibri" w:hAnsi="Calibri" w:cs="Times New Roman"/>
                <w:sz w:val="24"/>
              </w:rPr>
            </w:pPr>
            <w:r w:rsidRPr="00782640">
              <w:rPr>
                <w:rFonts w:ascii="Calibri" w:eastAsia="Calibri" w:hAnsi="Calibri" w:cs="Times New Roman"/>
                <w:sz w:val="24"/>
              </w:rPr>
              <w:t xml:space="preserve">What is the best way to address these? </w:t>
            </w:r>
          </w:p>
          <w:p w14:paraId="636C2595" w14:textId="77777777" w:rsidR="00CF2E5A" w:rsidRPr="00782640" w:rsidRDefault="00CF2E5A" w:rsidP="00CF2E5A">
            <w:pPr>
              <w:ind w:left="360"/>
              <w:contextualSpacing/>
              <w:jc w:val="both"/>
              <w:rPr>
                <w:rFonts w:ascii="Calibri" w:eastAsia="Calibri" w:hAnsi="Calibri" w:cs="Times New Roman"/>
                <w:sz w:val="24"/>
              </w:rPr>
            </w:pPr>
          </w:p>
          <w:p w14:paraId="46EABC7D" w14:textId="77777777" w:rsidR="00CF2E5A" w:rsidRPr="00782640" w:rsidRDefault="00CF2E5A" w:rsidP="00CF2E5A">
            <w:pPr>
              <w:numPr>
                <w:ilvl w:val="0"/>
                <w:numId w:val="92"/>
              </w:numPr>
              <w:contextualSpacing/>
              <w:jc w:val="both"/>
              <w:rPr>
                <w:rFonts w:ascii="Calibri" w:eastAsia="Calibri" w:hAnsi="Calibri" w:cs="Times New Roman"/>
                <w:sz w:val="24"/>
              </w:rPr>
            </w:pPr>
            <w:r w:rsidRPr="00782640">
              <w:rPr>
                <w:rFonts w:ascii="Calibri" w:eastAsia="Calibri" w:hAnsi="Calibri" w:cs="Times New Roman"/>
                <w:sz w:val="24"/>
              </w:rPr>
              <w:t xml:space="preserve">What has been successful in your experience? </w:t>
            </w:r>
          </w:p>
        </w:tc>
        <w:tc>
          <w:tcPr>
            <w:tcW w:w="4483" w:type="dxa"/>
          </w:tcPr>
          <w:p w14:paraId="364DEED0" w14:textId="77777777" w:rsidR="00CF2E5A" w:rsidRPr="00782640" w:rsidRDefault="00CF2E5A" w:rsidP="00CF2E5A">
            <w:pPr>
              <w:contextualSpacing/>
              <w:jc w:val="both"/>
              <w:rPr>
                <w:rFonts w:ascii="Calibri" w:eastAsia="Calibri" w:hAnsi="Calibri" w:cs="Times New Roman"/>
                <w:sz w:val="24"/>
              </w:rPr>
            </w:pPr>
            <w:r w:rsidRPr="00782640">
              <w:rPr>
                <w:rFonts w:ascii="Calibri" w:eastAsia="Calibri" w:hAnsi="Calibri" w:cs="Times New Roman"/>
                <w:sz w:val="24"/>
              </w:rPr>
              <w:t>Prevention Strategies</w:t>
            </w:r>
          </w:p>
          <w:p w14:paraId="66CF6E83" w14:textId="77777777" w:rsidR="00CF2E5A" w:rsidRPr="00782640" w:rsidRDefault="00CF2E5A" w:rsidP="00CF2E5A">
            <w:pPr>
              <w:contextualSpacing/>
              <w:jc w:val="both"/>
              <w:rPr>
                <w:rFonts w:ascii="Calibri" w:eastAsia="Calibri" w:hAnsi="Calibri" w:cs="Times New Roman"/>
                <w:sz w:val="24"/>
              </w:rPr>
            </w:pPr>
            <w:r w:rsidRPr="00782640">
              <w:rPr>
                <w:rFonts w:ascii="Calibri" w:eastAsia="Calibri" w:hAnsi="Calibri" w:cs="Times New Roman"/>
                <w:sz w:val="24"/>
              </w:rPr>
              <w:t xml:space="preserve">Early Detection </w:t>
            </w:r>
          </w:p>
          <w:p w14:paraId="3ECF8656" w14:textId="77777777" w:rsidR="00CF2E5A" w:rsidRPr="00782640" w:rsidRDefault="00CF2E5A" w:rsidP="00CF2E5A">
            <w:pPr>
              <w:contextualSpacing/>
              <w:jc w:val="both"/>
              <w:rPr>
                <w:rFonts w:ascii="Calibri" w:eastAsia="Calibri" w:hAnsi="Calibri" w:cs="Times New Roman"/>
                <w:sz w:val="24"/>
              </w:rPr>
            </w:pPr>
            <w:r w:rsidRPr="00782640">
              <w:rPr>
                <w:rFonts w:ascii="Calibri" w:eastAsia="Calibri" w:hAnsi="Calibri" w:cs="Times New Roman"/>
                <w:sz w:val="24"/>
              </w:rPr>
              <w:t>Prevention of progression</w:t>
            </w:r>
          </w:p>
          <w:p w14:paraId="3A61568D" w14:textId="77777777" w:rsidR="00CF2E5A" w:rsidRPr="00782640" w:rsidRDefault="00CF2E5A" w:rsidP="00CF2E5A">
            <w:pPr>
              <w:contextualSpacing/>
              <w:jc w:val="both"/>
              <w:rPr>
                <w:rFonts w:ascii="Calibri" w:eastAsia="Calibri" w:hAnsi="Calibri" w:cs="Times New Roman"/>
                <w:sz w:val="24"/>
              </w:rPr>
            </w:pPr>
            <w:r w:rsidRPr="00782640">
              <w:rPr>
                <w:rFonts w:ascii="Calibri" w:eastAsia="Calibri" w:hAnsi="Calibri" w:cs="Times New Roman"/>
                <w:sz w:val="24"/>
              </w:rPr>
              <w:t>Comorbidities</w:t>
            </w:r>
          </w:p>
          <w:p w14:paraId="434239BC" w14:textId="77777777" w:rsidR="00CF2E5A" w:rsidRPr="00782640" w:rsidRDefault="00CF2E5A" w:rsidP="00CF2E5A">
            <w:pPr>
              <w:contextualSpacing/>
              <w:jc w:val="both"/>
              <w:rPr>
                <w:rFonts w:ascii="Calibri" w:eastAsia="Calibri" w:hAnsi="Calibri" w:cs="Times New Roman"/>
                <w:sz w:val="24"/>
              </w:rPr>
            </w:pPr>
            <w:r w:rsidRPr="00782640">
              <w:rPr>
                <w:rFonts w:ascii="Calibri" w:eastAsia="Calibri" w:hAnsi="Calibri" w:cs="Times New Roman"/>
                <w:sz w:val="24"/>
              </w:rPr>
              <w:t>Pre-dialysis care</w:t>
            </w:r>
          </w:p>
          <w:p w14:paraId="5EADCB52" w14:textId="77777777" w:rsidR="00CF2E5A" w:rsidRPr="00782640" w:rsidRDefault="00CF2E5A" w:rsidP="00CF2E5A">
            <w:pPr>
              <w:contextualSpacing/>
              <w:jc w:val="both"/>
              <w:rPr>
                <w:rFonts w:ascii="Calibri" w:eastAsia="Calibri" w:hAnsi="Calibri" w:cs="Times New Roman"/>
                <w:sz w:val="24"/>
              </w:rPr>
            </w:pPr>
            <w:r w:rsidRPr="00782640">
              <w:rPr>
                <w:rFonts w:ascii="Calibri" w:eastAsia="Calibri" w:hAnsi="Calibri" w:cs="Times New Roman"/>
                <w:sz w:val="24"/>
              </w:rPr>
              <w:t>Transition to End-stage</w:t>
            </w:r>
          </w:p>
          <w:p w14:paraId="4C5DE374" w14:textId="77777777" w:rsidR="00CF2E5A" w:rsidRPr="00782640" w:rsidRDefault="00CF2E5A" w:rsidP="00CF2E5A">
            <w:pPr>
              <w:contextualSpacing/>
              <w:jc w:val="both"/>
              <w:rPr>
                <w:rFonts w:ascii="Calibri" w:eastAsia="Calibri" w:hAnsi="Calibri" w:cs="Times New Roman"/>
                <w:sz w:val="24"/>
              </w:rPr>
            </w:pPr>
            <w:r w:rsidRPr="00782640">
              <w:rPr>
                <w:rFonts w:ascii="Calibri" w:eastAsia="Calibri" w:hAnsi="Calibri" w:cs="Times New Roman"/>
                <w:sz w:val="24"/>
              </w:rPr>
              <w:t>Consumer education</w:t>
            </w:r>
          </w:p>
          <w:p w14:paraId="1401E716" w14:textId="0F117207" w:rsidR="00CF2E5A" w:rsidRPr="00782640" w:rsidRDefault="00CF2E5A" w:rsidP="00CF2E5A">
            <w:pPr>
              <w:contextualSpacing/>
              <w:jc w:val="both"/>
              <w:rPr>
                <w:rFonts w:ascii="Calibri" w:eastAsia="Calibri" w:hAnsi="Calibri" w:cs="Times New Roman"/>
                <w:sz w:val="24"/>
              </w:rPr>
            </w:pPr>
            <w:r w:rsidRPr="00782640">
              <w:rPr>
                <w:rFonts w:ascii="Calibri" w:eastAsia="Calibri" w:hAnsi="Calibri" w:cs="Times New Roman"/>
                <w:sz w:val="24"/>
              </w:rPr>
              <w:t xml:space="preserve">Health professional Education </w:t>
            </w:r>
          </w:p>
        </w:tc>
      </w:tr>
    </w:tbl>
    <w:p w14:paraId="45C22EFE" w14:textId="77777777" w:rsidR="00CF2E5A" w:rsidRDefault="00CF2E5A">
      <w:pPr>
        <w:rPr>
          <w:rFonts w:ascii="Calibri" w:eastAsia="Calibri" w:hAnsi="Calibri" w:cs="Times New Roman"/>
          <w:b/>
          <w:sz w:val="24"/>
        </w:rPr>
      </w:pPr>
    </w:p>
    <w:p w14:paraId="614AE15C" w14:textId="29DAB0ED" w:rsidR="00CF2E5A" w:rsidRDefault="00CF2E5A" w:rsidP="00CF2E5A">
      <w:pPr>
        <w:contextualSpacing/>
      </w:pPr>
      <w:bookmarkStart w:id="105" w:name="_Hlk24528794"/>
      <w:r w:rsidRPr="00782640">
        <w:rPr>
          <w:rFonts w:ascii="Calibri" w:eastAsia="Calibri" w:hAnsi="Calibri" w:cs="Times New Roman"/>
          <w:b/>
          <w:sz w:val="24"/>
        </w:rPr>
        <w:t>CKD Guidelines Scope and Content</w:t>
      </w:r>
    </w:p>
    <w:tbl>
      <w:tblPr>
        <w:tblStyle w:val="TableGrid3"/>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108" w:type="dxa"/>
          <w:bottom w:w="108" w:type="dxa"/>
        </w:tblCellMar>
        <w:tblLook w:val="04A0" w:firstRow="1" w:lastRow="0" w:firstColumn="1" w:lastColumn="0" w:noHBand="0" w:noVBand="1"/>
      </w:tblPr>
      <w:tblGrid>
        <w:gridCol w:w="4549"/>
        <w:gridCol w:w="4461"/>
      </w:tblGrid>
      <w:tr w:rsidR="00CF2E5A" w:rsidRPr="00782640" w14:paraId="3CAA3BAB" w14:textId="77777777" w:rsidTr="00782640">
        <w:tc>
          <w:tcPr>
            <w:tcW w:w="4549" w:type="dxa"/>
            <w:shd w:val="clear" w:color="auto" w:fill="FF0000"/>
          </w:tcPr>
          <w:p w14:paraId="44B25C33" w14:textId="77777777" w:rsidR="00CF2E5A" w:rsidRPr="00782640" w:rsidRDefault="00CF2E5A" w:rsidP="00CF2E5A">
            <w:pPr>
              <w:contextualSpacing/>
              <w:jc w:val="center"/>
              <w:rPr>
                <w:rFonts w:ascii="Calibri" w:eastAsia="Calibri" w:hAnsi="Calibri" w:cs="Times New Roman"/>
                <w:b/>
                <w:color w:val="FFFFFF"/>
                <w:sz w:val="24"/>
              </w:rPr>
            </w:pPr>
            <w:bookmarkStart w:id="106" w:name="_Hlk24528622"/>
            <w:r w:rsidRPr="00BD064E">
              <w:rPr>
                <w:rFonts w:ascii="Calibri" w:eastAsia="Calibri" w:hAnsi="Calibri" w:cs="Times New Roman"/>
                <w:b/>
                <w:color w:val="000000" w:themeColor="text1"/>
                <w:sz w:val="24"/>
              </w:rPr>
              <w:t>TOPIC</w:t>
            </w:r>
          </w:p>
        </w:tc>
        <w:tc>
          <w:tcPr>
            <w:tcW w:w="4461" w:type="dxa"/>
            <w:shd w:val="clear" w:color="auto" w:fill="FF0000"/>
          </w:tcPr>
          <w:p w14:paraId="0987E008" w14:textId="77777777" w:rsidR="00CF2E5A" w:rsidRPr="00782640" w:rsidRDefault="00CF2E5A" w:rsidP="00CF2E5A">
            <w:pPr>
              <w:contextualSpacing/>
              <w:jc w:val="center"/>
              <w:rPr>
                <w:rFonts w:ascii="Calibri" w:eastAsia="Calibri" w:hAnsi="Calibri" w:cs="Times New Roman"/>
                <w:b/>
                <w:color w:val="FFFFFF"/>
                <w:sz w:val="24"/>
              </w:rPr>
            </w:pPr>
            <w:r w:rsidRPr="00BD064E">
              <w:rPr>
                <w:rFonts w:ascii="Calibri" w:eastAsia="Calibri" w:hAnsi="Calibri" w:cs="Times New Roman"/>
                <w:b/>
                <w:color w:val="000000" w:themeColor="text1"/>
                <w:sz w:val="24"/>
              </w:rPr>
              <w:t>CONSIDER THESE ISSUES</w:t>
            </w:r>
          </w:p>
        </w:tc>
      </w:tr>
      <w:bookmarkEnd w:id="106"/>
      <w:tr w:rsidR="00CF2E5A" w:rsidRPr="00782640" w14:paraId="6C68722B" w14:textId="77777777" w:rsidTr="00782640">
        <w:tc>
          <w:tcPr>
            <w:tcW w:w="4549" w:type="dxa"/>
          </w:tcPr>
          <w:p w14:paraId="4FA25E85" w14:textId="77777777" w:rsidR="00CF2E5A" w:rsidRPr="00782640" w:rsidRDefault="00CF2E5A" w:rsidP="00CF2E5A">
            <w:pPr>
              <w:numPr>
                <w:ilvl w:val="0"/>
                <w:numId w:val="93"/>
              </w:numPr>
              <w:contextualSpacing/>
              <w:jc w:val="both"/>
              <w:rPr>
                <w:rFonts w:ascii="Calibri" w:eastAsia="Calibri" w:hAnsi="Calibri" w:cs="Times New Roman"/>
                <w:sz w:val="24"/>
              </w:rPr>
            </w:pPr>
            <w:r w:rsidRPr="00782640">
              <w:rPr>
                <w:rFonts w:ascii="Calibri" w:eastAsia="Calibri" w:hAnsi="Calibri" w:cs="Times New Roman"/>
                <w:sz w:val="24"/>
              </w:rPr>
              <w:t xml:space="preserve">What should be included in these Guidelines? </w:t>
            </w:r>
          </w:p>
          <w:p w14:paraId="2310E4F1" w14:textId="77777777" w:rsidR="00CF2E5A" w:rsidRPr="00782640" w:rsidRDefault="00CF2E5A" w:rsidP="00CF2E5A">
            <w:pPr>
              <w:ind w:left="360"/>
              <w:contextualSpacing/>
              <w:jc w:val="both"/>
              <w:rPr>
                <w:rFonts w:ascii="Calibri" w:eastAsia="Calibri" w:hAnsi="Calibri" w:cs="Times New Roman"/>
                <w:sz w:val="24"/>
              </w:rPr>
            </w:pPr>
          </w:p>
          <w:p w14:paraId="5A2BC193" w14:textId="77777777" w:rsidR="00CF2E5A" w:rsidRPr="00782640" w:rsidRDefault="00CF2E5A" w:rsidP="00CF2E5A">
            <w:pPr>
              <w:numPr>
                <w:ilvl w:val="0"/>
                <w:numId w:val="93"/>
              </w:numPr>
              <w:contextualSpacing/>
              <w:jc w:val="both"/>
              <w:rPr>
                <w:rFonts w:ascii="Calibri" w:eastAsia="Calibri" w:hAnsi="Calibri" w:cs="Times New Roman"/>
                <w:sz w:val="24"/>
              </w:rPr>
            </w:pPr>
            <w:r w:rsidRPr="00782640">
              <w:rPr>
                <w:rFonts w:ascii="Calibri" w:eastAsia="Calibri" w:hAnsi="Calibri" w:cs="Times New Roman"/>
                <w:sz w:val="24"/>
              </w:rPr>
              <w:t xml:space="preserve">How should the content be prioritised? </w:t>
            </w:r>
          </w:p>
          <w:p w14:paraId="5BADFDF1" w14:textId="77777777" w:rsidR="00CF2E5A" w:rsidRPr="00782640" w:rsidRDefault="00CF2E5A" w:rsidP="00CF2E5A">
            <w:pPr>
              <w:ind w:left="360"/>
              <w:contextualSpacing/>
              <w:jc w:val="both"/>
              <w:rPr>
                <w:rFonts w:ascii="Calibri" w:eastAsia="Calibri" w:hAnsi="Calibri" w:cs="Times New Roman"/>
                <w:sz w:val="24"/>
              </w:rPr>
            </w:pPr>
          </w:p>
          <w:p w14:paraId="3CF3E2B7" w14:textId="77777777" w:rsidR="00CF2E5A" w:rsidRPr="00782640" w:rsidRDefault="00CF2E5A" w:rsidP="00CF2E5A">
            <w:pPr>
              <w:numPr>
                <w:ilvl w:val="0"/>
                <w:numId w:val="93"/>
              </w:numPr>
              <w:contextualSpacing/>
              <w:jc w:val="both"/>
              <w:rPr>
                <w:rFonts w:ascii="Calibri" w:eastAsia="Calibri" w:hAnsi="Calibri" w:cs="Times New Roman"/>
                <w:sz w:val="24"/>
              </w:rPr>
            </w:pPr>
            <w:r w:rsidRPr="00782640">
              <w:rPr>
                <w:rFonts w:ascii="Calibri" w:eastAsia="Calibri" w:hAnsi="Calibri" w:cs="Times New Roman"/>
                <w:sz w:val="24"/>
              </w:rPr>
              <w:t xml:space="preserve">What should be left out? </w:t>
            </w:r>
          </w:p>
        </w:tc>
        <w:tc>
          <w:tcPr>
            <w:tcW w:w="4461" w:type="dxa"/>
          </w:tcPr>
          <w:p w14:paraId="734D49FD" w14:textId="77777777" w:rsidR="00CF2E5A" w:rsidRPr="00782640" w:rsidRDefault="00CF2E5A" w:rsidP="00CF2E5A">
            <w:pPr>
              <w:contextualSpacing/>
              <w:jc w:val="both"/>
              <w:rPr>
                <w:rFonts w:ascii="Calibri" w:eastAsia="Calibri" w:hAnsi="Calibri" w:cs="Times New Roman"/>
                <w:sz w:val="24"/>
              </w:rPr>
            </w:pPr>
            <w:r w:rsidRPr="00782640">
              <w:rPr>
                <w:rFonts w:ascii="Calibri" w:eastAsia="Calibri" w:hAnsi="Calibri" w:cs="Times New Roman"/>
                <w:sz w:val="24"/>
              </w:rPr>
              <w:t>As for Gaps in Care</w:t>
            </w:r>
          </w:p>
          <w:p w14:paraId="771C61FF" w14:textId="77777777" w:rsidR="00CF2E5A" w:rsidRPr="00782640" w:rsidRDefault="00CF2E5A" w:rsidP="00CF2E5A">
            <w:pPr>
              <w:contextualSpacing/>
              <w:jc w:val="both"/>
              <w:rPr>
                <w:rFonts w:ascii="Calibri" w:eastAsia="Calibri" w:hAnsi="Calibri" w:cs="Times New Roman"/>
                <w:sz w:val="24"/>
              </w:rPr>
            </w:pPr>
            <w:r w:rsidRPr="00782640">
              <w:rPr>
                <w:rFonts w:ascii="Calibri" w:eastAsia="Calibri" w:hAnsi="Calibri" w:cs="Times New Roman"/>
                <w:sz w:val="24"/>
              </w:rPr>
              <w:t xml:space="preserve">Also consider: </w:t>
            </w:r>
          </w:p>
          <w:p w14:paraId="16E873D8" w14:textId="77777777" w:rsidR="00CF2E5A" w:rsidRPr="00782640" w:rsidRDefault="00CF2E5A" w:rsidP="00CF2E5A">
            <w:pPr>
              <w:contextualSpacing/>
              <w:jc w:val="both"/>
              <w:rPr>
                <w:rFonts w:ascii="Calibri" w:eastAsia="Calibri" w:hAnsi="Calibri" w:cs="Times New Roman"/>
                <w:sz w:val="24"/>
              </w:rPr>
            </w:pPr>
            <w:r w:rsidRPr="00782640">
              <w:rPr>
                <w:rFonts w:ascii="Calibri" w:eastAsia="Calibri" w:hAnsi="Calibri" w:cs="Times New Roman"/>
                <w:sz w:val="24"/>
              </w:rPr>
              <w:t xml:space="preserve">Consumer involvement </w:t>
            </w:r>
          </w:p>
          <w:p w14:paraId="6EB0D0DA" w14:textId="77777777" w:rsidR="00CF2E5A" w:rsidRPr="00782640" w:rsidRDefault="00CF2E5A" w:rsidP="00CF2E5A">
            <w:pPr>
              <w:contextualSpacing/>
              <w:jc w:val="both"/>
              <w:rPr>
                <w:rFonts w:ascii="Calibri" w:eastAsia="Calibri" w:hAnsi="Calibri" w:cs="Times New Roman"/>
                <w:sz w:val="24"/>
              </w:rPr>
            </w:pPr>
            <w:r w:rsidRPr="00782640">
              <w:rPr>
                <w:rFonts w:ascii="Calibri" w:eastAsia="Calibri" w:hAnsi="Calibri" w:cs="Times New Roman"/>
                <w:sz w:val="24"/>
              </w:rPr>
              <w:t>Delivery of education to consumers / communities</w:t>
            </w:r>
          </w:p>
          <w:p w14:paraId="5FB2E0D7" w14:textId="23B2E31F" w:rsidR="00CF2E5A" w:rsidRPr="00782640" w:rsidRDefault="00CF2E5A" w:rsidP="00CF2E5A">
            <w:pPr>
              <w:contextualSpacing/>
              <w:jc w:val="both"/>
              <w:rPr>
                <w:rFonts w:ascii="Calibri" w:eastAsia="Calibri" w:hAnsi="Calibri" w:cs="Times New Roman"/>
                <w:sz w:val="24"/>
              </w:rPr>
            </w:pPr>
            <w:r w:rsidRPr="00782640">
              <w:rPr>
                <w:rFonts w:ascii="Calibri" w:eastAsia="Calibri" w:hAnsi="Calibri" w:cs="Times New Roman"/>
                <w:sz w:val="24"/>
              </w:rPr>
              <w:t>Delivery of Education to Health professionals</w:t>
            </w:r>
          </w:p>
        </w:tc>
      </w:tr>
      <w:bookmarkEnd w:id="105"/>
    </w:tbl>
    <w:p w14:paraId="492D2203" w14:textId="77777777" w:rsidR="002B7132" w:rsidRDefault="002B7132" w:rsidP="002B7132">
      <w:pPr>
        <w:contextualSpacing/>
        <w:rPr>
          <w:rFonts w:ascii="Calibri" w:eastAsia="Calibri" w:hAnsi="Calibri" w:cs="Times New Roman"/>
          <w:b/>
          <w:sz w:val="24"/>
        </w:rPr>
      </w:pPr>
    </w:p>
    <w:p w14:paraId="294D4332" w14:textId="2207FCE6" w:rsidR="002B7132" w:rsidRDefault="002B7132" w:rsidP="002B7132">
      <w:pPr>
        <w:contextualSpacing/>
      </w:pPr>
      <w:r w:rsidRPr="002B7132">
        <w:rPr>
          <w:rFonts w:ascii="Calibri" w:eastAsia="Calibri" w:hAnsi="Calibri" w:cs="Times New Roman"/>
          <w:b/>
          <w:sz w:val="24"/>
        </w:rPr>
        <w:t>Strategies for Implementation</w:t>
      </w:r>
    </w:p>
    <w:tbl>
      <w:tblPr>
        <w:tblStyle w:val="TableGrid3"/>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108" w:type="dxa"/>
          <w:bottom w:w="108" w:type="dxa"/>
        </w:tblCellMar>
        <w:tblLook w:val="04A0" w:firstRow="1" w:lastRow="0" w:firstColumn="1" w:lastColumn="0" w:noHBand="0" w:noVBand="1"/>
      </w:tblPr>
      <w:tblGrid>
        <w:gridCol w:w="4549"/>
        <w:gridCol w:w="4461"/>
      </w:tblGrid>
      <w:tr w:rsidR="002B7132" w:rsidRPr="00782640" w14:paraId="17F16F5C" w14:textId="77777777" w:rsidTr="00FD3A7C">
        <w:tc>
          <w:tcPr>
            <w:tcW w:w="4549" w:type="dxa"/>
            <w:shd w:val="clear" w:color="auto" w:fill="FF0000"/>
          </w:tcPr>
          <w:p w14:paraId="1417A6FD" w14:textId="77777777" w:rsidR="002B7132" w:rsidRPr="00782640" w:rsidRDefault="002B7132" w:rsidP="00FD3A7C">
            <w:pPr>
              <w:contextualSpacing/>
              <w:jc w:val="center"/>
              <w:rPr>
                <w:rFonts w:ascii="Calibri" w:eastAsia="Calibri" w:hAnsi="Calibri" w:cs="Times New Roman"/>
                <w:b/>
                <w:color w:val="FFFFFF"/>
                <w:sz w:val="24"/>
              </w:rPr>
            </w:pPr>
            <w:r w:rsidRPr="00BD064E">
              <w:rPr>
                <w:rFonts w:ascii="Calibri" w:eastAsia="Calibri" w:hAnsi="Calibri" w:cs="Times New Roman"/>
                <w:b/>
                <w:color w:val="000000" w:themeColor="text1"/>
                <w:sz w:val="24"/>
              </w:rPr>
              <w:t>TOPIC</w:t>
            </w:r>
          </w:p>
        </w:tc>
        <w:tc>
          <w:tcPr>
            <w:tcW w:w="4461" w:type="dxa"/>
            <w:shd w:val="clear" w:color="auto" w:fill="FF0000"/>
          </w:tcPr>
          <w:p w14:paraId="6A6DF8DF" w14:textId="77777777" w:rsidR="002B7132" w:rsidRPr="00782640" w:rsidRDefault="002B7132" w:rsidP="00FD3A7C">
            <w:pPr>
              <w:contextualSpacing/>
              <w:jc w:val="center"/>
              <w:rPr>
                <w:rFonts w:ascii="Calibri" w:eastAsia="Calibri" w:hAnsi="Calibri" w:cs="Times New Roman"/>
                <w:b/>
                <w:color w:val="FFFFFF"/>
                <w:sz w:val="24"/>
              </w:rPr>
            </w:pPr>
            <w:r w:rsidRPr="00BD064E">
              <w:rPr>
                <w:rFonts w:ascii="Calibri" w:eastAsia="Calibri" w:hAnsi="Calibri" w:cs="Times New Roman"/>
                <w:b/>
                <w:color w:val="000000" w:themeColor="text1"/>
                <w:sz w:val="24"/>
              </w:rPr>
              <w:t>CONSIDER THESE ISSUES</w:t>
            </w:r>
          </w:p>
        </w:tc>
      </w:tr>
      <w:tr w:rsidR="002B7132" w:rsidRPr="00782640" w14:paraId="4ECF0239" w14:textId="77777777" w:rsidTr="00FD3A7C">
        <w:tc>
          <w:tcPr>
            <w:tcW w:w="4549" w:type="dxa"/>
          </w:tcPr>
          <w:p w14:paraId="310863C4" w14:textId="77777777" w:rsidR="002B7132" w:rsidRPr="002B7132" w:rsidRDefault="002B7132" w:rsidP="002B7132">
            <w:pPr>
              <w:numPr>
                <w:ilvl w:val="0"/>
                <w:numId w:val="135"/>
              </w:numPr>
              <w:contextualSpacing/>
              <w:jc w:val="both"/>
              <w:rPr>
                <w:rFonts w:ascii="Calibri" w:eastAsia="Calibri" w:hAnsi="Calibri" w:cs="Times New Roman"/>
                <w:sz w:val="24"/>
              </w:rPr>
            </w:pPr>
            <w:r w:rsidRPr="00782640">
              <w:rPr>
                <w:rFonts w:ascii="Calibri" w:eastAsia="Calibri" w:hAnsi="Calibri" w:cs="Times New Roman"/>
                <w:sz w:val="24"/>
              </w:rPr>
              <w:t xml:space="preserve"> </w:t>
            </w:r>
            <w:r w:rsidRPr="002B7132">
              <w:rPr>
                <w:rFonts w:ascii="Calibri" w:eastAsia="Calibri" w:hAnsi="Calibri" w:cs="Times New Roman"/>
                <w:sz w:val="24"/>
              </w:rPr>
              <w:t xml:space="preserve">How should these Guidelines be implemented? </w:t>
            </w:r>
          </w:p>
          <w:p w14:paraId="29E82973" w14:textId="77777777" w:rsidR="002B7132" w:rsidRPr="002B7132" w:rsidRDefault="002B7132" w:rsidP="002B7132">
            <w:pPr>
              <w:ind w:left="360"/>
              <w:contextualSpacing/>
              <w:jc w:val="both"/>
              <w:rPr>
                <w:rFonts w:ascii="Calibri" w:eastAsia="Calibri" w:hAnsi="Calibri" w:cs="Times New Roman"/>
                <w:sz w:val="24"/>
              </w:rPr>
            </w:pPr>
          </w:p>
          <w:p w14:paraId="4A8AF30C" w14:textId="77777777" w:rsidR="002B7132" w:rsidRPr="002B7132" w:rsidRDefault="002B7132" w:rsidP="002B7132">
            <w:pPr>
              <w:numPr>
                <w:ilvl w:val="0"/>
                <w:numId w:val="135"/>
              </w:numPr>
              <w:contextualSpacing/>
              <w:jc w:val="both"/>
              <w:rPr>
                <w:rFonts w:ascii="Calibri" w:eastAsia="Calibri" w:hAnsi="Calibri" w:cs="Times New Roman"/>
                <w:sz w:val="24"/>
              </w:rPr>
            </w:pPr>
            <w:r w:rsidRPr="002B7132">
              <w:rPr>
                <w:rFonts w:ascii="Calibri" w:eastAsia="Calibri" w:hAnsi="Calibri" w:cs="Times New Roman"/>
                <w:sz w:val="24"/>
              </w:rPr>
              <w:t xml:space="preserve">What has previously been successful? </w:t>
            </w:r>
          </w:p>
          <w:p w14:paraId="4F9AFE22" w14:textId="77777777" w:rsidR="002B7132" w:rsidRPr="002B7132" w:rsidRDefault="002B7132" w:rsidP="002B7132">
            <w:pPr>
              <w:ind w:left="360"/>
              <w:contextualSpacing/>
              <w:jc w:val="both"/>
              <w:rPr>
                <w:rFonts w:ascii="Calibri" w:eastAsia="Calibri" w:hAnsi="Calibri" w:cs="Times New Roman"/>
                <w:sz w:val="24"/>
              </w:rPr>
            </w:pPr>
          </w:p>
          <w:p w14:paraId="081431FA" w14:textId="77777777" w:rsidR="002B7132" w:rsidRPr="002B7132" w:rsidRDefault="002B7132" w:rsidP="002B7132">
            <w:pPr>
              <w:numPr>
                <w:ilvl w:val="0"/>
                <w:numId w:val="135"/>
              </w:numPr>
              <w:contextualSpacing/>
              <w:jc w:val="both"/>
              <w:rPr>
                <w:rFonts w:ascii="Calibri" w:eastAsia="Calibri" w:hAnsi="Calibri" w:cs="Times New Roman"/>
                <w:sz w:val="24"/>
              </w:rPr>
            </w:pPr>
            <w:r w:rsidRPr="002B7132">
              <w:rPr>
                <w:rFonts w:ascii="Calibri" w:eastAsia="Calibri" w:hAnsi="Calibri" w:cs="Times New Roman"/>
                <w:sz w:val="24"/>
              </w:rPr>
              <w:t xml:space="preserve">What has been unsuccessful? </w:t>
            </w:r>
          </w:p>
          <w:p w14:paraId="18D590B8" w14:textId="09CDEC36" w:rsidR="002B7132" w:rsidRPr="00782640" w:rsidRDefault="002B7132" w:rsidP="002B7132">
            <w:pPr>
              <w:ind w:left="360"/>
              <w:contextualSpacing/>
              <w:jc w:val="both"/>
              <w:rPr>
                <w:rFonts w:ascii="Calibri" w:eastAsia="Calibri" w:hAnsi="Calibri" w:cs="Times New Roman"/>
                <w:sz w:val="24"/>
              </w:rPr>
            </w:pPr>
          </w:p>
        </w:tc>
        <w:tc>
          <w:tcPr>
            <w:tcW w:w="4461" w:type="dxa"/>
          </w:tcPr>
          <w:p w14:paraId="76C8E016" w14:textId="77777777" w:rsidR="002B7132" w:rsidRPr="002B7132" w:rsidRDefault="002B7132" w:rsidP="002B7132">
            <w:pPr>
              <w:contextualSpacing/>
              <w:jc w:val="both"/>
              <w:rPr>
                <w:rFonts w:ascii="Calibri" w:eastAsia="Calibri" w:hAnsi="Calibri" w:cs="Times New Roman"/>
                <w:sz w:val="24"/>
              </w:rPr>
            </w:pPr>
            <w:r w:rsidRPr="002B7132">
              <w:rPr>
                <w:rFonts w:ascii="Calibri" w:eastAsia="Calibri" w:hAnsi="Calibri" w:cs="Times New Roman"/>
                <w:sz w:val="24"/>
              </w:rPr>
              <w:t xml:space="preserve">Education and dissemination </w:t>
            </w:r>
          </w:p>
          <w:p w14:paraId="134997F8" w14:textId="77777777" w:rsidR="002B7132" w:rsidRPr="002B7132" w:rsidRDefault="002B7132" w:rsidP="002B7132">
            <w:pPr>
              <w:contextualSpacing/>
              <w:jc w:val="both"/>
              <w:rPr>
                <w:rFonts w:ascii="Calibri" w:eastAsia="Calibri" w:hAnsi="Calibri" w:cs="Times New Roman"/>
                <w:sz w:val="24"/>
              </w:rPr>
            </w:pPr>
            <w:r w:rsidRPr="002B7132">
              <w:rPr>
                <w:rFonts w:ascii="Calibri" w:eastAsia="Calibri" w:hAnsi="Calibri" w:cs="Times New Roman"/>
                <w:sz w:val="24"/>
              </w:rPr>
              <w:t>Peer-peer mentoring</w:t>
            </w:r>
          </w:p>
          <w:p w14:paraId="0957AED5" w14:textId="77777777" w:rsidR="002B7132" w:rsidRPr="002B7132" w:rsidRDefault="002B7132" w:rsidP="002B7132">
            <w:pPr>
              <w:contextualSpacing/>
              <w:jc w:val="both"/>
              <w:rPr>
                <w:rFonts w:ascii="Calibri" w:eastAsia="Calibri" w:hAnsi="Calibri" w:cs="Times New Roman"/>
                <w:sz w:val="24"/>
              </w:rPr>
            </w:pPr>
            <w:r w:rsidRPr="002B7132">
              <w:rPr>
                <w:rFonts w:ascii="Calibri" w:eastAsia="Calibri" w:hAnsi="Calibri" w:cs="Times New Roman"/>
                <w:sz w:val="24"/>
              </w:rPr>
              <w:t>Technology support</w:t>
            </w:r>
          </w:p>
          <w:p w14:paraId="03DADB87" w14:textId="77777777" w:rsidR="002B7132" w:rsidRPr="002B7132" w:rsidRDefault="002B7132" w:rsidP="002B7132">
            <w:pPr>
              <w:contextualSpacing/>
              <w:jc w:val="both"/>
              <w:rPr>
                <w:rFonts w:ascii="Calibri" w:eastAsia="Calibri" w:hAnsi="Calibri" w:cs="Times New Roman"/>
                <w:sz w:val="24"/>
              </w:rPr>
            </w:pPr>
            <w:r w:rsidRPr="002B7132">
              <w:rPr>
                <w:rFonts w:ascii="Calibri" w:eastAsia="Calibri" w:hAnsi="Calibri" w:cs="Times New Roman"/>
                <w:sz w:val="24"/>
              </w:rPr>
              <w:t xml:space="preserve">Resourcing </w:t>
            </w:r>
          </w:p>
          <w:p w14:paraId="7E247BB8" w14:textId="77777777" w:rsidR="002B7132" w:rsidRPr="002B7132" w:rsidRDefault="002B7132" w:rsidP="002B7132">
            <w:pPr>
              <w:contextualSpacing/>
              <w:jc w:val="both"/>
              <w:rPr>
                <w:rFonts w:ascii="Calibri" w:eastAsia="Calibri" w:hAnsi="Calibri" w:cs="Times New Roman"/>
                <w:sz w:val="24"/>
              </w:rPr>
            </w:pPr>
            <w:r w:rsidRPr="002B7132">
              <w:rPr>
                <w:rFonts w:ascii="Calibri" w:eastAsia="Calibri" w:hAnsi="Calibri" w:cs="Times New Roman"/>
                <w:sz w:val="24"/>
              </w:rPr>
              <w:t>Community engagement</w:t>
            </w:r>
          </w:p>
          <w:p w14:paraId="13C02EC5" w14:textId="58AB2C17" w:rsidR="002B7132" w:rsidRPr="00782640" w:rsidRDefault="002B7132" w:rsidP="002B7132">
            <w:pPr>
              <w:contextualSpacing/>
              <w:jc w:val="both"/>
              <w:rPr>
                <w:rFonts w:ascii="Calibri" w:eastAsia="Calibri" w:hAnsi="Calibri" w:cs="Times New Roman"/>
                <w:sz w:val="24"/>
              </w:rPr>
            </w:pPr>
            <w:r w:rsidRPr="002B7132">
              <w:rPr>
                <w:rFonts w:ascii="Calibri" w:eastAsia="Calibri" w:hAnsi="Calibri" w:cs="Times New Roman"/>
                <w:sz w:val="24"/>
              </w:rPr>
              <w:t>Stakeholder engagement</w:t>
            </w:r>
          </w:p>
        </w:tc>
      </w:tr>
    </w:tbl>
    <w:p w14:paraId="4862456D" w14:textId="287B4E61" w:rsidR="00CF2E5A" w:rsidRDefault="00CF2E5A">
      <w:pPr>
        <w:rPr>
          <w:rFonts w:ascii="Calibri" w:eastAsia="Calibri" w:hAnsi="Calibri" w:cs="Times New Roman"/>
          <w:b/>
          <w:sz w:val="24"/>
        </w:rPr>
      </w:pPr>
    </w:p>
    <w:p w14:paraId="1D7AAE4A" w14:textId="77777777" w:rsidR="002B7132" w:rsidRDefault="002B7132">
      <w:pPr>
        <w:rPr>
          <w:rFonts w:ascii="Calibri" w:eastAsia="Calibri" w:hAnsi="Calibri" w:cs="Times New Roman"/>
          <w:b/>
          <w:sz w:val="24"/>
        </w:rPr>
      </w:pPr>
    </w:p>
    <w:p w14:paraId="45919745" w14:textId="0D04C811" w:rsidR="00CF2E5A" w:rsidRDefault="00CF2E5A" w:rsidP="00CF2E5A">
      <w:pPr>
        <w:contextualSpacing/>
      </w:pPr>
    </w:p>
    <w:p w14:paraId="424344D2" w14:textId="77777777" w:rsidR="00782640" w:rsidRPr="00782640" w:rsidRDefault="00782640" w:rsidP="00782640">
      <w:pPr>
        <w:spacing w:after="0" w:line="240" w:lineRule="auto"/>
        <w:rPr>
          <w:rFonts w:ascii="Calibri" w:eastAsia="Calibri" w:hAnsi="Calibri" w:cs="Times New Roman"/>
          <w:sz w:val="24"/>
          <w:szCs w:val="24"/>
        </w:rPr>
      </w:pPr>
    </w:p>
    <w:p w14:paraId="29B4114B" w14:textId="77777777" w:rsidR="00782640" w:rsidRPr="00782640" w:rsidRDefault="00782640" w:rsidP="00782640">
      <w:pPr>
        <w:spacing w:after="0" w:line="240" w:lineRule="auto"/>
        <w:rPr>
          <w:rFonts w:ascii="Calibri" w:eastAsia="Calibri" w:hAnsi="Calibri" w:cs="Times New Roman"/>
          <w:sz w:val="24"/>
          <w:szCs w:val="24"/>
        </w:rPr>
      </w:pPr>
    </w:p>
    <w:p w14:paraId="7C083E63" w14:textId="77777777" w:rsidR="00782640" w:rsidRPr="00782640" w:rsidRDefault="00782640" w:rsidP="00782640">
      <w:pPr>
        <w:spacing w:after="0" w:line="240" w:lineRule="auto"/>
        <w:rPr>
          <w:rFonts w:ascii="Calibri" w:eastAsia="Calibri" w:hAnsi="Calibri" w:cs="Times New Roman"/>
          <w:sz w:val="24"/>
          <w:szCs w:val="24"/>
        </w:rPr>
      </w:pPr>
    </w:p>
    <w:p w14:paraId="634E5B7E" w14:textId="77777777" w:rsidR="00782640" w:rsidRPr="00782640" w:rsidRDefault="00782640" w:rsidP="00782640">
      <w:pPr>
        <w:spacing w:after="0" w:line="240" w:lineRule="auto"/>
        <w:rPr>
          <w:rFonts w:ascii="Calibri" w:eastAsia="Calibri" w:hAnsi="Calibri" w:cs="Times New Roman"/>
          <w:sz w:val="24"/>
          <w:szCs w:val="24"/>
        </w:rPr>
      </w:pPr>
    </w:p>
    <w:p w14:paraId="5018D09B" w14:textId="77777777" w:rsidR="00782640" w:rsidRPr="00782640" w:rsidRDefault="00782640" w:rsidP="00782640">
      <w:pPr>
        <w:spacing w:after="0" w:line="240" w:lineRule="auto"/>
        <w:rPr>
          <w:rFonts w:ascii="Calibri" w:eastAsia="Calibri" w:hAnsi="Calibri" w:cs="Times New Roman"/>
          <w:sz w:val="24"/>
          <w:szCs w:val="24"/>
        </w:rPr>
      </w:pPr>
    </w:p>
    <w:p w14:paraId="6307B05C" w14:textId="77777777" w:rsidR="00782640" w:rsidRPr="00782640" w:rsidRDefault="00782640" w:rsidP="00782640">
      <w:pPr>
        <w:spacing w:after="0" w:line="240" w:lineRule="auto"/>
        <w:rPr>
          <w:rFonts w:ascii="Calibri" w:eastAsia="Calibri" w:hAnsi="Calibri" w:cs="Times New Roman"/>
          <w:sz w:val="24"/>
          <w:szCs w:val="24"/>
        </w:rPr>
      </w:pPr>
    </w:p>
    <w:p w14:paraId="3905A266" w14:textId="77777777" w:rsidR="00782640" w:rsidRPr="00782640" w:rsidRDefault="00782640" w:rsidP="00782640">
      <w:pPr>
        <w:spacing w:after="0" w:line="240" w:lineRule="auto"/>
        <w:rPr>
          <w:rFonts w:ascii="Calibri" w:eastAsia="Calibri" w:hAnsi="Calibri" w:cs="Times New Roman"/>
          <w:sz w:val="24"/>
          <w:szCs w:val="24"/>
        </w:rPr>
      </w:pPr>
    </w:p>
    <w:p w14:paraId="2833E8E4" w14:textId="77777777" w:rsidR="00782640" w:rsidRPr="00782640" w:rsidRDefault="00782640" w:rsidP="00782640">
      <w:pPr>
        <w:spacing w:after="0" w:line="240" w:lineRule="auto"/>
        <w:rPr>
          <w:rFonts w:ascii="Calibri" w:eastAsia="Calibri" w:hAnsi="Calibri" w:cs="Times New Roman"/>
          <w:sz w:val="24"/>
          <w:szCs w:val="24"/>
        </w:rPr>
      </w:pPr>
    </w:p>
    <w:p w14:paraId="6A7A3164" w14:textId="77777777" w:rsidR="00782640" w:rsidRPr="00782640" w:rsidRDefault="00782640" w:rsidP="00782640">
      <w:pPr>
        <w:spacing w:after="0" w:line="240" w:lineRule="auto"/>
        <w:rPr>
          <w:rFonts w:ascii="Calibri" w:eastAsia="Calibri" w:hAnsi="Calibri" w:cs="Times New Roman"/>
          <w:sz w:val="24"/>
          <w:szCs w:val="24"/>
        </w:rPr>
      </w:pPr>
    </w:p>
    <w:p w14:paraId="6CC5BCDD" w14:textId="77777777" w:rsidR="00782640" w:rsidRPr="00782640" w:rsidRDefault="00782640" w:rsidP="00782640">
      <w:pPr>
        <w:spacing w:after="0" w:line="240" w:lineRule="auto"/>
        <w:rPr>
          <w:rFonts w:ascii="Calibri" w:eastAsia="Calibri" w:hAnsi="Calibri" w:cs="Times New Roman"/>
          <w:sz w:val="24"/>
          <w:szCs w:val="24"/>
        </w:rPr>
      </w:pPr>
    </w:p>
    <w:p w14:paraId="78EB6DEE" w14:textId="77777777" w:rsidR="00782640" w:rsidRPr="00782640" w:rsidRDefault="00782640" w:rsidP="00782640">
      <w:pPr>
        <w:spacing w:after="0" w:line="240" w:lineRule="auto"/>
        <w:rPr>
          <w:rFonts w:ascii="Calibri" w:eastAsia="Calibri" w:hAnsi="Calibri" w:cs="Times New Roman"/>
          <w:sz w:val="24"/>
          <w:szCs w:val="24"/>
        </w:rPr>
      </w:pPr>
    </w:p>
    <w:p w14:paraId="7AE54934" w14:textId="77777777" w:rsidR="00782640" w:rsidRPr="00782640" w:rsidRDefault="00782640" w:rsidP="00782640">
      <w:pPr>
        <w:spacing w:after="0" w:line="240" w:lineRule="auto"/>
        <w:rPr>
          <w:rFonts w:ascii="Calibri" w:eastAsia="Calibri" w:hAnsi="Calibri" w:cs="Times New Roman"/>
          <w:sz w:val="24"/>
          <w:szCs w:val="24"/>
        </w:rPr>
      </w:pPr>
    </w:p>
    <w:p w14:paraId="493658EF" w14:textId="77777777" w:rsidR="00782640" w:rsidRPr="00782640" w:rsidRDefault="00782640" w:rsidP="00782640">
      <w:pPr>
        <w:spacing w:after="0" w:line="240" w:lineRule="auto"/>
        <w:rPr>
          <w:rFonts w:ascii="Calibri" w:eastAsia="Calibri" w:hAnsi="Calibri" w:cs="Times New Roman"/>
          <w:sz w:val="24"/>
          <w:szCs w:val="24"/>
        </w:rPr>
      </w:pPr>
    </w:p>
    <w:p w14:paraId="44FEAB35" w14:textId="77777777" w:rsidR="00782640" w:rsidRPr="00782640" w:rsidRDefault="00782640" w:rsidP="00782640">
      <w:pPr>
        <w:spacing w:after="0" w:line="240" w:lineRule="auto"/>
        <w:rPr>
          <w:rFonts w:ascii="Calibri" w:eastAsia="Calibri" w:hAnsi="Calibri" w:cs="Times New Roman"/>
          <w:sz w:val="24"/>
          <w:szCs w:val="24"/>
        </w:rPr>
      </w:pPr>
    </w:p>
    <w:p w14:paraId="78FAD6AF" w14:textId="77777777" w:rsidR="00782640" w:rsidRPr="00782640" w:rsidRDefault="00782640" w:rsidP="00782640">
      <w:pPr>
        <w:spacing w:after="0" w:line="240" w:lineRule="auto"/>
        <w:rPr>
          <w:rFonts w:ascii="Calibri" w:eastAsia="Calibri" w:hAnsi="Calibri" w:cs="Times New Roman"/>
          <w:sz w:val="24"/>
          <w:szCs w:val="24"/>
        </w:rPr>
      </w:pPr>
    </w:p>
    <w:p w14:paraId="4A0AEDE3" w14:textId="77777777" w:rsidR="00782640" w:rsidRPr="00782640" w:rsidRDefault="00782640" w:rsidP="00782640">
      <w:pPr>
        <w:spacing w:after="0" w:line="240" w:lineRule="auto"/>
        <w:rPr>
          <w:rFonts w:ascii="Calibri" w:eastAsia="Calibri" w:hAnsi="Calibri" w:cs="Times New Roman"/>
          <w:sz w:val="24"/>
          <w:szCs w:val="24"/>
        </w:rPr>
      </w:pPr>
    </w:p>
    <w:p w14:paraId="2054F01D" w14:textId="77777777" w:rsidR="00782640" w:rsidRPr="00782640" w:rsidRDefault="00782640" w:rsidP="00782640">
      <w:pPr>
        <w:spacing w:after="0" w:line="240" w:lineRule="auto"/>
        <w:rPr>
          <w:rFonts w:ascii="Calibri" w:eastAsia="Calibri" w:hAnsi="Calibri" w:cs="Times New Roman"/>
          <w:sz w:val="24"/>
          <w:szCs w:val="24"/>
        </w:rPr>
      </w:pPr>
    </w:p>
    <w:p w14:paraId="758C496C" w14:textId="77777777" w:rsidR="00782640" w:rsidRPr="00782640" w:rsidRDefault="00782640" w:rsidP="00782640">
      <w:pPr>
        <w:spacing w:after="0" w:line="240" w:lineRule="auto"/>
        <w:rPr>
          <w:rFonts w:ascii="Calibri" w:eastAsia="Calibri" w:hAnsi="Calibri" w:cs="Times New Roman"/>
          <w:sz w:val="24"/>
          <w:szCs w:val="24"/>
        </w:rPr>
      </w:pPr>
    </w:p>
    <w:p w14:paraId="6BF37846" w14:textId="77777777" w:rsidR="00782640" w:rsidRPr="00782640" w:rsidRDefault="00782640" w:rsidP="00782640">
      <w:pPr>
        <w:spacing w:after="0" w:line="240" w:lineRule="auto"/>
        <w:rPr>
          <w:rFonts w:ascii="Calibri" w:eastAsia="Calibri" w:hAnsi="Calibri" w:cs="Times New Roman"/>
          <w:sz w:val="24"/>
          <w:szCs w:val="24"/>
        </w:rPr>
      </w:pPr>
    </w:p>
    <w:p w14:paraId="765A1029" w14:textId="77777777" w:rsidR="00782640" w:rsidRPr="00EC7110" w:rsidRDefault="00782640" w:rsidP="00782640">
      <w:pPr>
        <w:spacing w:after="0" w:line="240" w:lineRule="auto"/>
        <w:rPr>
          <w:rFonts w:ascii="Adelle Sans ExtraBold" w:eastAsia="Calibri" w:hAnsi="Adelle Sans ExtraBold" w:cs="Times New Roman"/>
          <w:b/>
          <w:bCs/>
          <w:color w:val="C00000"/>
          <w:sz w:val="40"/>
          <w:szCs w:val="40"/>
        </w:rPr>
      </w:pPr>
      <w:r w:rsidRPr="00EC7110">
        <w:rPr>
          <w:rFonts w:ascii="Adelle Sans ExtraBold" w:eastAsia="Calibri" w:hAnsi="Adelle Sans ExtraBold" w:cs="Times New Roman"/>
          <w:b/>
          <w:bCs/>
          <w:color w:val="C00000"/>
          <w:sz w:val="40"/>
          <w:szCs w:val="40"/>
        </w:rPr>
        <w:lastRenderedPageBreak/>
        <w:t xml:space="preserve">© Kidney Health Australia  </w:t>
      </w:r>
    </w:p>
    <w:p w14:paraId="782AE31C" w14:textId="77777777" w:rsidR="00782640" w:rsidRPr="00782640" w:rsidRDefault="00782640" w:rsidP="00782640">
      <w:pPr>
        <w:spacing w:after="0" w:line="240" w:lineRule="auto"/>
        <w:rPr>
          <w:rFonts w:ascii="Calibri" w:eastAsia="Calibri" w:hAnsi="Calibri" w:cs="Times New Roman"/>
          <w:sz w:val="24"/>
          <w:szCs w:val="24"/>
        </w:rPr>
      </w:pPr>
    </w:p>
    <w:p w14:paraId="2057B0DF"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 xml:space="preserve">This report is copyright.  Apart from any use as permitted under the Copyright Act 1968, no part may be reproduced without written permission from Kidney health Australia.  Requests and enquiries concerning reproduction and rights should be directed to Kidney Health Australia, PO Box 9993, Melbourne VIC 3001. </w:t>
      </w:r>
    </w:p>
    <w:p w14:paraId="5F290CB0" w14:textId="77777777" w:rsidR="00782640" w:rsidRPr="00782640" w:rsidRDefault="00782640" w:rsidP="00782640">
      <w:pPr>
        <w:spacing w:after="0" w:line="240" w:lineRule="auto"/>
        <w:jc w:val="both"/>
        <w:rPr>
          <w:rFonts w:ascii="Calibri" w:eastAsia="Calibri" w:hAnsi="Calibri" w:cs="Times New Roman"/>
          <w:sz w:val="24"/>
          <w:szCs w:val="24"/>
        </w:rPr>
      </w:pPr>
    </w:p>
    <w:p w14:paraId="44D8A630" w14:textId="77777777" w:rsidR="00782640" w:rsidRPr="00782640" w:rsidRDefault="00782640" w:rsidP="00782640">
      <w:pPr>
        <w:spacing w:after="0" w:line="240" w:lineRule="auto"/>
        <w:jc w:val="both"/>
        <w:rPr>
          <w:rFonts w:ascii="Calibri" w:eastAsia="Calibri" w:hAnsi="Calibri" w:cs="Times New Roman"/>
          <w:sz w:val="24"/>
          <w:szCs w:val="24"/>
        </w:rPr>
      </w:pPr>
    </w:p>
    <w:p w14:paraId="466C48A4"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 xml:space="preserve">ISBN: </w:t>
      </w:r>
      <w:r w:rsidRPr="00782640">
        <w:rPr>
          <w:rFonts w:ascii="Calibri" w:eastAsia="Calibri" w:hAnsi="Calibri" w:cs="Times New Roman"/>
          <w:sz w:val="24"/>
          <w:szCs w:val="24"/>
        </w:rPr>
        <w:tab/>
        <w:t xml:space="preserve"> 978-0-6485572-0-3 (print) </w:t>
      </w:r>
    </w:p>
    <w:p w14:paraId="432BA72D"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ab/>
        <w:t xml:space="preserve"> 978-0-6485572-1-0 (web)</w:t>
      </w:r>
    </w:p>
    <w:p w14:paraId="7CB93CE4" w14:textId="77777777" w:rsidR="00782640" w:rsidRPr="00782640" w:rsidRDefault="00782640" w:rsidP="00782640">
      <w:pPr>
        <w:spacing w:after="0" w:line="240" w:lineRule="auto"/>
        <w:jc w:val="both"/>
        <w:rPr>
          <w:rFonts w:ascii="Calibri" w:eastAsia="Calibri" w:hAnsi="Calibri" w:cs="Times New Roman"/>
          <w:sz w:val="24"/>
          <w:szCs w:val="24"/>
        </w:rPr>
      </w:pPr>
    </w:p>
    <w:p w14:paraId="6961E4F8" w14:textId="77777777" w:rsidR="00782640" w:rsidRPr="00782640" w:rsidRDefault="00782640" w:rsidP="00782640">
      <w:pPr>
        <w:spacing w:after="0" w:line="240" w:lineRule="auto"/>
        <w:rPr>
          <w:rFonts w:ascii="Calibri" w:eastAsia="Calibri" w:hAnsi="Calibri" w:cs="Times New Roman"/>
          <w:sz w:val="24"/>
          <w:szCs w:val="24"/>
        </w:rPr>
      </w:pPr>
    </w:p>
    <w:p w14:paraId="6B99FEE5" w14:textId="77777777" w:rsidR="00782640" w:rsidRPr="00782640" w:rsidRDefault="00782640" w:rsidP="00782640">
      <w:pPr>
        <w:spacing w:after="0" w:line="240" w:lineRule="auto"/>
        <w:rPr>
          <w:rFonts w:ascii="Calibri" w:eastAsia="Calibri" w:hAnsi="Calibri" w:cs="Times New Roman"/>
          <w:sz w:val="24"/>
          <w:szCs w:val="24"/>
        </w:rPr>
      </w:pPr>
    </w:p>
    <w:p w14:paraId="0DD47A40" w14:textId="77777777" w:rsidR="00782640" w:rsidRPr="00782640" w:rsidRDefault="00782640" w:rsidP="00782640">
      <w:pPr>
        <w:spacing w:after="0" w:line="240" w:lineRule="auto"/>
        <w:rPr>
          <w:rFonts w:ascii="Calibri" w:eastAsia="Calibri" w:hAnsi="Calibri" w:cs="Times New Roman"/>
          <w:sz w:val="24"/>
          <w:szCs w:val="24"/>
        </w:rPr>
      </w:pPr>
    </w:p>
    <w:p w14:paraId="2B62A1D3" w14:textId="77777777" w:rsidR="00782640" w:rsidRPr="00782640" w:rsidRDefault="00782640" w:rsidP="00782640">
      <w:pPr>
        <w:spacing w:after="0" w:line="240" w:lineRule="auto"/>
        <w:rPr>
          <w:rFonts w:ascii="Calibri" w:eastAsia="Calibri" w:hAnsi="Calibri" w:cs="Times New Roman"/>
          <w:sz w:val="24"/>
          <w:szCs w:val="24"/>
        </w:rPr>
      </w:pPr>
    </w:p>
    <w:p w14:paraId="01E6D474" w14:textId="77777777" w:rsidR="00782640" w:rsidRPr="00782640" w:rsidRDefault="00782640" w:rsidP="00782640">
      <w:pPr>
        <w:spacing w:after="0" w:line="240" w:lineRule="auto"/>
        <w:rPr>
          <w:rFonts w:ascii="Adelle Sans ExtraBold" w:eastAsia="Calibri" w:hAnsi="Adelle Sans ExtraBold" w:cs="Times New Roman"/>
          <w:b/>
          <w:bCs/>
          <w:color w:val="FF0000"/>
          <w:sz w:val="40"/>
          <w:szCs w:val="40"/>
        </w:rPr>
      </w:pPr>
    </w:p>
    <w:p w14:paraId="0F710D7B" w14:textId="77777777" w:rsidR="00782640" w:rsidRPr="00EC7110" w:rsidRDefault="00782640" w:rsidP="00782640">
      <w:pPr>
        <w:spacing w:after="0" w:line="240" w:lineRule="auto"/>
        <w:rPr>
          <w:rFonts w:ascii="Adelle Sans ExtraBold" w:eastAsia="Calibri" w:hAnsi="Adelle Sans ExtraBold" w:cs="Times New Roman"/>
          <w:b/>
          <w:bCs/>
          <w:color w:val="C00000"/>
          <w:sz w:val="40"/>
          <w:szCs w:val="40"/>
        </w:rPr>
      </w:pPr>
      <w:r w:rsidRPr="00EC7110">
        <w:rPr>
          <w:rFonts w:ascii="Adelle Sans ExtraBold" w:eastAsia="Calibri" w:hAnsi="Adelle Sans ExtraBold" w:cs="Times New Roman"/>
          <w:b/>
          <w:bCs/>
          <w:color w:val="C00000"/>
          <w:sz w:val="40"/>
          <w:szCs w:val="40"/>
        </w:rPr>
        <w:t>Disclaimer</w:t>
      </w:r>
    </w:p>
    <w:p w14:paraId="7F1EE905" w14:textId="77777777" w:rsidR="00782640" w:rsidRPr="00782640" w:rsidRDefault="00782640" w:rsidP="00782640">
      <w:pPr>
        <w:spacing w:after="0" w:line="360" w:lineRule="auto"/>
        <w:jc w:val="both"/>
        <w:rPr>
          <w:rFonts w:ascii="Adelle Sans Light" w:eastAsia="Calibri" w:hAnsi="Adelle Sans Light" w:cs="Times New Roman"/>
          <w:sz w:val="24"/>
          <w:szCs w:val="24"/>
        </w:rPr>
      </w:pPr>
    </w:p>
    <w:p w14:paraId="5FDE64A4" w14:textId="77777777" w:rsidR="00782640" w:rsidRPr="00782640" w:rsidRDefault="00782640" w:rsidP="00782640">
      <w:pPr>
        <w:spacing w:after="0" w:line="240" w:lineRule="auto"/>
        <w:jc w:val="both"/>
        <w:rPr>
          <w:rFonts w:ascii="Calibri" w:eastAsia="Calibri" w:hAnsi="Calibri" w:cs="Times New Roman"/>
          <w:sz w:val="24"/>
          <w:szCs w:val="24"/>
        </w:rPr>
      </w:pPr>
      <w:r w:rsidRPr="00782640">
        <w:rPr>
          <w:rFonts w:ascii="Calibri" w:eastAsia="Calibri" w:hAnsi="Calibri" w:cs="Times New Roman"/>
          <w:sz w:val="24"/>
          <w:szCs w:val="24"/>
        </w:rPr>
        <w:t xml:space="preserve">The recommendations contained in this report were formed from feedback obtained through consultation with expert, community-based health practitioners from metropolitan, rural and remote regions, who were actively involved in clinical care delivery for kidney disease, and primary health care professionals.  It is designed to provide information and assist decision-making.  The authors assume no responsibility for personal or other injury, loss or damage that may result from the information in this publication.  </w:t>
      </w:r>
    </w:p>
    <w:p w14:paraId="71C7E348" w14:textId="77777777" w:rsidR="00782640" w:rsidRPr="00782640" w:rsidRDefault="00782640" w:rsidP="00782640">
      <w:pPr>
        <w:spacing w:after="0" w:line="240" w:lineRule="auto"/>
        <w:jc w:val="both"/>
        <w:rPr>
          <w:rFonts w:ascii="Calibri" w:eastAsia="Calibri" w:hAnsi="Calibri" w:cs="Times New Roman"/>
          <w:sz w:val="24"/>
          <w:szCs w:val="24"/>
        </w:rPr>
      </w:pPr>
    </w:p>
    <w:p w14:paraId="1C673D17" w14:textId="77777777" w:rsidR="00782640" w:rsidRPr="00782640" w:rsidRDefault="00782640" w:rsidP="00782640">
      <w:pPr>
        <w:spacing w:after="0" w:line="240" w:lineRule="auto"/>
        <w:rPr>
          <w:rFonts w:ascii="Calibri" w:eastAsia="Calibri" w:hAnsi="Calibri" w:cs="Times New Roman"/>
          <w:sz w:val="24"/>
          <w:szCs w:val="24"/>
        </w:rPr>
      </w:pPr>
    </w:p>
    <w:p w14:paraId="3F9F5F9E" w14:textId="77777777" w:rsidR="00782640" w:rsidRPr="00782640" w:rsidRDefault="00782640" w:rsidP="00782640">
      <w:pPr>
        <w:spacing w:after="0" w:line="240" w:lineRule="auto"/>
        <w:rPr>
          <w:rFonts w:ascii="Calibri" w:eastAsia="Calibri" w:hAnsi="Calibri" w:cs="Times New Roman"/>
          <w:sz w:val="24"/>
          <w:szCs w:val="24"/>
        </w:rPr>
      </w:pPr>
    </w:p>
    <w:p w14:paraId="6023F615" w14:textId="77777777" w:rsidR="00782640" w:rsidRPr="00782640" w:rsidRDefault="00782640" w:rsidP="00782640">
      <w:pPr>
        <w:spacing w:after="0" w:line="240" w:lineRule="auto"/>
        <w:rPr>
          <w:rFonts w:ascii="Calibri" w:eastAsia="Calibri" w:hAnsi="Calibri" w:cs="Times New Roman"/>
          <w:sz w:val="24"/>
          <w:szCs w:val="24"/>
        </w:rPr>
      </w:pPr>
    </w:p>
    <w:p w14:paraId="5EA45A9E" w14:textId="77777777" w:rsidR="00782640" w:rsidRPr="00782640" w:rsidRDefault="00782640" w:rsidP="00782640">
      <w:pPr>
        <w:spacing w:after="0" w:line="240" w:lineRule="auto"/>
        <w:rPr>
          <w:rFonts w:ascii="Calibri" w:eastAsia="Calibri" w:hAnsi="Calibri" w:cs="Times New Roman"/>
          <w:sz w:val="24"/>
          <w:szCs w:val="24"/>
        </w:rPr>
      </w:pPr>
    </w:p>
    <w:p w14:paraId="62355B2E" w14:textId="77777777" w:rsidR="00782640" w:rsidRPr="00782640" w:rsidRDefault="00782640" w:rsidP="00782640">
      <w:pPr>
        <w:spacing w:after="0" w:line="240" w:lineRule="auto"/>
        <w:rPr>
          <w:rFonts w:ascii="Calibri" w:eastAsia="Calibri" w:hAnsi="Calibri" w:cs="Times New Roman"/>
          <w:sz w:val="24"/>
          <w:szCs w:val="24"/>
        </w:rPr>
      </w:pPr>
    </w:p>
    <w:p w14:paraId="33F7D040" w14:textId="77777777" w:rsidR="00782640" w:rsidRPr="00782640" w:rsidRDefault="00782640" w:rsidP="00782640">
      <w:pPr>
        <w:spacing w:after="0" w:line="240" w:lineRule="auto"/>
        <w:rPr>
          <w:rFonts w:ascii="Calibri" w:eastAsia="Calibri" w:hAnsi="Calibri" w:cs="Times New Roman"/>
          <w:sz w:val="24"/>
          <w:szCs w:val="24"/>
        </w:rPr>
      </w:pPr>
    </w:p>
    <w:p w14:paraId="44FCE73D" w14:textId="77777777" w:rsidR="00782640" w:rsidRPr="00782640" w:rsidRDefault="00782640" w:rsidP="00782640">
      <w:pPr>
        <w:spacing w:after="0" w:line="240" w:lineRule="auto"/>
        <w:rPr>
          <w:rFonts w:ascii="Calibri" w:eastAsia="Calibri" w:hAnsi="Calibri" w:cs="Times New Roman"/>
          <w:sz w:val="24"/>
          <w:szCs w:val="24"/>
        </w:rPr>
      </w:pPr>
    </w:p>
    <w:p w14:paraId="353FEDA5" w14:textId="77777777" w:rsidR="00782640" w:rsidRPr="00782640" w:rsidRDefault="00782640" w:rsidP="00782640">
      <w:pPr>
        <w:spacing w:after="0" w:line="240" w:lineRule="auto"/>
        <w:rPr>
          <w:rFonts w:ascii="Calibri" w:eastAsia="Calibri" w:hAnsi="Calibri" w:cs="Times New Roman"/>
          <w:sz w:val="24"/>
          <w:szCs w:val="24"/>
        </w:rPr>
      </w:pPr>
    </w:p>
    <w:p w14:paraId="220BA434" w14:textId="77777777" w:rsidR="00076A87" w:rsidRDefault="00076A87" w:rsidP="00782640">
      <w:pPr>
        <w:rPr>
          <w:rFonts w:asciiTheme="majorHAnsi" w:hAnsiTheme="majorHAnsi" w:cstheme="minorHAnsi"/>
          <w:b/>
          <w:color w:val="FF0000"/>
          <w:sz w:val="32"/>
          <w:szCs w:val="32"/>
        </w:rPr>
        <w:sectPr w:rsidR="00076A87" w:rsidSect="00076A87">
          <w:footerReference w:type="default" r:id="rId101"/>
          <w:pgSz w:w="11900" w:h="16840"/>
          <w:pgMar w:top="1440" w:right="1440" w:bottom="1440" w:left="1440" w:header="708" w:footer="708" w:gutter="0"/>
          <w:pgNumType w:start="1"/>
          <w:cols w:space="708"/>
          <w:titlePg/>
          <w:docGrid w:linePitch="360"/>
        </w:sectPr>
      </w:pPr>
    </w:p>
    <w:p w14:paraId="1B1B35B7" w14:textId="77777777" w:rsidR="00076A87" w:rsidRPr="00EC7110" w:rsidRDefault="00076A87" w:rsidP="00782640">
      <w:pPr>
        <w:rPr>
          <w:rFonts w:asciiTheme="majorHAnsi" w:hAnsiTheme="majorHAnsi" w:cstheme="minorHAnsi"/>
          <w:b/>
          <w:color w:val="C00000"/>
          <w:sz w:val="32"/>
          <w:szCs w:val="32"/>
        </w:rPr>
        <w:sectPr w:rsidR="00076A87" w:rsidRPr="00EC7110" w:rsidSect="00076A87">
          <w:pgSz w:w="11900" w:h="16840"/>
          <w:pgMar w:top="1440" w:right="1440" w:bottom="1440" w:left="1440" w:header="708" w:footer="708" w:gutter="0"/>
          <w:pgNumType w:start="1"/>
          <w:cols w:space="708"/>
          <w:titlePg/>
          <w:docGrid w:linePitch="360"/>
        </w:sectPr>
      </w:pPr>
      <w:r w:rsidRPr="00EC7110">
        <w:rPr>
          <w:rFonts w:asciiTheme="majorHAnsi" w:hAnsiTheme="majorHAnsi" w:cstheme="minorHAnsi"/>
          <w:b/>
          <w:color w:val="C00000"/>
          <w:sz w:val="32"/>
          <w:szCs w:val="32"/>
        </w:rPr>
        <w:lastRenderedPageBreak/>
        <w:t>Appendix 5: Catching Some Air - Asserting Indigenous Information Rights in Renal Disease</w:t>
      </w:r>
    </w:p>
    <w:p w14:paraId="5DA08C11" w14:textId="076579CC" w:rsidR="00076A87" w:rsidRPr="00076A87" w:rsidRDefault="00076A87" w:rsidP="00076A87">
      <w:pPr>
        <w:spacing w:after="0"/>
        <w:rPr>
          <w:rFonts w:ascii="Calibri" w:eastAsia="Calibri" w:hAnsi="Calibri" w:cs="Times New Roman"/>
          <w:sz w:val="160"/>
          <w:szCs w:val="40"/>
        </w:rPr>
      </w:pPr>
      <w:r w:rsidRPr="00076A87">
        <w:rPr>
          <w:rFonts w:ascii="Arial" w:eastAsia="Calibri" w:hAnsi="Arial" w:cs="Arial"/>
          <w:noProof/>
          <w:sz w:val="22"/>
          <w:lang w:eastAsia="en-AU"/>
        </w:rPr>
        <w:lastRenderedPageBreak/>
        <w:drawing>
          <wp:inline distT="0" distB="0" distL="0" distR="0" wp14:anchorId="5AFE2A66" wp14:editId="63AD7A19">
            <wp:extent cx="2211975" cy="1070043"/>
            <wp:effectExtent l="0" t="0" r="0" b="0"/>
            <wp:docPr id="274" name="Picture 4" descr="Institution logo" title="Menzies School of Health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2" cstate="email">
                      <a:extLst>
                        <a:ext uri="{28A0092B-C50C-407E-A947-70E740481C1C}">
                          <a14:useLocalDpi xmlns:a14="http://schemas.microsoft.com/office/drawing/2010/main"/>
                        </a:ext>
                      </a:extLst>
                    </a:blip>
                    <a:stretch>
                      <a:fillRect/>
                    </a:stretch>
                  </pic:blipFill>
                  <pic:spPr>
                    <a:xfrm>
                      <a:off x="0" y="0"/>
                      <a:ext cx="2211975" cy="1070043"/>
                    </a:xfrm>
                    <a:prstGeom prst="rect">
                      <a:avLst/>
                    </a:prstGeom>
                  </pic:spPr>
                </pic:pic>
              </a:graphicData>
            </a:graphic>
          </wp:inline>
        </w:drawing>
      </w:r>
    </w:p>
    <w:p w14:paraId="1131F244" w14:textId="77777777" w:rsidR="00076A87" w:rsidRDefault="00076A87" w:rsidP="00076A87">
      <w:pPr>
        <w:jc w:val="center"/>
        <w:rPr>
          <w:rFonts w:ascii="Arial" w:eastAsia="Calibri" w:hAnsi="Arial" w:cs="Arial"/>
          <w:b/>
          <w:bCs/>
          <w:sz w:val="48"/>
          <w:szCs w:val="48"/>
        </w:rPr>
      </w:pPr>
    </w:p>
    <w:p w14:paraId="732A472F" w14:textId="77777777" w:rsidR="00076A87" w:rsidRPr="00076A87" w:rsidRDefault="00076A87" w:rsidP="00076A87">
      <w:pPr>
        <w:jc w:val="center"/>
        <w:rPr>
          <w:rFonts w:ascii="Arial" w:eastAsia="Calibri" w:hAnsi="Arial" w:cs="Arial"/>
          <w:b/>
          <w:bCs/>
          <w:sz w:val="48"/>
          <w:szCs w:val="48"/>
        </w:rPr>
      </w:pPr>
      <w:r w:rsidRPr="00076A87">
        <w:rPr>
          <w:rFonts w:ascii="Arial" w:eastAsia="Calibri" w:hAnsi="Arial" w:cs="Arial"/>
          <w:b/>
          <w:bCs/>
          <w:sz w:val="48"/>
          <w:szCs w:val="48"/>
        </w:rPr>
        <w:t xml:space="preserve">Catching Some AIR </w:t>
      </w:r>
    </w:p>
    <w:p w14:paraId="37F9BC34" w14:textId="77777777" w:rsidR="00076A87" w:rsidRPr="00076A87" w:rsidRDefault="00076A87" w:rsidP="00076A87">
      <w:pPr>
        <w:jc w:val="center"/>
        <w:rPr>
          <w:rFonts w:ascii="Arial" w:eastAsia="Calibri" w:hAnsi="Arial" w:cs="Arial"/>
          <w:b/>
          <w:bCs/>
          <w:sz w:val="48"/>
          <w:szCs w:val="48"/>
        </w:rPr>
      </w:pPr>
      <w:r w:rsidRPr="00076A87">
        <w:rPr>
          <w:rFonts w:ascii="Arial" w:eastAsia="Calibri" w:hAnsi="Arial" w:cs="Arial"/>
          <w:b/>
          <w:bCs/>
          <w:sz w:val="48"/>
          <w:szCs w:val="48"/>
        </w:rPr>
        <w:t>Asserting Aboriginal and Torres Strait Islander Information Rights in Renal Disease</w:t>
      </w:r>
    </w:p>
    <w:p w14:paraId="02B5E08D" w14:textId="77777777" w:rsidR="00076A87" w:rsidRPr="00076A87" w:rsidRDefault="00076A87" w:rsidP="00076A87">
      <w:pPr>
        <w:spacing w:after="0"/>
        <w:jc w:val="center"/>
        <w:rPr>
          <w:rFonts w:ascii="Calibri" w:eastAsia="Calibri" w:hAnsi="Calibri" w:cs="Times New Roman"/>
          <w:sz w:val="40"/>
          <w:szCs w:val="40"/>
        </w:rPr>
      </w:pPr>
    </w:p>
    <w:p w14:paraId="1674238B" w14:textId="77777777" w:rsidR="00076A87" w:rsidRPr="00076A87" w:rsidRDefault="00076A87" w:rsidP="00076A87">
      <w:pPr>
        <w:spacing w:after="0"/>
        <w:jc w:val="center"/>
        <w:rPr>
          <w:rFonts w:ascii="Calibri" w:eastAsia="Calibri" w:hAnsi="Calibri" w:cs="Times New Roman"/>
          <w:sz w:val="40"/>
          <w:szCs w:val="40"/>
        </w:rPr>
      </w:pPr>
    </w:p>
    <w:p w14:paraId="00844652" w14:textId="77777777" w:rsidR="00076A87" w:rsidRPr="00076A87" w:rsidRDefault="00076A87" w:rsidP="00076A87">
      <w:pPr>
        <w:spacing w:after="0"/>
        <w:jc w:val="center"/>
        <w:rPr>
          <w:rFonts w:ascii="Arial" w:eastAsia="Calibri" w:hAnsi="Arial" w:cs="Arial"/>
          <w:sz w:val="32"/>
          <w:szCs w:val="32"/>
        </w:rPr>
      </w:pPr>
      <w:r w:rsidRPr="00076A87">
        <w:rPr>
          <w:rFonts w:ascii="Arial" w:eastAsia="Calibri" w:hAnsi="Arial" w:cs="Arial"/>
          <w:sz w:val="32"/>
          <w:szCs w:val="32"/>
        </w:rPr>
        <w:t>A targeted policy brief to</w:t>
      </w:r>
    </w:p>
    <w:p w14:paraId="6D8A7275" w14:textId="77777777" w:rsidR="00076A87" w:rsidRPr="00076A87" w:rsidRDefault="00076A87" w:rsidP="00076A87">
      <w:pPr>
        <w:spacing w:after="0"/>
        <w:jc w:val="center"/>
        <w:rPr>
          <w:rFonts w:ascii="Arial" w:eastAsia="Calibri" w:hAnsi="Arial" w:cs="Arial"/>
          <w:sz w:val="96"/>
          <w:szCs w:val="48"/>
        </w:rPr>
      </w:pPr>
    </w:p>
    <w:p w14:paraId="7355D4F5" w14:textId="77777777" w:rsidR="00076A87" w:rsidRPr="00076A87" w:rsidRDefault="00076A87" w:rsidP="00076A87">
      <w:pPr>
        <w:spacing w:after="0"/>
        <w:jc w:val="center"/>
        <w:rPr>
          <w:rFonts w:ascii="Calibri" w:eastAsia="Calibri" w:hAnsi="Calibri" w:cs="Times New Roman"/>
          <w:sz w:val="40"/>
          <w:szCs w:val="40"/>
        </w:rPr>
      </w:pPr>
      <w:r w:rsidRPr="00076A87">
        <w:rPr>
          <w:rFonts w:ascii="Arial" w:eastAsia="Calibri" w:hAnsi="Arial" w:cs="Arial"/>
          <w:b/>
          <w:sz w:val="48"/>
          <w:szCs w:val="48"/>
        </w:rPr>
        <w:t>“Close the Gap in Aboriginal and Torres Strait Islander diabetes and kidney health”</w:t>
      </w:r>
    </w:p>
    <w:p w14:paraId="3ED7BA4F" w14:textId="77777777" w:rsidR="00076A87" w:rsidRPr="00076A87" w:rsidRDefault="00076A87" w:rsidP="00076A87">
      <w:pPr>
        <w:spacing w:after="0"/>
        <w:jc w:val="center"/>
        <w:rPr>
          <w:rFonts w:ascii="Calibri" w:eastAsia="Calibri" w:hAnsi="Calibri" w:cs="Times New Roman"/>
          <w:sz w:val="72"/>
          <w:szCs w:val="40"/>
        </w:rPr>
      </w:pPr>
    </w:p>
    <w:p w14:paraId="7513338D" w14:textId="77777777" w:rsidR="00076A87" w:rsidRPr="00076A87" w:rsidRDefault="00076A87" w:rsidP="00076A87">
      <w:pPr>
        <w:spacing w:after="0"/>
        <w:jc w:val="right"/>
        <w:rPr>
          <w:rFonts w:ascii="Calibri" w:eastAsia="Calibri" w:hAnsi="Calibri" w:cs="Times New Roman"/>
          <w:sz w:val="40"/>
          <w:szCs w:val="40"/>
        </w:rPr>
      </w:pPr>
      <w:r w:rsidRPr="00076A87">
        <w:rPr>
          <w:rFonts w:ascii="Arial" w:eastAsia="Calibri" w:hAnsi="Arial" w:cs="Arial"/>
          <w:noProof/>
          <w:color w:val="2F5496"/>
          <w:sz w:val="36"/>
          <w:szCs w:val="36"/>
          <w:lang w:eastAsia="en-AU"/>
        </w:rPr>
        <w:drawing>
          <wp:inline distT="0" distB="0" distL="0" distR="0" wp14:anchorId="75497260" wp14:editId="1DB5CB95">
            <wp:extent cx="2390775" cy="1169035"/>
            <wp:effectExtent l="0" t="0" r="9525" b="0"/>
            <wp:docPr id="273" name="Picture 3" descr="Institution logo" title="The Lowitja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3" cstate="email">
                      <a:extLst>
                        <a:ext uri="{28A0092B-C50C-407E-A947-70E740481C1C}">
                          <a14:useLocalDpi xmlns:a14="http://schemas.microsoft.com/office/drawing/2010/main"/>
                        </a:ext>
                      </a:extLst>
                    </a:blip>
                    <a:stretch>
                      <a:fillRect/>
                    </a:stretch>
                  </pic:blipFill>
                  <pic:spPr>
                    <a:xfrm>
                      <a:off x="0" y="0"/>
                      <a:ext cx="2390775" cy="1169035"/>
                    </a:xfrm>
                    <a:prstGeom prst="rect">
                      <a:avLst/>
                    </a:prstGeom>
                  </pic:spPr>
                </pic:pic>
              </a:graphicData>
            </a:graphic>
          </wp:inline>
        </w:drawing>
      </w:r>
    </w:p>
    <w:p w14:paraId="7CAD93AB" w14:textId="77777777" w:rsidR="00076A87" w:rsidRPr="00076A87" w:rsidRDefault="00076A87" w:rsidP="00076A87">
      <w:pPr>
        <w:rPr>
          <w:rFonts w:ascii="Calibri" w:eastAsia="Calibri" w:hAnsi="Calibri" w:cs="Times New Roman"/>
          <w:b/>
          <w:sz w:val="22"/>
          <w:u w:val="single"/>
        </w:rPr>
        <w:sectPr w:rsidR="00076A87" w:rsidRPr="00076A87" w:rsidSect="00A41391">
          <w:headerReference w:type="default" r:id="rId104"/>
          <w:footerReference w:type="default" r:id="rId105"/>
          <w:pgSz w:w="11906" w:h="16838"/>
          <w:pgMar w:top="1440" w:right="1440" w:bottom="1440" w:left="1440" w:header="708" w:footer="708" w:gutter="0"/>
          <w:pgNumType w:start="2"/>
          <w:cols w:space="708"/>
          <w:docGrid w:linePitch="360"/>
        </w:sectPr>
      </w:pPr>
    </w:p>
    <w:p w14:paraId="2A06F33F" w14:textId="77777777" w:rsidR="00076A87" w:rsidRPr="00076A87" w:rsidRDefault="00076A87" w:rsidP="00076A87">
      <w:pPr>
        <w:rPr>
          <w:rFonts w:ascii="Calibri" w:eastAsia="Calibri" w:hAnsi="Calibri" w:cs="Times New Roman"/>
          <w:b/>
          <w:sz w:val="22"/>
          <w:u w:val="single"/>
        </w:rPr>
      </w:pPr>
      <w:r w:rsidRPr="00076A87">
        <w:rPr>
          <w:rFonts w:ascii="Arial" w:eastAsia="Calibri" w:hAnsi="Arial" w:cs="Arial"/>
          <w:b/>
          <w:noProof/>
          <w:sz w:val="24"/>
          <w:szCs w:val="24"/>
          <w:lang w:eastAsia="en-AU"/>
        </w:rPr>
        <w:lastRenderedPageBreak/>
        <mc:AlternateContent>
          <mc:Choice Requires="wps">
            <w:drawing>
              <wp:inline distT="0" distB="0" distL="0" distR="0" wp14:anchorId="624FCC99" wp14:editId="2A68EFA3">
                <wp:extent cx="6148800" cy="3880800"/>
                <wp:effectExtent l="0" t="0" r="23495" b="24765"/>
                <wp:docPr id="272" name="Text Box 272"/>
                <wp:cNvGraphicFramePr/>
                <a:graphic xmlns:a="http://schemas.openxmlformats.org/drawingml/2006/main">
                  <a:graphicData uri="http://schemas.microsoft.com/office/word/2010/wordprocessingShape">
                    <wps:wsp>
                      <wps:cNvSpPr txBox="1"/>
                      <wps:spPr>
                        <a:xfrm>
                          <a:off x="0" y="0"/>
                          <a:ext cx="6148800" cy="3880800"/>
                        </a:xfrm>
                        <a:prstGeom prst="rect">
                          <a:avLst/>
                        </a:prstGeom>
                        <a:noFill/>
                        <a:ln w="6350">
                          <a:solidFill>
                            <a:prstClr val="black"/>
                          </a:solidFill>
                        </a:ln>
                        <a:effectLst/>
                      </wps:spPr>
                      <wps:txbx>
                        <w:txbxContent>
                          <w:p w14:paraId="4D20142B" w14:textId="77777777" w:rsidR="00A41391" w:rsidRDefault="00A41391" w:rsidP="00076A87">
                            <w:pPr>
                              <w:spacing w:line="240" w:lineRule="auto"/>
                              <w:rPr>
                                <w:rFonts w:ascii="Arial" w:hAnsi="Arial" w:cs="Arial"/>
                              </w:rPr>
                            </w:pPr>
                            <w:r w:rsidRPr="00E959DA">
                              <w:rPr>
                                <w:rFonts w:ascii="Arial" w:hAnsi="Arial" w:cs="Arial"/>
                              </w:rPr>
                              <w:t xml:space="preserve">In the spirit of respect, Menzies School of Health Research acknowledges the people and elders of the Aboriginal and Torres Strait Islander nations who are the traditional owners of the land and seas of Australia.  </w:t>
                            </w:r>
                          </w:p>
                          <w:p w14:paraId="62B28711" w14:textId="77777777" w:rsidR="00A41391" w:rsidRDefault="00A41391" w:rsidP="00076A87">
                            <w:pPr>
                              <w:spacing w:line="240" w:lineRule="auto"/>
                              <w:rPr>
                                <w:rFonts w:ascii="Arial" w:hAnsi="Arial" w:cs="Arial"/>
                              </w:rPr>
                            </w:pPr>
                            <w:r w:rsidRPr="00E959DA">
                              <w:rPr>
                                <w:rFonts w:ascii="Arial" w:hAnsi="Arial" w:cs="Arial"/>
                              </w:rPr>
                              <w:t>© Menzie</w:t>
                            </w:r>
                            <w:r>
                              <w:rPr>
                                <w:rFonts w:ascii="Arial" w:hAnsi="Arial" w:cs="Arial"/>
                              </w:rPr>
                              <w:t>s School of Health Research 2018</w:t>
                            </w:r>
                          </w:p>
                          <w:p w14:paraId="75F48205" w14:textId="77777777" w:rsidR="00A41391" w:rsidRPr="004E3363" w:rsidRDefault="00A41391" w:rsidP="00076A87">
                            <w:pPr>
                              <w:spacing w:line="240" w:lineRule="auto"/>
                              <w:rPr>
                                <w:rFonts w:ascii="Arial" w:hAnsi="Arial" w:cs="Arial"/>
                              </w:rPr>
                            </w:pPr>
                          </w:p>
                          <w:p w14:paraId="402CFAC5" w14:textId="77777777" w:rsidR="00A41391" w:rsidRPr="004E3363" w:rsidRDefault="00A41391" w:rsidP="00076A87">
                            <w:pPr>
                              <w:rPr>
                                <w:rStyle w:val="profileidentifyaddressproperty"/>
                                <w:rFonts w:ascii="Arial" w:hAnsi="Arial" w:cs="Arial"/>
                                <w:lang w:val="en"/>
                              </w:rPr>
                            </w:pPr>
                            <w:r w:rsidRPr="004E3363">
                              <w:rPr>
                                <w:rFonts w:ascii="Arial" w:hAnsi="Arial" w:cs="Arial"/>
                              </w:rPr>
                              <w:t xml:space="preserve">The material contained in this document is the subject of copyright and / or privileges information.  Any use, disclosure (written or verbal), copying or dissemination of this document is prohibited without written consent from the Menzies School of Health Research.  Catching Some Air investigators are Dr JT Hughes, Dr J Kelly, Ms L Ramsamy, Ms D Duff, A/Prof P Mills, Prof A Cass, Ms H Hall, Mr L Ross, Mr D Croker. </w:t>
                            </w:r>
                          </w:p>
                          <w:p w14:paraId="189D2246" w14:textId="77777777" w:rsidR="00A41391" w:rsidRDefault="00A41391" w:rsidP="00076A87">
                            <w:pPr>
                              <w:spacing w:line="240" w:lineRule="auto"/>
                              <w:rPr>
                                <w:rFonts w:ascii="Arial" w:hAnsi="Arial" w:cs="Arial"/>
                              </w:rPr>
                            </w:pPr>
                          </w:p>
                          <w:p w14:paraId="5F388E93" w14:textId="77777777" w:rsidR="00A41391" w:rsidRDefault="00A41391" w:rsidP="00076A87">
                            <w:pPr>
                              <w:tabs>
                                <w:tab w:val="left" w:pos="426"/>
                              </w:tabs>
                              <w:spacing w:line="240" w:lineRule="auto"/>
                              <w:rPr>
                                <w:rStyle w:val="selectable"/>
                                <w:rFonts w:ascii="Arial" w:hAnsi="Arial" w:cs="Arial"/>
                              </w:rPr>
                            </w:pPr>
                            <w:r>
                              <w:rPr>
                                <w:rFonts w:ascii="Arial" w:hAnsi="Arial" w:cs="Arial"/>
                              </w:rPr>
                              <w:t xml:space="preserve">Suggested citation: </w:t>
                            </w:r>
                            <w:r w:rsidRPr="0089024D">
                              <w:rPr>
                                <w:rStyle w:val="selectable"/>
                                <w:rFonts w:ascii="Arial" w:hAnsi="Arial" w:cs="Arial"/>
                              </w:rPr>
                              <w:t xml:space="preserve">Hughes JT, </w:t>
                            </w:r>
                            <w:r>
                              <w:rPr>
                                <w:rStyle w:val="selectable"/>
                                <w:rFonts w:ascii="Arial" w:hAnsi="Arial" w:cs="Arial"/>
                              </w:rPr>
                              <w:t xml:space="preserve">Duff, D, Cass A, Mick-Ramsamy L </w:t>
                            </w:r>
                            <w:r w:rsidRPr="0089024D">
                              <w:rPr>
                                <w:rStyle w:val="selectable"/>
                                <w:rFonts w:ascii="Arial" w:hAnsi="Arial" w:cs="Arial"/>
                              </w:rPr>
                              <w:t>(201</w:t>
                            </w:r>
                            <w:r>
                              <w:rPr>
                                <w:rStyle w:val="selectable"/>
                                <w:rFonts w:ascii="Arial" w:hAnsi="Arial" w:cs="Arial"/>
                              </w:rPr>
                              <w:t>8</w:t>
                            </w:r>
                            <w:r w:rsidRPr="0089024D">
                              <w:rPr>
                                <w:rStyle w:val="selectable"/>
                                <w:rFonts w:ascii="Arial" w:hAnsi="Arial" w:cs="Arial"/>
                              </w:rPr>
                              <w:t>)</w:t>
                            </w:r>
                            <w:r>
                              <w:rPr>
                                <w:rStyle w:val="selectable"/>
                                <w:rFonts w:ascii="Arial" w:hAnsi="Arial" w:cs="Arial"/>
                              </w:rPr>
                              <w:t>.</w:t>
                            </w:r>
                            <w:r w:rsidRPr="0089024D">
                              <w:rPr>
                                <w:rStyle w:val="selectable"/>
                                <w:rFonts w:ascii="Arial" w:hAnsi="Arial" w:cs="Arial"/>
                              </w:rPr>
                              <w:t xml:space="preserve"> </w:t>
                            </w:r>
                            <w:r>
                              <w:rPr>
                                <w:rStyle w:val="selectable"/>
                                <w:rFonts w:ascii="Arial" w:hAnsi="Arial" w:cs="Arial"/>
                              </w:rPr>
                              <w:t xml:space="preserve">A targeted policy brief to Close the Gap in Aboriginal and Torres Strait Islander diabetes and kidney health </w:t>
                            </w:r>
                            <w:r w:rsidRPr="0089024D">
                              <w:rPr>
                                <w:rStyle w:val="selectable"/>
                                <w:rFonts w:ascii="Arial" w:hAnsi="Arial" w:cs="Arial"/>
                              </w:rPr>
                              <w:t xml:space="preserve">Menzies School of Health Research. </w:t>
                            </w:r>
                          </w:p>
                          <w:p w14:paraId="17C2919E" w14:textId="77777777" w:rsidR="00A41391" w:rsidRPr="00735B8C" w:rsidRDefault="00A41391" w:rsidP="00076A87">
                            <w:pPr>
                              <w:tabs>
                                <w:tab w:val="left" w:pos="426"/>
                              </w:tabs>
                              <w:spacing w:line="240" w:lineRule="auto"/>
                              <w:rPr>
                                <w:rFonts w:ascii="Arial" w:hAnsi="Arial" w:cs="Arial"/>
                              </w:rPr>
                            </w:pPr>
                            <w:r>
                              <w:rPr>
                                <w:rStyle w:val="selectable"/>
                                <w:rFonts w:ascii="Arial" w:hAnsi="Arial" w:cs="Arial"/>
                              </w:rPr>
                              <w:t>This document is currently in confidence with intended recipients, Hon Minister Wyatt AM MP, and Hon Warren Snowden.  The authors intend to publish the policy brief as a record of activities within the Catching Some Air project which aims to advance the health of Aboriginal and Torres Strait Islander peoples who live with sustained and devastating impact of diabetes and chronic kidney disease.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24FCC99" id="Text Box 272" o:spid="_x0000_s1208" type="#_x0000_t202" style="width:484.15pt;height:30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" filled="f" strokeweight=".5pt">
                <v:textbox>
                  <w:txbxContent>
                    <w:p w14:paraId="4D20142B" w14:textId="77777777" w:rsidR="00A41391" w:rsidRDefault="00A41391" w:rsidP="00076A87">
                      <w:pPr>
                        <w:spacing w:line="240" w:lineRule="auto"/>
                        <w:rPr>
                          <w:rFonts w:ascii="Arial" w:hAnsi="Arial" w:cs="Arial"/>
                        </w:rPr>
                      </w:pPr>
                      <w:r w:rsidRPr="00E959DA">
                        <w:rPr>
                          <w:rFonts w:ascii="Arial" w:hAnsi="Arial" w:cs="Arial"/>
                        </w:rPr>
                        <w:t xml:space="preserve">In the spirit of respect, Menzies School of Health Research acknowledges the people and elders of the Aboriginal and Torres Strait Islander nations who are the traditional owners of the land and seas of Australia.  </w:t>
                      </w:r>
                    </w:p>
                    <w:p w14:paraId="62B28711" w14:textId="77777777" w:rsidR="00A41391" w:rsidRDefault="00A41391" w:rsidP="00076A87">
                      <w:pPr>
                        <w:spacing w:line="240" w:lineRule="auto"/>
                        <w:rPr>
                          <w:rFonts w:ascii="Arial" w:hAnsi="Arial" w:cs="Arial"/>
                        </w:rPr>
                      </w:pPr>
                      <w:r w:rsidRPr="00E959DA">
                        <w:rPr>
                          <w:rFonts w:ascii="Arial" w:hAnsi="Arial" w:cs="Arial"/>
                        </w:rPr>
                        <w:t>© Menzie</w:t>
                      </w:r>
                      <w:r>
                        <w:rPr>
                          <w:rFonts w:ascii="Arial" w:hAnsi="Arial" w:cs="Arial"/>
                        </w:rPr>
                        <w:t>s School of Health Research 2018</w:t>
                      </w:r>
                    </w:p>
                    <w:p w14:paraId="75F48205" w14:textId="77777777" w:rsidR="00A41391" w:rsidRPr="004E3363" w:rsidRDefault="00A41391" w:rsidP="00076A87">
                      <w:pPr>
                        <w:spacing w:line="240" w:lineRule="auto"/>
                        <w:rPr>
                          <w:rFonts w:ascii="Arial" w:hAnsi="Arial" w:cs="Arial"/>
                        </w:rPr>
                      </w:pPr>
                    </w:p>
                    <w:p w14:paraId="402CFAC5" w14:textId="77777777" w:rsidR="00A41391" w:rsidRPr="004E3363" w:rsidRDefault="00A41391" w:rsidP="00076A87">
                      <w:pPr>
                        <w:rPr>
                          <w:rStyle w:val="profileidentifyaddressproperty"/>
                          <w:rFonts w:ascii="Arial" w:hAnsi="Arial" w:cs="Arial"/>
                          <w:lang w:val="en"/>
                        </w:rPr>
                      </w:pPr>
                      <w:r w:rsidRPr="004E3363">
                        <w:rPr>
                          <w:rFonts w:ascii="Arial" w:hAnsi="Arial" w:cs="Arial"/>
                        </w:rPr>
                        <w:t xml:space="preserve">The material contained in this document is the subject of copyright and / or privileges information.  Any use, disclosure (written or verbal), copying or dissemination of this document is prohibited without written consent from the Menzies School of Health Research.  Catching Some Air investigators are Dr JT Hughes, Dr J Kelly, Ms L Ramsamy, Ms D Duff, A/Prof P Mills, Prof A Cass, Ms H Hall, Mr L Ross, Mr D Croker. </w:t>
                      </w:r>
                    </w:p>
                    <w:p w14:paraId="189D2246" w14:textId="77777777" w:rsidR="00A41391" w:rsidRDefault="00A41391" w:rsidP="00076A87">
                      <w:pPr>
                        <w:spacing w:line="240" w:lineRule="auto"/>
                        <w:rPr>
                          <w:rFonts w:ascii="Arial" w:hAnsi="Arial" w:cs="Arial"/>
                        </w:rPr>
                      </w:pPr>
                    </w:p>
                    <w:p w14:paraId="5F388E93" w14:textId="77777777" w:rsidR="00A41391" w:rsidRDefault="00A41391" w:rsidP="00076A87">
                      <w:pPr>
                        <w:tabs>
                          <w:tab w:val="left" w:pos="426"/>
                        </w:tabs>
                        <w:spacing w:line="240" w:lineRule="auto"/>
                        <w:rPr>
                          <w:rStyle w:val="selectable"/>
                          <w:rFonts w:ascii="Arial" w:hAnsi="Arial" w:cs="Arial"/>
                        </w:rPr>
                      </w:pPr>
                      <w:r>
                        <w:rPr>
                          <w:rFonts w:ascii="Arial" w:hAnsi="Arial" w:cs="Arial"/>
                        </w:rPr>
                        <w:t xml:space="preserve">Suggested citation: </w:t>
                      </w:r>
                      <w:r w:rsidRPr="0089024D">
                        <w:rPr>
                          <w:rStyle w:val="selectable"/>
                          <w:rFonts w:ascii="Arial" w:hAnsi="Arial" w:cs="Arial"/>
                        </w:rPr>
                        <w:t xml:space="preserve">Hughes JT, </w:t>
                      </w:r>
                      <w:r>
                        <w:rPr>
                          <w:rStyle w:val="selectable"/>
                          <w:rFonts w:ascii="Arial" w:hAnsi="Arial" w:cs="Arial"/>
                        </w:rPr>
                        <w:t xml:space="preserve">Duff, D, Cass A, Mick-Ramsamy L </w:t>
                      </w:r>
                      <w:r w:rsidRPr="0089024D">
                        <w:rPr>
                          <w:rStyle w:val="selectable"/>
                          <w:rFonts w:ascii="Arial" w:hAnsi="Arial" w:cs="Arial"/>
                        </w:rPr>
                        <w:t>(201</w:t>
                      </w:r>
                      <w:r>
                        <w:rPr>
                          <w:rStyle w:val="selectable"/>
                          <w:rFonts w:ascii="Arial" w:hAnsi="Arial" w:cs="Arial"/>
                        </w:rPr>
                        <w:t>8</w:t>
                      </w:r>
                      <w:r w:rsidRPr="0089024D">
                        <w:rPr>
                          <w:rStyle w:val="selectable"/>
                          <w:rFonts w:ascii="Arial" w:hAnsi="Arial" w:cs="Arial"/>
                        </w:rPr>
                        <w:t>)</w:t>
                      </w:r>
                      <w:r>
                        <w:rPr>
                          <w:rStyle w:val="selectable"/>
                          <w:rFonts w:ascii="Arial" w:hAnsi="Arial" w:cs="Arial"/>
                        </w:rPr>
                        <w:t>.</w:t>
                      </w:r>
                      <w:r w:rsidRPr="0089024D">
                        <w:rPr>
                          <w:rStyle w:val="selectable"/>
                          <w:rFonts w:ascii="Arial" w:hAnsi="Arial" w:cs="Arial"/>
                        </w:rPr>
                        <w:t xml:space="preserve"> </w:t>
                      </w:r>
                      <w:r>
                        <w:rPr>
                          <w:rStyle w:val="selectable"/>
                          <w:rFonts w:ascii="Arial" w:hAnsi="Arial" w:cs="Arial"/>
                        </w:rPr>
                        <w:t xml:space="preserve">A targeted policy brief to Close the Gap in Aboriginal and Torres Strait Islander diabetes and kidney health </w:t>
                      </w:r>
                      <w:r w:rsidRPr="0089024D">
                        <w:rPr>
                          <w:rStyle w:val="selectable"/>
                          <w:rFonts w:ascii="Arial" w:hAnsi="Arial" w:cs="Arial"/>
                        </w:rPr>
                        <w:t xml:space="preserve">Menzies School of Health Research. </w:t>
                      </w:r>
                    </w:p>
                    <w:p w14:paraId="17C2919E" w14:textId="77777777" w:rsidR="00A41391" w:rsidRPr="00735B8C" w:rsidRDefault="00A41391" w:rsidP="00076A87">
                      <w:pPr>
                        <w:tabs>
                          <w:tab w:val="left" w:pos="426"/>
                        </w:tabs>
                        <w:spacing w:line="240" w:lineRule="auto"/>
                        <w:rPr>
                          <w:rFonts w:ascii="Arial" w:hAnsi="Arial" w:cs="Arial"/>
                        </w:rPr>
                      </w:pPr>
                      <w:r>
                        <w:rPr>
                          <w:rStyle w:val="selectable"/>
                          <w:rFonts w:ascii="Arial" w:hAnsi="Arial" w:cs="Arial"/>
                        </w:rPr>
                        <w:t>This document is currently in confidence with intended recipients, Hon Minister Wyatt AM MP, and Hon Warren Snowden.  The authors intend to publish the policy brief as a record of activities within the Catching Some Air project which aims to advance the health of Aboriginal and Torres Strait Islander peoples who live with sustained and devastating impact of diabetes and chronic kidney disease.</w:t>
                      </w:r>
                    </w:p>
                  </w:txbxContent>
                </v:textbox>
                <w10:anchorlock/>
              </v:shape>
            </w:pict>
          </mc:Fallback>
        </mc:AlternateContent>
      </w:r>
      <w:r w:rsidRPr="00076A87">
        <w:rPr>
          <w:rFonts w:ascii="Calibri" w:eastAsia="Calibri" w:hAnsi="Calibri" w:cs="Times New Roman"/>
          <w:b/>
          <w:sz w:val="22"/>
          <w:u w:val="single"/>
        </w:rPr>
        <w:br w:type="page"/>
      </w:r>
    </w:p>
    <w:p w14:paraId="67AE6F8E" w14:textId="77777777" w:rsidR="00076A87" w:rsidRPr="00076A87" w:rsidRDefault="00076A87" w:rsidP="00076A87">
      <w:pPr>
        <w:rPr>
          <w:rFonts w:ascii="Calibri" w:eastAsia="Calibri" w:hAnsi="Calibri" w:cs="Times New Roman"/>
          <w:b/>
          <w:sz w:val="22"/>
          <w:u w:val="single"/>
        </w:rPr>
      </w:pPr>
    </w:p>
    <w:sdt>
      <w:sdtPr>
        <w:rPr>
          <w:rFonts w:ascii="Calibri" w:eastAsia="Calibri" w:hAnsi="Calibri" w:cs="Times New Roman"/>
          <w:sz w:val="22"/>
        </w:rPr>
        <w:id w:val="-555003529"/>
        <w:docPartObj>
          <w:docPartGallery w:val="Table of Contents"/>
          <w:docPartUnique/>
        </w:docPartObj>
      </w:sdtPr>
      <w:sdtEndPr>
        <w:rPr>
          <w:noProof/>
          <w:color w:val="000000" w:themeColor="text1"/>
        </w:rPr>
      </w:sdtEndPr>
      <w:sdtContent>
        <w:p w14:paraId="29FA9937" w14:textId="77777777" w:rsidR="00076A87" w:rsidRPr="00076A87" w:rsidRDefault="00076A87" w:rsidP="00076A87">
          <w:pPr>
            <w:keepNext/>
            <w:keepLines/>
            <w:spacing w:before="480" w:after="0" w:line="276" w:lineRule="auto"/>
            <w:rPr>
              <w:rFonts w:ascii="Calibri Light" w:eastAsia="Times New Roman" w:hAnsi="Calibri Light" w:cs="Times New Roman"/>
              <w:b/>
              <w:bCs/>
              <w:color w:val="2F5496"/>
              <w:sz w:val="28"/>
              <w:szCs w:val="28"/>
              <w:lang w:val="en-US" w:eastAsia="ja-JP"/>
            </w:rPr>
          </w:pPr>
          <w:r w:rsidRPr="00076A87">
            <w:rPr>
              <w:rFonts w:ascii="Calibri Light" w:eastAsia="Times New Roman" w:hAnsi="Calibri Light" w:cs="Times New Roman"/>
              <w:b/>
              <w:bCs/>
              <w:color w:val="2F5496"/>
              <w:sz w:val="28"/>
              <w:szCs w:val="28"/>
              <w:lang w:val="en-US" w:eastAsia="ja-JP"/>
            </w:rPr>
            <w:t>Contents</w:t>
          </w:r>
        </w:p>
        <w:p w14:paraId="0DD4ABC6" w14:textId="77777777" w:rsidR="00076A87" w:rsidRPr="00076A87" w:rsidRDefault="00076A87" w:rsidP="00076A87">
          <w:pPr>
            <w:tabs>
              <w:tab w:val="right" w:leader="dot" w:pos="9016"/>
            </w:tabs>
            <w:spacing w:after="100"/>
            <w:rPr>
              <w:rFonts w:ascii="Calibri" w:eastAsia="Times New Roman" w:hAnsi="Calibri" w:cs="Times New Roman"/>
              <w:noProof/>
              <w:color w:val="000000" w:themeColor="text1"/>
              <w:sz w:val="22"/>
              <w:lang w:eastAsia="en-AU"/>
            </w:rPr>
          </w:pPr>
          <w:r w:rsidRPr="00076A87">
            <w:rPr>
              <w:rFonts w:ascii="Calibri" w:eastAsia="Calibri" w:hAnsi="Calibri" w:cs="Times New Roman"/>
              <w:color w:val="000000" w:themeColor="text1"/>
              <w:sz w:val="22"/>
            </w:rPr>
            <w:fldChar w:fldCharType="begin"/>
          </w:r>
          <w:r w:rsidRPr="00076A87">
            <w:rPr>
              <w:rFonts w:ascii="Calibri" w:eastAsia="Calibri" w:hAnsi="Calibri" w:cs="Times New Roman"/>
              <w:color w:val="000000" w:themeColor="text1"/>
              <w:sz w:val="22"/>
            </w:rPr>
            <w:instrText xml:space="preserve"> TOC \o "1-3" \h \z \u </w:instrText>
          </w:r>
          <w:r w:rsidRPr="00076A87">
            <w:rPr>
              <w:rFonts w:ascii="Calibri" w:eastAsia="Calibri" w:hAnsi="Calibri" w:cs="Times New Roman"/>
              <w:color w:val="000000" w:themeColor="text1"/>
              <w:sz w:val="22"/>
            </w:rPr>
            <w:fldChar w:fldCharType="separate"/>
          </w:r>
          <w:hyperlink w:anchor="_Toc532805987" w:history="1">
            <w:r w:rsidRPr="00076A87">
              <w:rPr>
                <w:rFonts w:ascii="Arial" w:eastAsia="Calibri" w:hAnsi="Arial" w:cs="Arial"/>
                <w:noProof/>
                <w:color w:val="000000" w:themeColor="text1"/>
                <w:sz w:val="22"/>
              </w:rPr>
              <w:t>Section 1: Executive Summary</w:t>
            </w:r>
            <w:r w:rsidRPr="00076A87">
              <w:rPr>
                <w:rFonts w:ascii="Calibri" w:eastAsia="Calibri" w:hAnsi="Calibri" w:cs="Times New Roman"/>
                <w:noProof/>
                <w:webHidden/>
                <w:color w:val="000000" w:themeColor="text1"/>
                <w:sz w:val="22"/>
              </w:rPr>
              <w:tab/>
            </w:r>
            <w:r w:rsidRPr="00076A87">
              <w:rPr>
                <w:rFonts w:ascii="Calibri" w:eastAsia="Calibri" w:hAnsi="Calibri" w:cs="Times New Roman"/>
                <w:noProof/>
                <w:webHidden/>
                <w:color w:val="000000" w:themeColor="text1"/>
                <w:sz w:val="22"/>
              </w:rPr>
              <w:fldChar w:fldCharType="begin"/>
            </w:r>
            <w:r w:rsidRPr="00076A87">
              <w:rPr>
                <w:rFonts w:ascii="Calibri" w:eastAsia="Calibri" w:hAnsi="Calibri" w:cs="Times New Roman"/>
                <w:noProof/>
                <w:webHidden/>
                <w:color w:val="000000" w:themeColor="text1"/>
                <w:sz w:val="22"/>
              </w:rPr>
              <w:instrText xml:space="preserve"> PAGEREF _Toc532805987 \h </w:instrText>
            </w:r>
            <w:r w:rsidRPr="00076A87">
              <w:rPr>
                <w:rFonts w:ascii="Calibri" w:eastAsia="Calibri" w:hAnsi="Calibri" w:cs="Times New Roman"/>
                <w:noProof/>
                <w:webHidden/>
                <w:color w:val="000000" w:themeColor="text1"/>
                <w:sz w:val="22"/>
              </w:rPr>
            </w:r>
            <w:r w:rsidRPr="00076A87">
              <w:rPr>
                <w:rFonts w:ascii="Calibri" w:eastAsia="Calibri" w:hAnsi="Calibri" w:cs="Times New Roman"/>
                <w:noProof/>
                <w:webHidden/>
                <w:color w:val="000000" w:themeColor="text1"/>
                <w:sz w:val="22"/>
              </w:rPr>
              <w:fldChar w:fldCharType="separate"/>
            </w:r>
            <w:r w:rsidRPr="00076A87">
              <w:rPr>
                <w:rFonts w:ascii="Calibri" w:eastAsia="Calibri" w:hAnsi="Calibri" w:cs="Times New Roman"/>
                <w:noProof/>
                <w:webHidden/>
                <w:color w:val="000000" w:themeColor="text1"/>
                <w:sz w:val="22"/>
              </w:rPr>
              <w:t>4</w:t>
            </w:r>
            <w:r w:rsidRPr="00076A87">
              <w:rPr>
                <w:rFonts w:ascii="Calibri" w:eastAsia="Calibri" w:hAnsi="Calibri" w:cs="Times New Roman"/>
                <w:noProof/>
                <w:webHidden/>
                <w:color w:val="000000" w:themeColor="text1"/>
                <w:sz w:val="22"/>
              </w:rPr>
              <w:fldChar w:fldCharType="end"/>
            </w:r>
          </w:hyperlink>
        </w:p>
        <w:p w14:paraId="32CE87C6" w14:textId="77777777" w:rsidR="00076A87" w:rsidRPr="00076A87" w:rsidRDefault="00D32AD3" w:rsidP="00076A87">
          <w:pPr>
            <w:tabs>
              <w:tab w:val="right" w:leader="dot" w:pos="9016"/>
            </w:tabs>
            <w:spacing w:after="100"/>
            <w:ind w:left="220"/>
            <w:rPr>
              <w:rFonts w:ascii="Calibri" w:eastAsia="Times New Roman" w:hAnsi="Calibri" w:cs="Times New Roman"/>
              <w:noProof/>
              <w:color w:val="000000" w:themeColor="text1"/>
              <w:sz w:val="22"/>
              <w:lang w:eastAsia="en-AU"/>
            </w:rPr>
          </w:pPr>
          <w:hyperlink w:anchor="_Toc532805988" w:history="1">
            <w:r w:rsidR="00076A87" w:rsidRPr="00076A87">
              <w:rPr>
                <w:rFonts w:ascii="Arial" w:eastAsia="Calibri" w:hAnsi="Arial" w:cs="Arial"/>
                <w:noProof/>
                <w:color w:val="000000" w:themeColor="text1"/>
                <w:sz w:val="22"/>
              </w:rPr>
              <w:t>Aboriginal and Torres Strait Islander diabetes and kidney disease- devastating yet preventable</w:t>
            </w:r>
            <w:r w:rsidR="00076A87" w:rsidRPr="00076A87">
              <w:rPr>
                <w:rFonts w:ascii="Calibri" w:eastAsia="Calibri" w:hAnsi="Calibri" w:cs="Times New Roman"/>
                <w:noProof/>
                <w:webHidden/>
                <w:color w:val="000000" w:themeColor="text1"/>
                <w:sz w:val="22"/>
              </w:rPr>
              <w:tab/>
            </w:r>
            <w:r w:rsidR="00076A87" w:rsidRPr="00076A87">
              <w:rPr>
                <w:rFonts w:ascii="Calibri" w:eastAsia="Calibri" w:hAnsi="Calibri" w:cs="Times New Roman"/>
                <w:noProof/>
                <w:webHidden/>
                <w:color w:val="000000" w:themeColor="text1"/>
                <w:sz w:val="22"/>
              </w:rPr>
              <w:fldChar w:fldCharType="begin"/>
            </w:r>
            <w:r w:rsidR="00076A87" w:rsidRPr="00076A87">
              <w:rPr>
                <w:rFonts w:ascii="Calibri" w:eastAsia="Calibri" w:hAnsi="Calibri" w:cs="Times New Roman"/>
                <w:noProof/>
                <w:webHidden/>
                <w:color w:val="000000" w:themeColor="text1"/>
                <w:sz w:val="22"/>
              </w:rPr>
              <w:instrText xml:space="preserve"> PAGEREF _Toc532805988 \h </w:instrText>
            </w:r>
            <w:r w:rsidR="00076A87" w:rsidRPr="00076A87">
              <w:rPr>
                <w:rFonts w:ascii="Calibri" w:eastAsia="Calibri" w:hAnsi="Calibri" w:cs="Times New Roman"/>
                <w:noProof/>
                <w:webHidden/>
                <w:color w:val="000000" w:themeColor="text1"/>
                <w:sz w:val="22"/>
              </w:rPr>
            </w:r>
            <w:r w:rsidR="00076A87" w:rsidRPr="00076A87">
              <w:rPr>
                <w:rFonts w:ascii="Calibri" w:eastAsia="Calibri" w:hAnsi="Calibri" w:cs="Times New Roman"/>
                <w:noProof/>
                <w:webHidden/>
                <w:color w:val="000000" w:themeColor="text1"/>
                <w:sz w:val="22"/>
              </w:rPr>
              <w:fldChar w:fldCharType="separate"/>
            </w:r>
            <w:r w:rsidR="00076A87" w:rsidRPr="00076A87">
              <w:rPr>
                <w:rFonts w:ascii="Calibri" w:eastAsia="Calibri" w:hAnsi="Calibri" w:cs="Times New Roman"/>
                <w:noProof/>
                <w:webHidden/>
                <w:color w:val="000000" w:themeColor="text1"/>
                <w:sz w:val="22"/>
              </w:rPr>
              <w:t>5</w:t>
            </w:r>
            <w:r w:rsidR="00076A87" w:rsidRPr="00076A87">
              <w:rPr>
                <w:rFonts w:ascii="Calibri" w:eastAsia="Calibri" w:hAnsi="Calibri" w:cs="Times New Roman"/>
                <w:noProof/>
                <w:webHidden/>
                <w:color w:val="000000" w:themeColor="text1"/>
                <w:sz w:val="22"/>
              </w:rPr>
              <w:fldChar w:fldCharType="end"/>
            </w:r>
          </w:hyperlink>
        </w:p>
        <w:p w14:paraId="383B7D4A" w14:textId="77777777" w:rsidR="00076A87" w:rsidRPr="00076A87" w:rsidRDefault="00D32AD3" w:rsidP="00076A87">
          <w:pPr>
            <w:tabs>
              <w:tab w:val="right" w:leader="dot" w:pos="9016"/>
            </w:tabs>
            <w:spacing w:after="100"/>
            <w:ind w:left="220"/>
            <w:rPr>
              <w:rFonts w:ascii="Calibri" w:eastAsia="Times New Roman" w:hAnsi="Calibri" w:cs="Times New Roman"/>
              <w:noProof/>
              <w:color w:val="000000" w:themeColor="text1"/>
              <w:sz w:val="22"/>
              <w:lang w:eastAsia="en-AU"/>
            </w:rPr>
          </w:pPr>
          <w:hyperlink w:anchor="_Toc532805989" w:history="1">
            <w:r w:rsidR="00076A87" w:rsidRPr="00076A87">
              <w:rPr>
                <w:rFonts w:ascii="Arial" w:eastAsia="Calibri" w:hAnsi="Arial" w:cs="Arial"/>
                <w:noProof/>
                <w:color w:val="000000" w:themeColor="text1"/>
                <w:sz w:val="22"/>
              </w:rPr>
              <w:t>Consultation approach and key recommendations</w:t>
            </w:r>
            <w:r w:rsidR="00076A87" w:rsidRPr="00076A87">
              <w:rPr>
                <w:rFonts w:ascii="Calibri" w:eastAsia="Calibri" w:hAnsi="Calibri" w:cs="Times New Roman"/>
                <w:noProof/>
                <w:webHidden/>
                <w:color w:val="000000" w:themeColor="text1"/>
                <w:sz w:val="22"/>
              </w:rPr>
              <w:tab/>
            </w:r>
            <w:r w:rsidR="00076A87" w:rsidRPr="00076A87">
              <w:rPr>
                <w:rFonts w:ascii="Calibri" w:eastAsia="Calibri" w:hAnsi="Calibri" w:cs="Times New Roman"/>
                <w:noProof/>
                <w:webHidden/>
                <w:color w:val="000000" w:themeColor="text1"/>
                <w:sz w:val="22"/>
              </w:rPr>
              <w:fldChar w:fldCharType="begin"/>
            </w:r>
            <w:r w:rsidR="00076A87" w:rsidRPr="00076A87">
              <w:rPr>
                <w:rFonts w:ascii="Calibri" w:eastAsia="Calibri" w:hAnsi="Calibri" w:cs="Times New Roman"/>
                <w:noProof/>
                <w:webHidden/>
                <w:color w:val="000000" w:themeColor="text1"/>
                <w:sz w:val="22"/>
              </w:rPr>
              <w:instrText xml:space="preserve"> PAGEREF _Toc532805989 \h </w:instrText>
            </w:r>
            <w:r w:rsidR="00076A87" w:rsidRPr="00076A87">
              <w:rPr>
                <w:rFonts w:ascii="Calibri" w:eastAsia="Calibri" w:hAnsi="Calibri" w:cs="Times New Roman"/>
                <w:noProof/>
                <w:webHidden/>
                <w:color w:val="000000" w:themeColor="text1"/>
                <w:sz w:val="22"/>
              </w:rPr>
            </w:r>
            <w:r w:rsidR="00076A87" w:rsidRPr="00076A87">
              <w:rPr>
                <w:rFonts w:ascii="Calibri" w:eastAsia="Calibri" w:hAnsi="Calibri" w:cs="Times New Roman"/>
                <w:noProof/>
                <w:webHidden/>
                <w:color w:val="000000" w:themeColor="text1"/>
                <w:sz w:val="22"/>
              </w:rPr>
              <w:fldChar w:fldCharType="separate"/>
            </w:r>
            <w:r w:rsidR="00076A87" w:rsidRPr="00076A87">
              <w:rPr>
                <w:rFonts w:ascii="Calibri" w:eastAsia="Calibri" w:hAnsi="Calibri" w:cs="Times New Roman"/>
                <w:noProof/>
                <w:webHidden/>
                <w:color w:val="000000" w:themeColor="text1"/>
                <w:sz w:val="22"/>
              </w:rPr>
              <w:t>5</w:t>
            </w:r>
            <w:r w:rsidR="00076A87" w:rsidRPr="00076A87">
              <w:rPr>
                <w:rFonts w:ascii="Calibri" w:eastAsia="Calibri" w:hAnsi="Calibri" w:cs="Times New Roman"/>
                <w:noProof/>
                <w:webHidden/>
                <w:color w:val="000000" w:themeColor="text1"/>
                <w:sz w:val="22"/>
              </w:rPr>
              <w:fldChar w:fldCharType="end"/>
            </w:r>
          </w:hyperlink>
        </w:p>
        <w:p w14:paraId="5D4248DD" w14:textId="77777777" w:rsidR="00076A87" w:rsidRPr="00076A87" w:rsidRDefault="00D32AD3" w:rsidP="00076A87">
          <w:pPr>
            <w:tabs>
              <w:tab w:val="right" w:leader="dot" w:pos="9016"/>
            </w:tabs>
            <w:spacing w:after="100"/>
            <w:ind w:left="220"/>
            <w:rPr>
              <w:rFonts w:ascii="Calibri" w:eastAsia="Times New Roman" w:hAnsi="Calibri" w:cs="Times New Roman"/>
              <w:noProof/>
              <w:color w:val="000000" w:themeColor="text1"/>
              <w:sz w:val="22"/>
              <w:lang w:eastAsia="en-AU"/>
            </w:rPr>
          </w:pPr>
          <w:hyperlink w:anchor="_Toc532805990" w:history="1">
            <w:r w:rsidR="00076A87" w:rsidRPr="00076A87">
              <w:rPr>
                <w:rFonts w:ascii="Arial" w:eastAsia="Calibri" w:hAnsi="Arial" w:cs="Arial"/>
                <w:noProof/>
                <w:color w:val="000000" w:themeColor="text1"/>
                <w:sz w:val="22"/>
              </w:rPr>
              <w:t>Investment Required</w:t>
            </w:r>
            <w:r w:rsidR="00076A87" w:rsidRPr="00076A87">
              <w:rPr>
                <w:rFonts w:ascii="Calibri" w:eastAsia="Calibri" w:hAnsi="Calibri" w:cs="Times New Roman"/>
                <w:noProof/>
                <w:webHidden/>
                <w:color w:val="000000" w:themeColor="text1"/>
                <w:sz w:val="22"/>
              </w:rPr>
              <w:tab/>
            </w:r>
            <w:r w:rsidR="00076A87" w:rsidRPr="00076A87">
              <w:rPr>
                <w:rFonts w:ascii="Calibri" w:eastAsia="Calibri" w:hAnsi="Calibri" w:cs="Times New Roman"/>
                <w:noProof/>
                <w:webHidden/>
                <w:color w:val="000000" w:themeColor="text1"/>
                <w:sz w:val="22"/>
              </w:rPr>
              <w:fldChar w:fldCharType="begin"/>
            </w:r>
            <w:r w:rsidR="00076A87" w:rsidRPr="00076A87">
              <w:rPr>
                <w:rFonts w:ascii="Calibri" w:eastAsia="Calibri" w:hAnsi="Calibri" w:cs="Times New Roman"/>
                <w:noProof/>
                <w:webHidden/>
                <w:color w:val="000000" w:themeColor="text1"/>
                <w:sz w:val="22"/>
              </w:rPr>
              <w:instrText xml:space="preserve"> PAGEREF _Toc532805990 \h </w:instrText>
            </w:r>
            <w:r w:rsidR="00076A87" w:rsidRPr="00076A87">
              <w:rPr>
                <w:rFonts w:ascii="Calibri" w:eastAsia="Calibri" w:hAnsi="Calibri" w:cs="Times New Roman"/>
                <w:noProof/>
                <w:webHidden/>
                <w:color w:val="000000" w:themeColor="text1"/>
                <w:sz w:val="22"/>
              </w:rPr>
            </w:r>
            <w:r w:rsidR="00076A87" w:rsidRPr="00076A87">
              <w:rPr>
                <w:rFonts w:ascii="Calibri" w:eastAsia="Calibri" w:hAnsi="Calibri" w:cs="Times New Roman"/>
                <w:noProof/>
                <w:webHidden/>
                <w:color w:val="000000" w:themeColor="text1"/>
                <w:sz w:val="22"/>
              </w:rPr>
              <w:fldChar w:fldCharType="separate"/>
            </w:r>
            <w:r w:rsidR="00076A87" w:rsidRPr="00076A87">
              <w:rPr>
                <w:rFonts w:ascii="Calibri" w:eastAsia="Calibri" w:hAnsi="Calibri" w:cs="Times New Roman"/>
                <w:noProof/>
                <w:webHidden/>
                <w:color w:val="000000" w:themeColor="text1"/>
                <w:sz w:val="22"/>
              </w:rPr>
              <w:t>6</w:t>
            </w:r>
            <w:r w:rsidR="00076A87" w:rsidRPr="00076A87">
              <w:rPr>
                <w:rFonts w:ascii="Calibri" w:eastAsia="Calibri" w:hAnsi="Calibri" w:cs="Times New Roman"/>
                <w:noProof/>
                <w:webHidden/>
                <w:color w:val="000000" w:themeColor="text1"/>
                <w:sz w:val="22"/>
              </w:rPr>
              <w:fldChar w:fldCharType="end"/>
            </w:r>
          </w:hyperlink>
        </w:p>
        <w:p w14:paraId="52F21CFA" w14:textId="77777777" w:rsidR="00076A87" w:rsidRPr="00076A87" w:rsidRDefault="00D32AD3" w:rsidP="00076A87">
          <w:pPr>
            <w:tabs>
              <w:tab w:val="right" w:leader="dot" w:pos="9016"/>
            </w:tabs>
            <w:spacing w:after="100"/>
            <w:ind w:left="220"/>
            <w:rPr>
              <w:rFonts w:ascii="Calibri" w:eastAsia="Times New Roman" w:hAnsi="Calibri" w:cs="Times New Roman"/>
              <w:noProof/>
              <w:color w:val="000000" w:themeColor="text1"/>
              <w:sz w:val="22"/>
              <w:lang w:eastAsia="en-AU"/>
            </w:rPr>
          </w:pPr>
          <w:hyperlink w:anchor="_Toc532805991" w:history="1">
            <w:r w:rsidR="00076A87" w:rsidRPr="00076A87">
              <w:rPr>
                <w:rFonts w:ascii="Arial" w:eastAsia="Calibri" w:hAnsi="Arial" w:cs="Arial"/>
                <w:noProof/>
                <w:color w:val="000000" w:themeColor="text1"/>
                <w:sz w:val="22"/>
              </w:rPr>
              <w:t>Our Commitment</w:t>
            </w:r>
            <w:r w:rsidR="00076A87" w:rsidRPr="00076A87">
              <w:rPr>
                <w:rFonts w:ascii="Calibri" w:eastAsia="Calibri" w:hAnsi="Calibri" w:cs="Times New Roman"/>
                <w:noProof/>
                <w:webHidden/>
                <w:color w:val="000000" w:themeColor="text1"/>
                <w:sz w:val="22"/>
              </w:rPr>
              <w:tab/>
            </w:r>
            <w:r w:rsidR="00076A87" w:rsidRPr="00076A87">
              <w:rPr>
                <w:rFonts w:ascii="Calibri" w:eastAsia="Calibri" w:hAnsi="Calibri" w:cs="Times New Roman"/>
                <w:noProof/>
                <w:webHidden/>
                <w:color w:val="000000" w:themeColor="text1"/>
                <w:sz w:val="22"/>
              </w:rPr>
              <w:fldChar w:fldCharType="begin"/>
            </w:r>
            <w:r w:rsidR="00076A87" w:rsidRPr="00076A87">
              <w:rPr>
                <w:rFonts w:ascii="Calibri" w:eastAsia="Calibri" w:hAnsi="Calibri" w:cs="Times New Roman"/>
                <w:noProof/>
                <w:webHidden/>
                <w:color w:val="000000" w:themeColor="text1"/>
                <w:sz w:val="22"/>
              </w:rPr>
              <w:instrText xml:space="preserve"> PAGEREF _Toc532805991 \h </w:instrText>
            </w:r>
            <w:r w:rsidR="00076A87" w:rsidRPr="00076A87">
              <w:rPr>
                <w:rFonts w:ascii="Calibri" w:eastAsia="Calibri" w:hAnsi="Calibri" w:cs="Times New Roman"/>
                <w:noProof/>
                <w:webHidden/>
                <w:color w:val="000000" w:themeColor="text1"/>
                <w:sz w:val="22"/>
              </w:rPr>
            </w:r>
            <w:r w:rsidR="00076A87" w:rsidRPr="00076A87">
              <w:rPr>
                <w:rFonts w:ascii="Calibri" w:eastAsia="Calibri" w:hAnsi="Calibri" w:cs="Times New Roman"/>
                <w:noProof/>
                <w:webHidden/>
                <w:color w:val="000000" w:themeColor="text1"/>
                <w:sz w:val="22"/>
              </w:rPr>
              <w:fldChar w:fldCharType="separate"/>
            </w:r>
            <w:r w:rsidR="00076A87" w:rsidRPr="00076A87">
              <w:rPr>
                <w:rFonts w:ascii="Calibri" w:eastAsia="Calibri" w:hAnsi="Calibri" w:cs="Times New Roman"/>
                <w:noProof/>
                <w:webHidden/>
                <w:color w:val="000000" w:themeColor="text1"/>
                <w:sz w:val="22"/>
              </w:rPr>
              <w:t>6</w:t>
            </w:r>
            <w:r w:rsidR="00076A87" w:rsidRPr="00076A87">
              <w:rPr>
                <w:rFonts w:ascii="Calibri" w:eastAsia="Calibri" w:hAnsi="Calibri" w:cs="Times New Roman"/>
                <w:noProof/>
                <w:webHidden/>
                <w:color w:val="000000" w:themeColor="text1"/>
                <w:sz w:val="22"/>
              </w:rPr>
              <w:fldChar w:fldCharType="end"/>
            </w:r>
          </w:hyperlink>
        </w:p>
        <w:p w14:paraId="2D4E82BB" w14:textId="77777777" w:rsidR="00076A87" w:rsidRPr="00076A87" w:rsidRDefault="00D32AD3" w:rsidP="00076A87">
          <w:pPr>
            <w:tabs>
              <w:tab w:val="right" w:leader="dot" w:pos="9016"/>
            </w:tabs>
            <w:spacing w:after="100"/>
            <w:ind w:left="220"/>
            <w:rPr>
              <w:rFonts w:ascii="Calibri" w:eastAsia="Times New Roman" w:hAnsi="Calibri" w:cs="Times New Roman"/>
              <w:noProof/>
              <w:color w:val="000000" w:themeColor="text1"/>
              <w:sz w:val="22"/>
              <w:lang w:eastAsia="en-AU"/>
            </w:rPr>
          </w:pPr>
          <w:hyperlink w:anchor="_Toc532805992" w:history="1">
            <w:r w:rsidR="00076A87" w:rsidRPr="00076A87">
              <w:rPr>
                <w:rFonts w:ascii="Arial" w:eastAsia="Calibri" w:hAnsi="Arial" w:cs="Arial"/>
                <w:noProof/>
                <w:color w:val="000000" w:themeColor="text1"/>
                <w:sz w:val="22"/>
              </w:rPr>
              <w:t>Policy Challenges (risks)</w:t>
            </w:r>
            <w:r w:rsidR="00076A87" w:rsidRPr="00076A87">
              <w:rPr>
                <w:rFonts w:ascii="Calibri" w:eastAsia="Calibri" w:hAnsi="Calibri" w:cs="Times New Roman"/>
                <w:noProof/>
                <w:webHidden/>
                <w:color w:val="000000" w:themeColor="text1"/>
                <w:sz w:val="22"/>
              </w:rPr>
              <w:tab/>
            </w:r>
            <w:r w:rsidR="00076A87" w:rsidRPr="00076A87">
              <w:rPr>
                <w:rFonts w:ascii="Calibri" w:eastAsia="Calibri" w:hAnsi="Calibri" w:cs="Times New Roman"/>
                <w:noProof/>
                <w:webHidden/>
                <w:color w:val="000000" w:themeColor="text1"/>
                <w:sz w:val="22"/>
              </w:rPr>
              <w:fldChar w:fldCharType="begin"/>
            </w:r>
            <w:r w:rsidR="00076A87" w:rsidRPr="00076A87">
              <w:rPr>
                <w:rFonts w:ascii="Calibri" w:eastAsia="Calibri" w:hAnsi="Calibri" w:cs="Times New Roman"/>
                <w:noProof/>
                <w:webHidden/>
                <w:color w:val="000000" w:themeColor="text1"/>
                <w:sz w:val="22"/>
              </w:rPr>
              <w:instrText xml:space="preserve"> PAGEREF _Toc532805992 \h </w:instrText>
            </w:r>
            <w:r w:rsidR="00076A87" w:rsidRPr="00076A87">
              <w:rPr>
                <w:rFonts w:ascii="Calibri" w:eastAsia="Calibri" w:hAnsi="Calibri" w:cs="Times New Roman"/>
                <w:noProof/>
                <w:webHidden/>
                <w:color w:val="000000" w:themeColor="text1"/>
                <w:sz w:val="22"/>
              </w:rPr>
            </w:r>
            <w:r w:rsidR="00076A87" w:rsidRPr="00076A87">
              <w:rPr>
                <w:rFonts w:ascii="Calibri" w:eastAsia="Calibri" w:hAnsi="Calibri" w:cs="Times New Roman"/>
                <w:noProof/>
                <w:webHidden/>
                <w:color w:val="000000" w:themeColor="text1"/>
                <w:sz w:val="22"/>
              </w:rPr>
              <w:fldChar w:fldCharType="separate"/>
            </w:r>
            <w:r w:rsidR="00076A87" w:rsidRPr="00076A87">
              <w:rPr>
                <w:rFonts w:ascii="Calibri" w:eastAsia="Calibri" w:hAnsi="Calibri" w:cs="Times New Roman"/>
                <w:noProof/>
                <w:webHidden/>
                <w:color w:val="000000" w:themeColor="text1"/>
                <w:sz w:val="22"/>
              </w:rPr>
              <w:t>6</w:t>
            </w:r>
            <w:r w:rsidR="00076A87" w:rsidRPr="00076A87">
              <w:rPr>
                <w:rFonts w:ascii="Calibri" w:eastAsia="Calibri" w:hAnsi="Calibri" w:cs="Times New Roman"/>
                <w:noProof/>
                <w:webHidden/>
                <w:color w:val="000000" w:themeColor="text1"/>
                <w:sz w:val="22"/>
              </w:rPr>
              <w:fldChar w:fldCharType="end"/>
            </w:r>
          </w:hyperlink>
        </w:p>
        <w:p w14:paraId="37FA0697" w14:textId="77777777" w:rsidR="00076A87" w:rsidRPr="00076A87" w:rsidRDefault="00D32AD3" w:rsidP="00076A87">
          <w:pPr>
            <w:tabs>
              <w:tab w:val="right" w:leader="dot" w:pos="9016"/>
            </w:tabs>
            <w:spacing w:after="100"/>
            <w:ind w:left="220"/>
            <w:rPr>
              <w:rFonts w:ascii="Calibri" w:eastAsia="Times New Roman" w:hAnsi="Calibri" w:cs="Times New Roman"/>
              <w:noProof/>
              <w:color w:val="000000" w:themeColor="text1"/>
              <w:sz w:val="22"/>
              <w:lang w:eastAsia="en-AU"/>
            </w:rPr>
          </w:pPr>
          <w:hyperlink w:anchor="_Toc532805993" w:history="1">
            <w:r w:rsidR="00076A87" w:rsidRPr="00076A87">
              <w:rPr>
                <w:rFonts w:ascii="Arial" w:eastAsia="Calibri" w:hAnsi="Arial" w:cs="Arial"/>
                <w:noProof/>
                <w:color w:val="000000" w:themeColor="text1"/>
                <w:sz w:val="22"/>
              </w:rPr>
              <w:t>Action Outcomes</w:t>
            </w:r>
            <w:r w:rsidR="00076A87" w:rsidRPr="00076A87">
              <w:rPr>
                <w:rFonts w:ascii="Calibri" w:eastAsia="Calibri" w:hAnsi="Calibri" w:cs="Times New Roman"/>
                <w:noProof/>
                <w:webHidden/>
                <w:color w:val="000000" w:themeColor="text1"/>
                <w:sz w:val="22"/>
              </w:rPr>
              <w:tab/>
            </w:r>
            <w:r w:rsidR="00076A87" w:rsidRPr="00076A87">
              <w:rPr>
                <w:rFonts w:ascii="Calibri" w:eastAsia="Calibri" w:hAnsi="Calibri" w:cs="Times New Roman"/>
                <w:noProof/>
                <w:webHidden/>
                <w:color w:val="000000" w:themeColor="text1"/>
                <w:sz w:val="22"/>
              </w:rPr>
              <w:fldChar w:fldCharType="begin"/>
            </w:r>
            <w:r w:rsidR="00076A87" w:rsidRPr="00076A87">
              <w:rPr>
                <w:rFonts w:ascii="Calibri" w:eastAsia="Calibri" w:hAnsi="Calibri" w:cs="Times New Roman"/>
                <w:noProof/>
                <w:webHidden/>
                <w:color w:val="000000" w:themeColor="text1"/>
                <w:sz w:val="22"/>
              </w:rPr>
              <w:instrText xml:space="preserve"> PAGEREF _Toc532805993 \h </w:instrText>
            </w:r>
            <w:r w:rsidR="00076A87" w:rsidRPr="00076A87">
              <w:rPr>
                <w:rFonts w:ascii="Calibri" w:eastAsia="Calibri" w:hAnsi="Calibri" w:cs="Times New Roman"/>
                <w:noProof/>
                <w:webHidden/>
                <w:color w:val="000000" w:themeColor="text1"/>
                <w:sz w:val="22"/>
              </w:rPr>
            </w:r>
            <w:r w:rsidR="00076A87" w:rsidRPr="00076A87">
              <w:rPr>
                <w:rFonts w:ascii="Calibri" w:eastAsia="Calibri" w:hAnsi="Calibri" w:cs="Times New Roman"/>
                <w:noProof/>
                <w:webHidden/>
                <w:color w:val="000000" w:themeColor="text1"/>
                <w:sz w:val="22"/>
              </w:rPr>
              <w:fldChar w:fldCharType="separate"/>
            </w:r>
            <w:r w:rsidR="00076A87" w:rsidRPr="00076A87">
              <w:rPr>
                <w:rFonts w:ascii="Calibri" w:eastAsia="Calibri" w:hAnsi="Calibri" w:cs="Times New Roman"/>
                <w:noProof/>
                <w:webHidden/>
                <w:color w:val="000000" w:themeColor="text1"/>
                <w:sz w:val="22"/>
              </w:rPr>
              <w:t>7</w:t>
            </w:r>
            <w:r w:rsidR="00076A87" w:rsidRPr="00076A87">
              <w:rPr>
                <w:rFonts w:ascii="Calibri" w:eastAsia="Calibri" w:hAnsi="Calibri" w:cs="Times New Roman"/>
                <w:noProof/>
                <w:webHidden/>
                <w:color w:val="000000" w:themeColor="text1"/>
                <w:sz w:val="22"/>
              </w:rPr>
              <w:fldChar w:fldCharType="end"/>
            </w:r>
          </w:hyperlink>
        </w:p>
        <w:p w14:paraId="0DDBB3B6" w14:textId="77777777" w:rsidR="00076A87" w:rsidRPr="00076A87" w:rsidRDefault="00D32AD3" w:rsidP="00076A87">
          <w:pPr>
            <w:tabs>
              <w:tab w:val="right" w:leader="dot" w:pos="9016"/>
            </w:tabs>
            <w:spacing w:after="100"/>
            <w:ind w:left="220"/>
            <w:rPr>
              <w:rFonts w:ascii="Calibri" w:eastAsia="Times New Roman" w:hAnsi="Calibri" w:cs="Times New Roman"/>
              <w:noProof/>
              <w:color w:val="000000" w:themeColor="text1"/>
              <w:sz w:val="22"/>
              <w:lang w:eastAsia="en-AU"/>
            </w:rPr>
          </w:pPr>
          <w:hyperlink w:anchor="_Toc532805994" w:history="1">
            <w:r w:rsidR="00076A87" w:rsidRPr="00076A87">
              <w:rPr>
                <w:rFonts w:ascii="Arial" w:eastAsia="Calibri" w:hAnsi="Arial" w:cs="Arial"/>
                <w:noProof/>
                <w:color w:val="000000" w:themeColor="text1"/>
                <w:sz w:val="22"/>
              </w:rPr>
              <w:t>Policy Items (recommendations)</w:t>
            </w:r>
            <w:r w:rsidR="00076A87" w:rsidRPr="00076A87">
              <w:rPr>
                <w:rFonts w:ascii="Calibri" w:eastAsia="Calibri" w:hAnsi="Calibri" w:cs="Times New Roman"/>
                <w:noProof/>
                <w:webHidden/>
                <w:color w:val="000000" w:themeColor="text1"/>
                <w:sz w:val="22"/>
              </w:rPr>
              <w:tab/>
            </w:r>
            <w:r w:rsidR="00076A87" w:rsidRPr="00076A87">
              <w:rPr>
                <w:rFonts w:ascii="Calibri" w:eastAsia="Calibri" w:hAnsi="Calibri" w:cs="Times New Roman"/>
                <w:noProof/>
                <w:webHidden/>
                <w:color w:val="000000" w:themeColor="text1"/>
                <w:sz w:val="22"/>
              </w:rPr>
              <w:fldChar w:fldCharType="begin"/>
            </w:r>
            <w:r w:rsidR="00076A87" w:rsidRPr="00076A87">
              <w:rPr>
                <w:rFonts w:ascii="Calibri" w:eastAsia="Calibri" w:hAnsi="Calibri" w:cs="Times New Roman"/>
                <w:noProof/>
                <w:webHidden/>
                <w:color w:val="000000" w:themeColor="text1"/>
                <w:sz w:val="22"/>
              </w:rPr>
              <w:instrText xml:space="preserve"> PAGEREF _Toc532805994 \h </w:instrText>
            </w:r>
            <w:r w:rsidR="00076A87" w:rsidRPr="00076A87">
              <w:rPr>
                <w:rFonts w:ascii="Calibri" w:eastAsia="Calibri" w:hAnsi="Calibri" w:cs="Times New Roman"/>
                <w:noProof/>
                <w:webHidden/>
                <w:color w:val="000000" w:themeColor="text1"/>
                <w:sz w:val="22"/>
              </w:rPr>
            </w:r>
            <w:r w:rsidR="00076A87" w:rsidRPr="00076A87">
              <w:rPr>
                <w:rFonts w:ascii="Calibri" w:eastAsia="Calibri" w:hAnsi="Calibri" w:cs="Times New Roman"/>
                <w:noProof/>
                <w:webHidden/>
                <w:color w:val="000000" w:themeColor="text1"/>
                <w:sz w:val="22"/>
              </w:rPr>
              <w:fldChar w:fldCharType="separate"/>
            </w:r>
            <w:r w:rsidR="00076A87" w:rsidRPr="00076A87">
              <w:rPr>
                <w:rFonts w:ascii="Calibri" w:eastAsia="Calibri" w:hAnsi="Calibri" w:cs="Times New Roman"/>
                <w:noProof/>
                <w:webHidden/>
                <w:color w:val="000000" w:themeColor="text1"/>
                <w:sz w:val="22"/>
              </w:rPr>
              <w:t>7</w:t>
            </w:r>
            <w:r w:rsidR="00076A87" w:rsidRPr="00076A87">
              <w:rPr>
                <w:rFonts w:ascii="Calibri" w:eastAsia="Calibri" w:hAnsi="Calibri" w:cs="Times New Roman"/>
                <w:noProof/>
                <w:webHidden/>
                <w:color w:val="000000" w:themeColor="text1"/>
                <w:sz w:val="22"/>
              </w:rPr>
              <w:fldChar w:fldCharType="end"/>
            </w:r>
          </w:hyperlink>
        </w:p>
        <w:p w14:paraId="408A1353" w14:textId="77777777" w:rsidR="00076A87" w:rsidRPr="00076A87" w:rsidRDefault="00D32AD3" w:rsidP="00076A87">
          <w:pPr>
            <w:tabs>
              <w:tab w:val="right" w:leader="dot" w:pos="9016"/>
            </w:tabs>
            <w:spacing w:after="100"/>
            <w:rPr>
              <w:rFonts w:ascii="Calibri" w:eastAsia="Times New Roman" w:hAnsi="Calibri" w:cs="Times New Roman"/>
              <w:noProof/>
              <w:color w:val="000000" w:themeColor="text1"/>
              <w:sz w:val="22"/>
              <w:lang w:eastAsia="en-AU"/>
            </w:rPr>
          </w:pPr>
          <w:hyperlink w:anchor="_Toc532805995" w:history="1">
            <w:r w:rsidR="00076A87" w:rsidRPr="00076A87">
              <w:rPr>
                <w:rFonts w:ascii="Arial" w:eastAsia="Calibri" w:hAnsi="Arial" w:cs="Arial"/>
                <w:noProof/>
                <w:color w:val="000000" w:themeColor="text1"/>
                <w:sz w:val="22"/>
              </w:rPr>
              <w:t>Section 2: Policy Items</w:t>
            </w:r>
            <w:r w:rsidR="00076A87" w:rsidRPr="00076A87">
              <w:rPr>
                <w:rFonts w:ascii="Calibri" w:eastAsia="Calibri" w:hAnsi="Calibri" w:cs="Times New Roman"/>
                <w:noProof/>
                <w:webHidden/>
                <w:color w:val="000000" w:themeColor="text1"/>
                <w:sz w:val="22"/>
              </w:rPr>
              <w:tab/>
            </w:r>
            <w:r w:rsidR="00076A87" w:rsidRPr="00076A87">
              <w:rPr>
                <w:rFonts w:ascii="Calibri" w:eastAsia="Calibri" w:hAnsi="Calibri" w:cs="Times New Roman"/>
                <w:noProof/>
                <w:webHidden/>
                <w:color w:val="000000" w:themeColor="text1"/>
                <w:sz w:val="22"/>
              </w:rPr>
              <w:fldChar w:fldCharType="begin"/>
            </w:r>
            <w:r w:rsidR="00076A87" w:rsidRPr="00076A87">
              <w:rPr>
                <w:rFonts w:ascii="Calibri" w:eastAsia="Calibri" w:hAnsi="Calibri" w:cs="Times New Roman"/>
                <w:noProof/>
                <w:webHidden/>
                <w:color w:val="000000" w:themeColor="text1"/>
                <w:sz w:val="22"/>
              </w:rPr>
              <w:instrText xml:space="preserve"> PAGEREF _Toc532805995 \h </w:instrText>
            </w:r>
            <w:r w:rsidR="00076A87" w:rsidRPr="00076A87">
              <w:rPr>
                <w:rFonts w:ascii="Calibri" w:eastAsia="Calibri" w:hAnsi="Calibri" w:cs="Times New Roman"/>
                <w:noProof/>
                <w:webHidden/>
                <w:color w:val="000000" w:themeColor="text1"/>
                <w:sz w:val="22"/>
              </w:rPr>
            </w:r>
            <w:r w:rsidR="00076A87" w:rsidRPr="00076A87">
              <w:rPr>
                <w:rFonts w:ascii="Calibri" w:eastAsia="Calibri" w:hAnsi="Calibri" w:cs="Times New Roman"/>
                <w:noProof/>
                <w:webHidden/>
                <w:color w:val="000000" w:themeColor="text1"/>
                <w:sz w:val="22"/>
              </w:rPr>
              <w:fldChar w:fldCharType="separate"/>
            </w:r>
            <w:r w:rsidR="00076A87" w:rsidRPr="00076A87">
              <w:rPr>
                <w:rFonts w:ascii="Calibri" w:eastAsia="Calibri" w:hAnsi="Calibri" w:cs="Times New Roman"/>
                <w:noProof/>
                <w:webHidden/>
                <w:color w:val="000000" w:themeColor="text1"/>
                <w:sz w:val="22"/>
              </w:rPr>
              <w:t>8</w:t>
            </w:r>
            <w:r w:rsidR="00076A87" w:rsidRPr="00076A87">
              <w:rPr>
                <w:rFonts w:ascii="Calibri" w:eastAsia="Calibri" w:hAnsi="Calibri" w:cs="Times New Roman"/>
                <w:noProof/>
                <w:webHidden/>
                <w:color w:val="000000" w:themeColor="text1"/>
                <w:sz w:val="22"/>
              </w:rPr>
              <w:fldChar w:fldCharType="end"/>
            </w:r>
          </w:hyperlink>
        </w:p>
        <w:p w14:paraId="0C143890" w14:textId="77777777" w:rsidR="00076A87" w:rsidRPr="00076A87" w:rsidRDefault="00D32AD3" w:rsidP="00076A87">
          <w:pPr>
            <w:tabs>
              <w:tab w:val="right" w:leader="dot" w:pos="9016"/>
            </w:tabs>
            <w:spacing w:after="100"/>
            <w:ind w:left="440"/>
            <w:rPr>
              <w:rFonts w:ascii="Calibri" w:eastAsia="Times New Roman" w:hAnsi="Calibri" w:cs="Times New Roman"/>
              <w:noProof/>
              <w:color w:val="000000" w:themeColor="text1"/>
              <w:sz w:val="22"/>
              <w:lang w:eastAsia="en-AU"/>
            </w:rPr>
          </w:pPr>
          <w:hyperlink w:anchor="_Toc532805996" w:history="1">
            <w:r w:rsidR="00076A87" w:rsidRPr="00076A87">
              <w:rPr>
                <w:rFonts w:ascii="Arial" w:eastAsia="Calibri" w:hAnsi="Arial" w:cs="Arial"/>
                <w:noProof/>
                <w:color w:val="000000" w:themeColor="text1"/>
                <w:sz w:val="22"/>
              </w:rPr>
              <w:t>Item 1: Coordinated and economically sustainable strategies to address renal health across all levels of government</w:t>
            </w:r>
            <w:r w:rsidR="00076A87" w:rsidRPr="00076A87">
              <w:rPr>
                <w:rFonts w:ascii="Calibri" w:eastAsia="Calibri" w:hAnsi="Calibri" w:cs="Times New Roman"/>
                <w:noProof/>
                <w:webHidden/>
                <w:color w:val="000000" w:themeColor="text1"/>
                <w:sz w:val="22"/>
              </w:rPr>
              <w:tab/>
            </w:r>
            <w:r w:rsidR="00076A87" w:rsidRPr="00076A87">
              <w:rPr>
                <w:rFonts w:ascii="Calibri" w:eastAsia="Calibri" w:hAnsi="Calibri" w:cs="Times New Roman"/>
                <w:noProof/>
                <w:webHidden/>
                <w:color w:val="000000" w:themeColor="text1"/>
                <w:sz w:val="22"/>
              </w:rPr>
              <w:fldChar w:fldCharType="begin"/>
            </w:r>
            <w:r w:rsidR="00076A87" w:rsidRPr="00076A87">
              <w:rPr>
                <w:rFonts w:ascii="Calibri" w:eastAsia="Calibri" w:hAnsi="Calibri" w:cs="Times New Roman"/>
                <w:noProof/>
                <w:webHidden/>
                <w:color w:val="000000" w:themeColor="text1"/>
                <w:sz w:val="22"/>
              </w:rPr>
              <w:instrText xml:space="preserve"> PAGEREF _Toc532805996 \h </w:instrText>
            </w:r>
            <w:r w:rsidR="00076A87" w:rsidRPr="00076A87">
              <w:rPr>
                <w:rFonts w:ascii="Calibri" w:eastAsia="Calibri" w:hAnsi="Calibri" w:cs="Times New Roman"/>
                <w:noProof/>
                <w:webHidden/>
                <w:color w:val="000000" w:themeColor="text1"/>
                <w:sz w:val="22"/>
              </w:rPr>
            </w:r>
            <w:r w:rsidR="00076A87" w:rsidRPr="00076A87">
              <w:rPr>
                <w:rFonts w:ascii="Calibri" w:eastAsia="Calibri" w:hAnsi="Calibri" w:cs="Times New Roman"/>
                <w:noProof/>
                <w:webHidden/>
                <w:color w:val="000000" w:themeColor="text1"/>
                <w:sz w:val="22"/>
              </w:rPr>
              <w:fldChar w:fldCharType="separate"/>
            </w:r>
            <w:r w:rsidR="00076A87" w:rsidRPr="00076A87">
              <w:rPr>
                <w:rFonts w:ascii="Calibri" w:eastAsia="Calibri" w:hAnsi="Calibri" w:cs="Times New Roman"/>
                <w:noProof/>
                <w:webHidden/>
                <w:color w:val="000000" w:themeColor="text1"/>
                <w:sz w:val="22"/>
              </w:rPr>
              <w:t>9</w:t>
            </w:r>
            <w:r w:rsidR="00076A87" w:rsidRPr="00076A87">
              <w:rPr>
                <w:rFonts w:ascii="Calibri" w:eastAsia="Calibri" w:hAnsi="Calibri" w:cs="Times New Roman"/>
                <w:noProof/>
                <w:webHidden/>
                <w:color w:val="000000" w:themeColor="text1"/>
                <w:sz w:val="22"/>
              </w:rPr>
              <w:fldChar w:fldCharType="end"/>
            </w:r>
          </w:hyperlink>
        </w:p>
        <w:p w14:paraId="7ECAA4E1" w14:textId="77777777" w:rsidR="00076A87" w:rsidRPr="00076A87" w:rsidRDefault="00D32AD3" w:rsidP="00076A87">
          <w:pPr>
            <w:tabs>
              <w:tab w:val="right" w:leader="dot" w:pos="9016"/>
            </w:tabs>
            <w:spacing w:after="100"/>
            <w:ind w:left="440"/>
            <w:rPr>
              <w:rFonts w:ascii="Calibri" w:eastAsia="Times New Roman" w:hAnsi="Calibri" w:cs="Times New Roman"/>
              <w:noProof/>
              <w:color w:val="000000" w:themeColor="text1"/>
              <w:sz w:val="22"/>
              <w:lang w:eastAsia="en-AU"/>
            </w:rPr>
          </w:pPr>
          <w:hyperlink w:anchor="_Toc532805997" w:history="1">
            <w:r w:rsidR="00076A87" w:rsidRPr="00076A87">
              <w:rPr>
                <w:rFonts w:ascii="Arial" w:eastAsia="Calibri" w:hAnsi="Arial" w:cs="Arial"/>
                <w:noProof/>
                <w:color w:val="000000" w:themeColor="text1"/>
                <w:sz w:val="22"/>
              </w:rPr>
              <w:t>Item 2: Meaningful knowledge sharing for the Aboriginal and Torres Strait Renal Patient Community</w:t>
            </w:r>
            <w:r w:rsidR="00076A87" w:rsidRPr="00076A87">
              <w:rPr>
                <w:rFonts w:ascii="Calibri" w:eastAsia="Calibri" w:hAnsi="Calibri" w:cs="Times New Roman"/>
                <w:noProof/>
                <w:webHidden/>
                <w:color w:val="000000" w:themeColor="text1"/>
                <w:sz w:val="22"/>
              </w:rPr>
              <w:tab/>
            </w:r>
            <w:r w:rsidR="00076A87" w:rsidRPr="00076A87">
              <w:rPr>
                <w:rFonts w:ascii="Calibri" w:eastAsia="Calibri" w:hAnsi="Calibri" w:cs="Times New Roman"/>
                <w:noProof/>
                <w:webHidden/>
                <w:color w:val="000000" w:themeColor="text1"/>
                <w:sz w:val="22"/>
              </w:rPr>
              <w:fldChar w:fldCharType="begin"/>
            </w:r>
            <w:r w:rsidR="00076A87" w:rsidRPr="00076A87">
              <w:rPr>
                <w:rFonts w:ascii="Calibri" w:eastAsia="Calibri" w:hAnsi="Calibri" w:cs="Times New Roman"/>
                <w:noProof/>
                <w:webHidden/>
                <w:color w:val="000000" w:themeColor="text1"/>
                <w:sz w:val="22"/>
              </w:rPr>
              <w:instrText xml:space="preserve"> PAGEREF _Toc532805997 \h </w:instrText>
            </w:r>
            <w:r w:rsidR="00076A87" w:rsidRPr="00076A87">
              <w:rPr>
                <w:rFonts w:ascii="Calibri" w:eastAsia="Calibri" w:hAnsi="Calibri" w:cs="Times New Roman"/>
                <w:noProof/>
                <w:webHidden/>
                <w:color w:val="000000" w:themeColor="text1"/>
                <w:sz w:val="22"/>
              </w:rPr>
            </w:r>
            <w:r w:rsidR="00076A87" w:rsidRPr="00076A87">
              <w:rPr>
                <w:rFonts w:ascii="Calibri" w:eastAsia="Calibri" w:hAnsi="Calibri" w:cs="Times New Roman"/>
                <w:noProof/>
                <w:webHidden/>
                <w:color w:val="000000" w:themeColor="text1"/>
                <w:sz w:val="22"/>
              </w:rPr>
              <w:fldChar w:fldCharType="separate"/>
            </w:r>
            <w:r w:rsidR="00076A87" w:rsidRPr="00076A87">
              <w:rPr>
                <w:rFonts w:ascii="Calibri" w:eastAsia="Calibri" w:hAnsi="Calibri" w:cs="Times New Roman"/>
                <w:noProof/>
                <w:webHidden/>
                <w:color w:val="000000" w:themeColor="text1"/>
                <w:sz w:val="22"/>
              </w:rPr>
              <w:t>10</w:t>
            </w:r>
            <w:r w:rsidR="00076A87" w:rsidRPr="00076A87">
              <w:rPr>
                <w:rFonts w:ascii="Calibri" w:eastAsia="Calibri" w:hAnsi="Calibri" w:cs="Times New Roman"/>
                <w:noProof/>
                <w:webHidden/>
                <w:color w:val="000000" w:themeColor="text1"/>
                <w:sz w:val="22"/>
              </w:rPr>
              <w:fldChar w:fldCharType="end"/>
            </w:r>
          </w:hyperlink>
        </w:p>
        <w:p w14:paraId="3F245143" w14:textId="77777777" w:rsidR="00076A87" w:rsidRPr="00076A87" w:rsidRDefault="00D32AD3" w:rsidP="00076A87">
          <w:pPr>
            <w:tabs>
              <w:tab w:val="right" w:leader="dot" w:pos="9016"/>
            </w:tabs>
            <w:spacing w:after="100"/>
            <w:ind w:left="440"/>
            <w:rPr>
              <w:rFonts w:ascii="Calibri" w:eastAsia="Times New Roman" w:hAnsi="Calibri" w:cs="Times New Roman"/>
              <w:noProof/>
              <w:color w:val="000000" w:themeColor="text1"/>
              <w:sz w:val="22"/>
              <w:lang w:eastAsia="en-AU"/>
            </w:rPr>
          </w:pPr>
          <w:hyperlink w:anchor="_Toc532805998" w:history="1">
            <w:r w:rsidR="00076A87" w:rsidRPr="00076A87">
              <w:rPr>
                <w:rFonts w:ascii="Arial" w:eastAsia="Calibri" w:hAnsi="Arial" w:cs="Arial"/>
                <w:noProof/>
                <w:color w:val="000000" w:themeColor="text1"/>
                <w:sz w:val="22"/>
              </w:rPr>
              <w:t>Item 3: Preventative Health Care</w:t>
            </w:r>
            <w:r w:rsidR="00076A87" w:rsidRPr="00076A87">
              <w:rPr>
                <w:rFonts w:ascii="Calibri" w:eastAsia="Calibri" w:hAnsi="Calibri" w:cs="Times New Roman"/>
                <w:noProof/>
                <w:webHidden/>
                <w:color w:val="000000" w:themeColor="text1"/>
                <w:sz w:val="22"/>
              </w:rPr>
              <w:tab/>
            </w:r>
            <w:r w:rsidR="00076A87" w:rsidRPr="00076A87">
              <w:rPr>
                <w:rFonts w:ascii="Calibri" w:eastAsia="Calibri" w:hAnsi="Calibri" w:cs="Times New Roman"/>
                <w:noProof/>
                <w:webHidden/>
                <w:color w:val="000000" w:themeColor="text1"/>
                <w:sz w:val="22"/>
              </w:rPr>
              <w:fldChar w:fldCharType="begin"/>
            </w:r>
            <w:r w:rsidR="00076A87" w:rsidRPr="00076A87">
              <w:rPr>
                <w:rFonts w:ascii="Calibri" w:eastAsia="Calibri" w:hAnsi="Calibri" w:cs="Times New Roman"/>
                <w:noProof/>
                <w:webHidden/>
                <w:color w:val="000000" w:themeColor="text1"/>
                <w:sz w:val="22"/>
              </w:rPr>
              <w:instrText xml:space="preserve"> PAGEREF _Toc532805998 \h </w:instrText>
            </w:r>
            <w:r w:rsidR="00076A87" w:rsidRPr="00076A87">
              <w:rPr>
                <w:rFonts w:ascii="Calibri" w:eastAsia="Calibri" w:hAnsi="Calibri" w:cs="Times New Roman"/>
                <w:noProof/>
                <w:webHidden/>
                <w:color w:val="000000" w:themeColor="text1"/>
                <w:sz w:val="22"/>
              </w:rPr>
            </w:r>
            <w:r w:rsidR="00076A87" w:rsidRPr="00076A87">
              <w:rPr>
                <w:rFonts w:ascii="Calibri" w:eastAsia="Calibri" w:hAnsi="Calibri" w:cs="Times New Roman"/>
                <w:noProof/>
                <w:webHidden/>
                <w:color w:val="000000" w:themeColor="text1"/>
                <w:sz w:val="22"/>
              </w:rPr>
              <w:fldChar w:fldCharType="separate"/>
            </w:r>
            <w:r w:rsidR="00076A87" w:rsidRPr="00076A87">
              <w:rPr>
                <w:rFonts w:ascii="Calibri" w:eastAsia="Calibri" w:hAnsi="Calibri" w:cs="Times New Roman"/>
                <w:noProof/>
                <w:webHidden/>
                <w:color w:val="000000" w:themeColor="text1"/>
                <w:sz w:val="22"/>
              </w:rPr>
              <w:t>11</w:t>
            </w:r>
            <w:r w:rsidR="00076A87" w:rsidRPr="00076A87">
              <w:rPr>
                <w:rFonts w:ascii="Calibri" w:eastAsia="Calibri" w:hAnsi="Calibri" w:cs="Times New Roman"/>
                <w:noProof/>
                <w:webHidden/>
                <w:color w:val="000000" w:themeColor="text1"/>
                <w:sz w:val="22"/>
              </w:rPr>
              <w:fldChar w:fldCharType="end"/>
            </w:r>
          </w:hyperlink>
        </w:p>
        <w:p w14:paraId="6F4E4530" w14:textId="77777777" w:rsidR="00076A87" w:rsidRPr="00076A87" w:rsidRDefault="00D32AD3" w:rsidP="00076A87">
          <w:pPr>
            <w:tabs>
              <w:tab w:val="right" w:leader="dot" w:pos="9016"/>
            </w:tabs>
            <w:spacing w:after="100"/>
            <w:ind w:left="440"/>
            <w:rPr>
              <w:rFonts w:ascii="Calibri" w:eastAsia="Times New Roman" w:hAnsi="Calibri" w:cs="Times New Roman"/>
              <w:noProof/>
              <w:color w:val="000000" w:themeColor="text1"/>
              <w:sz w:val="22"/>
              <w:lang w:eastAsia="en-AU"/>
            </w:rPr>
          </w:pPr>
          <w:hyperlink w:anchor="_Toc532805999" w:history="1">
            <w:r w:rsidR="00076A87" w:rsidRPr="00076A87">
              <w:rPr>
                <w:rFonts w:ascii="Arial" w:eastAsia="Calibri" w:hAnsi="Arial" w:cs="Arial"/>
                <w:noProof/>
                <w:color w:val="000000" w:themeColor="text1"/>
                <w:sz w:val="22"/>
              </w:rPr>
              <w:t>Item 4: Sustainable Workforce</w:t>
            </w:r>
            <w:r w:rsidR="00076A87" w:rsidRPr="00076A87">
              <w:rPr>
                <w:rFonts w:ascii="Calibri" w:eastAsia="Calibri" w:hAnsi="Calibri" w:cs="Times New Roman"/>
                <w:noProof/>
                <w:webHidden/>
                <w:color w:val="000000" w:themeColor="text1"/>
                <w:sz w:val="22"/>
              </w:rPr>
              <w:tab/>
            </w:r>
            <w:r w:rsidR="00076A87" w:rsidRPr="00076A87">
              <w:rPr>
                <w:rFonts w:ascii="Calibri" w:eastAsia="Calibri" w:hAnsi="Calibri" w:cs="Times New Roman"/>
                <w:noProof/>
                <w:webHidden/>
                <w:color w:val="000000" w:themeColor="text1"/>
                <w:sz w:val="22"/>
              </w:rPr>
              <w:fldChar w:fldCharType="begin"/>
            </w:r>
            <w:r w:rsidR="00076A87" w:rsidRPr="00076A87">
              <w:rPr>
                <w:rFonts w:ascii="Calibri" w:eastAsia="Calibri" w:hAnsi="Calibri" w:cs="Times New Roman"/>
                <w:noProof/>
                <w:webHidden/>
                <w:color w:val="000000" w:themeColor="text1"/>
                <w:sz w:val="22"/>
              </w:rPr>
              <w:instrText xml:space="preserve"> PAGEREF _Toc532805999 \h </w:instrText>
            </w:r>
            <w:r w:rsidR="00076A87" w:rsidRPr="00076A87">
              <w:rPr>
                <w:rFonts w:ascii="Calibri" w:eastAsia="Calibri" w:hAnsi="Calibri" w:cs="Times New Roman"/>
                <w:noProof/>
                <w:webHidden/>
                <w:color w:val="000000" w:themeColor="text1"/>
                <w:sz w:val="22"/>
              </w:rPr>
            </w:r>
            <w:r w:rsidR="00076A87" w:rsidRPr="00076A87">
              <w:rPr>
                <w:rFonts w:ascii="Calibri" w:eastAsia="Calibri" w:hAnsi="Calibri" w:cs="Times New Roman"/>
                <w:noProof/>
                <w:webHidden/>
                <w:color w:val="000000" w:themeColor="text1"/>
                <w:sz w:val="22"/>
              </w:rPr>
              <w:fldChar w:fldCharType="separate"/>
            </w:r>
            <w:r w:rsidR="00076A87" w:rsidRPr="00076A87">
              <w:rPr>
                <w:rFonts w:ascii="Calibri" w:eastAsia="Calibri" w:hAnsi="Calibri" w:cs="Times New Roman"/>
                <w:noProof/>
                <w:webHidden/>
                <w:color w:val="000000" w:themeColor="text1"/>
                <w:sz w:val="22"/>
              </w:rPr>
              <w:t>12</w:t>
            </w:r>
            <w:r w:rsidR="00076A87" w:rsidRPr="00076A87">
              <w:rPr>
                <w:rFonts w:ascii="Calibri" w:eastAsia="Calibri" w:hAnsi="Calibri" w:cs="Times New Roman"/>
                <w:noProof/>
                <w:webHidden/>
                <w:color w:val="000000" w:themeColor="text1"/>
                <w:sz w:val="22"/>
              </w:rPr>
              <w:fldChar w:fldCharType="end"/>
            </w:r>
          </w:hyperlink>
        </w:p>
        <w:p w14:paraId="28C13814" w14:textId="77777777" w:rsidR="00076A87" w:rsidRPr="00076A87" w:rsidRDefault="00D32AD3" w:rsidP="00076A87">
          <w:pPr>
            <w:tabs>
              <w:tab w:val="right" w:leader="dot" w:pos="9016"/>
            </w:tabs>
            <w:spacing w:after="100"/>
            <w:rPr>
              <w:rFonts w:ascii="Calibri" w:eastAsia="Times New Roman" w:hAnsi="Calibri" w:cs="Times New Roman"/>
              <w:noProof/>
              <w:color w:val="000000" w:themeColor="text1"/>
              <w:sz w:val="22"/>
              <w:lang w:eastAsia="en-AU"/>
            </w:rPr>
          </w:pPr>
          <w:hyperlink w:anchor="_Toc532806000" w:history="1">
            <w:r w:rsidR="00076A87" w:rsidRPr="00076A87">
              <w:rPr>
                <w:rFonts w:ascii="Calibri" w:eastAsia="Calibri" w:hAnsi="Calibri" w:cs="Times New Roman"/>
                <w:noProof/>
                <w:color w:val="000000" w:themeColor="text1"/>
                <w:sz w:val="22"/>
              </w:rPr>
              <w:t>Abbreviations</w:t>
            </w:r>
            <w:r w:rsidR="00076A87" w:rsidRPr="00076A87">
              <w:rPr>
                <w:rFonts w:ascii="Calibri" w:eastAsia="Calibri" w:hAnsi="Calibri" w:cs="Times New Roman"/>
                <w:noProof/>
                <w:webHidden/>
                <w:color w:val="000000" w:themeColor="text1"/>
                <w:sz w:val="22"/>
              </w:rPr>
              <w:tab/>
            </w:r>
            <w:r w:rsidR="00076A87" w:rsidRPr="00076A87">
              <w:rPr>
                <w:rFonts w:ascii="Calibri" w:eastAsia="Calibri" w:hAnsi="Calibri" w:cs="Times New Roman"/>
                <w:noProof/>
                <w:webHidden/>
                <w:color w:val="000000" w:themeColor="text1"/>
                <w:sz w:val="22"/>
              </w:rPr>
              <w:fldChar w:fldCharType="begin"/>
            </w:r>
            <w:r w:rsidR="00076A87" w:rsidRPr="00076A87">
              <w:rPr>
                <w:rFonts w:ascii="Calibri" w:eastAsia="Calibri" w:hAnsi="Calibri" w:cs="Times New Roman"/>
                <w:noProof/>
                <w:webHidden/>
                <w:color w:val="000000" w:themeColor="text1"/>
                <w:sz w:val="22"/>
              </w:rPr>
              <w:instrText xml:space="preserve"> PAGEREF _Toc532806000 \h </w:instrText>
            </w:r>
            <w:r w:rsidR="00076A87" w:rsidRPr="00076A87">
              <w:rPr>
                <w:rFonts w:ascii="Calibri" w:eastAsia="Calibri" w:hAnsi="Calibri" w:cs="Times New Roman"/>
                <w:noProof/>
                <w:webHidden/>
                <w:color w:val="000000" w:themeColor="text1"/>
                <w:sz w:val="22"/>
              </w:rPr>
            </w:r>
            <w:r w:rsidR="00076A87" w:rsidRPr="00076A87">
              <w:rPr>
                <w:rFonts w:ascii="Calibri" w:eastAsia="Calibri" w:hAnsi="Calibri" w:cs="Times New Roman"/>
                <w:noProof/>
                <w:webHidden/>
                <w:color w:val="000000" w:themeColor="text1"/>
                <w:sz w:val="22"/>
              </w:rPr>
              <w:fldChar w:fldCharType="separate"/>
            </w:r>
            <w:r w:rsidR="00076A87" w:rsidRPr="00076A87">
              <w:rPr>
                <w:rFonts w:ascii="Calibri" w:eastAsia="Calibri" w:hAnsi="Calibri" w:cs="Times New Roman"/>
                <w:noProof/>
                <w:webHidden/>
                <w:color w:val="000000" w:themeColor="text1"/>
                <w:sz w:val="22"/>
              </w:rPr>
              <w:t>13</w:t>
            </w:r>
            <w:r w:rsidR="00076A87" w:rsidRPr="00076A87">
              <w:rPr>
                <w:rFonts w:ascii="Calibri" w:eastAsia="Calibri" w:hAnsi="Calibri" w:cs="Times New Roman"/>
                <w:noProof/>
                <w:webHidden/>
                <w:color w:val="000000" w:themeColor="text1"/>
                <w:sz w:val="22"/>
              </w:rPr>
              <w:fldChar w:fldCharType="end"/>
            </w:r>
          </w:hyperlink>
        </w:p>
        <w:p w14:paraId="179111A3" w14:textId="77777777" w:rsidR="00076A87" w:rsidRPr="00076A87" w:rsidRDefault="00D32AD3" w:rsidP="00076A87">
          <w:pPr>
            <w:tabs>
              <w:tab w:val="right" w:leader="dot" w:pos="9016"/>
            </w:tabs>
            <w:spacing w:after="100"/>
            <w:rPr>
              <w:rFonts w:ascii="Calibri" w:eastAsia="Times New Roman" w:hAnsi="Calibri" w:cs="Times New Roman"/>
              <w:noProof/>
              <w:color w:val="000000" w:themeColor="text1"/>
              <w:sz w:val="22"/>
              <w:lang w:eastAsia="en-AU"/>
            </w:rPr>
          </w:pPr>
          <w:hyperlink w:anchor="_Toc532806001" w:history="1">
            <w:r w:rsidR="00076A87" w:rsidRPr="00076A87">
              <w:rPr>
                <w:rFonts w:ascii="Calibri" w:eastAsia="Calibri" w:hAnsi="Calibri" w:cs="Times New Roman"/>
                <w:noProof/>
                <w:color w:val="000000" w:themeColor="text1"/>
                <w:sz w:val="22"/>
              </w:rPr>
              <w:t>References</w:t>
            </w:r>
            <w:r w:rsidR="00076A87" w:rsidRPr="00076A87">
              <w:rPr>
                <w:rFonts w:ascii="Calibri" w:eastAsia="Calibri" w:hAnsi="Calibri" w:cs="Times New Roman"/>
                <w:noProof/>
                <w:webHidden/>
                <w:color w:val="000000" w:themeColor="text1"/>
                <w:sz w:val="22"/>
              </w:rPr>
              <w:tab/>
            </w:r>
            <w:r w:rsidR="00076A87" w:rsidRPr="00076A87">
              <w:rPr>
                <w:rFonts w:ascii="Calibri" w:eastAsia="Calibri" w:hAnsi="Calibri" w:cs="Times New Roman"/>
                <w:noProof/>
                <w:webHidden/>
                <w:color w:val="000000" w:themeColor="text1"/>
                <w:sz w:val="22"/>
              </w:rPr>
              <w:fldChar w:fldCharType="begin"/>
            </w:r>
            <w:r w:rsidR="00076A87" w:rsidRPr="00076A87">
              <w:rPr>
                <w:rFonts w:ascii="Calibri" w:eastAsia="Calibri" w:hAnsi="Calibri" w:cs="Times New Roman"/>
                <w:noProof/>
                <w:webHidden/>
                <w:color w:val="000000" w:themeColor="text1"/>
                <w:sz w:val="22"/>
              </w:rPr>
              <w:instrText xml:space="preserve"> PAGEREF _Toc532806001 \h </w:instrText>
            </w:r>
            <w:r w:rsidR="00076A87" w:rsidRPr="00076A87">
              <w:rPr>
                <w:rFonts w:ascii="Calibri" w:eastAsia="Calibri" w:hAnsi="Calibri" w:cs="Times New Roman"/>
                <w:noProof/>
                <w:webHidden/>
                <w:color w:val="000000" w:themeColor="text1"/>
                <w:sz w:val="22"/>
              </w:rPr>
            </w:r>
            <w:r w:rsidR="00076A87" w:rsidRPr="00076A87">
              <w:rPr>
                <w:rFonts w:ascii="Calibri" w:eastAsia="Calibri" w:hAnsi="Calibri" w:cs="Times New Roman"/>
                <w:noProof/>
                <w:webHidden/>
                <w:color w:val="000000" w:themeColor="text1"/>
                <w:sz w:val="22"/>
              </w:rPr>
              <w:fldChar w:fldCharType="separate"/>
            </w:r>
            <w:r w:rsidR="00076A87" w:rsidRPr="00076A87">
              <w:rPr>
                <w:rFonts w:ascii="Calibri" w:eastAsia="Calibri" w:hAnsi="Calibri" w:cs="Times New Roman"/>
                <w:noProof/>
                <w:webHidden/>
                <w:color w:val="000000" w:themeColor="text1"/>
                <w:sz w:val="22"/>
              </w:rPr>
              <w:t>13</w:t>
            </w:r>
            <w:r w:rsidR="00076A87" w:rsidRPr="00076A87">
              <w:rPr>
                <w:rFonts w:ascii="Calibri" w:eastAsia="Calibri" w:hAnsi="Calibri" w:cs="Times New Roman"/>
                <w:noProof/>
                <w:webHidden/>
                <w:color w:val="000000" w:themeColor="text1"/>
                <w:sz w:val="22"/>
              </w:rPr>
              <w:fldChar w:fldCharType="end"/>
            </w:r>
          </w:hyperlink>
        </w:p>
        <w:p w14:paraId="335E60CC" w14:textId="77777777" w:rsidR="00076A87" w:rsidRPr="00076A87" w:rsidRDefault="00076A87" w:rsidP="00076A87">
          <w:pPr>
            <w:rPr>
              <w:rFonts w:ascii="Calibri" w:eastAsia="Calibri" w:hAnsi="Calibri" w:cs="Times New Roman"/>
              <w:color w:val="000000" w:themeColor="text1"/>
              <w:sz w:val="22"/>
            </w:rPr>
          </w:pPr>
          <w:r w:rsidRPr="00076A87">
            <w:rPr>
              <w:rFonts w:ascii="Calibri" w:eastAsia="Calibri" w:hAnsi="Calibri" w:cs="Times New Roman"/>
              <w:b/>
              <w:bCs/>
              <w:noProof/>
              <w:color w:val="000000" w:themeColor="text1"/>
              <w:sz w:val="22"/>
            </w:rPr>
            <w:fldChar w:fldCharType="end"/>
          </w:r>
        </w:p>
      </w:sdtContent>
    </w:sdt>
    <w:p w14:paraId="46B44FFF" w14:textId="77777777" w:rsidR="00076A87" w:rsidRPr="00076A87" w:rsidRDefault="00076A87" w:rsidP="00076A87">
      <w:pPr>
        <w:rPr>
          <w:rFonts w:ascii="Calibri" w:eastAsia="Calibri" w:hAnsi="Calibri" w:cs="Times New Roman"/>
          <w:b/>
          <w:sz w:val="22"/>
          <w:u w:val="single"/>
        </w:rPr>
      </w:pPr>
      <w:r w:rsidRPr="00076A87">
        <w:rPr>
          <w:rFonts w:ascii="Calibri" w:eastAsia="Calibri" w:hAnsi="Calibri" w:cs="Times New Roman"/>
          <w:b/>
          <w:sz w:val="22"/>
          <w:u w:val="single"/>
        </w:rPr>
        <w:br w:type="page"/>
      </w:r>
    </w:p>
    <w:p w14:paraId="0E6DB3F8" w14:textId="77777777" w:rsidR="00076A87" w:rsidRPr="00076A87" w:rsidRDefault="00076A87" w:rsidP="00076A87">
      <w:pPr>
        <w:keepNext/>
        <w:keepLines/>
        <w:spacing w:before="480" w:after="0"/>
        <w:jc w:val="center"/>
        <w:outlineLvl w:val="0"/>
        <w:rPr>
          <w:rFonts w:ascii="Arial" w:eastAsia="Times New Roman" w:hAnsi="Arial" w:cs="Arial"/>
          <w:b/>
          <w:bCs/>
          <w:color w:val="2F5496"/>
          <w:sz w:val="48"/>
          <w:szCs w:val="48"/>
        </w:rPr>
      </w:pPr>
      <w:bookmarkStart w:id="107" w:name="_Toc532805987"/>
      <w:r w:rsidRPr="00076A87">
        <w:rPr>
          <w:rFonts w:ascii="Arial" w:eastAsia="Times New Roman" w:hAnsi="Arial" w:cs="Arial"/>
          <w:b/>
          <w:bCs/>
          <w:color w:val="2F5496"/>
          <w:sz w:val="48"/>
          <w:szCs w:val="48"/>
        </w:rPr>
        <w:lastRenderedPageBreak/>
        <w:t>Section 1: Executive Summary</w:t>
      </w:r>
      <w:bookmarkEnd w:id="107"/>
    </w:p>
    <w:p w14:paraId="219DEBC4" w14:textId="77777777" w:rsidR="00076A87" w:rsidRPr="00076A87" w:rsidRDefault="00076A87" w:rsidP="00076A87">
      <w:pPr>
        <w:rPr>
          <w:rFonts w:ascii="Calibri" w:eastAsia="Calibri" w:hAnsi="Calibri" w:cs="Times New Roman"/>
          <w:sz w:val="22"/>
        </w:rPr>
      </w:pPr>
      <w:r w:rsidRPr="00076A87">
        <w:rPr>
          <w:rFonts w:ascii="Calibri" w:eastAsia="Calibri" w:hAnsi="Calibri" w:cs="Times New Roman"/>
          <w:sz w:val="22"/>
        </w:rPr>
        <w:br w:type="page"/>
      </w:r>
    </w:p>
    <w:p w14:paraId="426A7A4C" w14:textId="77777777" w:rsidR="00076A87" w:rsidRPr="00076A87" w:rsidRDefault="00076A87" w:rsidP="00076A87">
      <w:pPr>
        <w:spacing w:after="0"/>
        <w:jc w:val="both"/>
        <w:rPr>
          <w:rFonts w:ascii="Arial" w:eastAsia="Calibri" w:hAnsi="Arial" w:cs="Arial"/>
          <w:sz w:val="22"/>
          <w:szCs w:val="24"/>
        </w:rPr>
      </w:pPr>
      <w:r w:rsidRPr="00076A87">
        <w:rPr>
          <w:rFonts w:ascii="Arial" w:eastAsia="Calibri" w:hAnsi="Arial" w:cs="Arial"/>
          <w:sz w:val="22"/>
          <w:szCs w:val="24"/>
        </w:rPr>
        <w:lastRenderedPageBreak/>
        <w:t xml:space="preserve">We momentarily pause, take a breath (‘catch some air’), reflect, plan and advocate for targeted action to improve kidney health for Aboriginal and Torres Strait Islander peoples in northern and central Australia. </w:t>
      </w:r>
    </w:p>
    <w:p w14:paraId="09E28304" w14:textId="77777777" w:rsidR="00076A87" w:rsidRPr="00076A87" w:rsidRDefault="00076A87" w:rsidP="00076A87">
      <w:pPr>
        <w:spacing w:after="0"/>
        <w:jc w:val="both"/>
        <w:rPr>
          <w:rFonts w:ascii="Arial" w:eastAsia="Calibri" w:hAnsi="Arial" w:cs="Arial"/>
          <w:sz w:val="22"/>
          <w:szCs w:val="24"/>
        </w:rPr>
      </w:pPr>
    </w:p>
    <w:p w14:paraId="51C8D5EB" w14:textId="77777777" w:rsidR="00076A87" w:rsidRPr="00076A87" w:rsidRDefault="00076A87" w:rsidP="00076A87">
      <w:pPr>
        <w:spacing w:after="0"/>
        <w:jc w:val="both"/>
        <w:rPr>
          <w:rFonts w:ascii="Arial" w:eastAsia="Calibri" w:hAnsi="Arial" w:cs="Arial"/>
          <w:sz w:val="22"/>
          <w:szCs w:val="24"/>
        </w:rPr>
      </w:pPr>
      <w:r w:rsidRPr="00076A87">
        <w:rPr>
          <w:rFonts w:ascii="Arial" w:eastAsia="Calibri" w:hAnsi="Arial" w:cs="Arial"/>
          <w:sz w:val="22"/>
          <w:szCs w:val="24"/>
        </w:rPr>
        <w:t xml:space="preserve">The Indigenous-led CATCHING SOME AIR (C-AIR) project team have comprehensive expertise spanning culture and community, community development, health promotion, Indigenous training, primary and tertiary health care, research, evaluation and policy.  Informed by an intensive 12-month community-consultation, we present strategic multi-level activities which require sustainable implementation for diabetes and kidney health advancement.  This policy brief was invited by Hon Ken Wyatt AM MP, Minister for Indigenous Health and invited by Hon Warren Snowden, Member for Lingiari following targeted feedback led by Dr </w:t>
      </w:r>
      <w:proofErr w:type="spellStart"/>
      <w:r w:rsidRPr="00076A87">
        <w:rPr>
          <w:rFonts w:ascii="Arial" w:eastAsia="Calibri" w:hAnsi="Arial" w:cs="Arial"/>
          <w:sz w:val="22"/>
          <w:szCs w:val="24"/>
        </w:rPr>
        <w:t>Jaqui</w:t>
      </w:r>
      <w:proofErr w:type="spellEnd"/>
      <w:r w:rsidRPr="00076A87">
        <w:rPr>
          <w:rFonts w:ascii="Arial" w:eastAsia="Calibri" w:hAnsi="Arial" w:cs="Arial"/>
          <w:sz w:val="22"/>
          <w:szCs w:val="24"/>
        </w:rPr>
        <w:t xml:space="preserve"> Hughes to these parliamentarians on November 29</w:t>
      </w:r>
      <w:r w:rsidRPr="00076A87">
        <w:rPr>
          <w:rFonts w:ascii="Arial" w:eastAsia="Calibri" w:hAnsi="Arial" w:cs="Arial"/>
          <w:sz w:val="22"/>
          <w:szCs w:val="24"/>
          <w:vertAlign w:val="superscript"/>
        </w:rPr>
        <w:t>th</w:t>
      </w:r>
      <w:r w:rsidRPr="00076A87">
        <w:rPr>
          <w:rFonts w:ascii="Arial" w:eastAsia="Calibri" w:hAnsi="Arial" w:cs="Arial"/>
          <w:sz w:val="22"/>
          <w:szCs w:val="24"/>
        </w:rPr>
        <w:t xml:space="preserve"> 2018.</w:t>
      </w:r>
    </w:p>
    <w:p w14:paraId="20C36B52" w14:textId="77777777" w:rsidR="00076A87" w:rsidRPr="00076A87" w:rsidRDefault="00076A87" w:rsidP="00076A87">
      <w:pPr>
        <w:spacing w:after="0"/>
        <w:jc w:val="both"/>
        <w:rPr>
          <w:rFonts w:ascii="Arial" w:eastAsia="Calibri" w:hAnsi="Arial" w:cs="Arial"/>
          <w:sz w:val="24"/>
          <w:szCs w:val="24"/>
        </w:rPr>
      </w:pPr>
    </w:p>
    <w:p w14:paraId="03F8DF31" w14:textId="77777777" w:rsidR="00076A87" w:rsidRPr="00076A87" w:rsidRDefault="00076A87" w:rsidP="00076A87">
      <w:pPr>
        <w:keepNext/>
        <w:keepLines/>
        <w:spacing w:before="240" w:after="0"/>
        <w:outlineLvl w:val="1"/>
        <w:rPr>
          <w:rFonts w:ascii="Arial" w:eastAsia="Times New Roman" w:hAnsi="Arial" w:cs="Arial"/>
          <w:b/>
          <w:bCs/>
          <w:color w:val="2F5496"/>
          <w:sz w:val="24"/>
          <w:szCs w:val="24"/>
        </w:rPr>
      </w:pPr>
      <w:bookmarkStart w:id="108" w:name="_Toc532805988"/>
      <w:r w:rsidRPr="00076A87">
        <w:rPr>
          <w:rFonts w:ascii="Arial" w:eastAsia="Times New Roman" w:hAnsi="Arial" w:cs="Arial"/>
          <w:b/>
          <w:bCs/>
          <w:color w:val="2F5496"/>
          <w:sz w:val="24"/>
          <w:szCs w:val="24"/>
        </w:rPr>
        <w:t>Aboriginal and Torres Strait Islander diabetes and kidney disease- devastating yet preventable</w:t>
      </w:r>
      <w:bookmarkEnd w:id="108"/>
      <w:r w:rsidRPr="00076A87">
        <w:rPr>
          <w:rFonts w:ascii="Arial" w:eastAsia="Times New Roman" w:hAnsi="Arial" w:cs="Arial"/>
          <w:b/>
          <w:bCs/>
          <w:color w:val="2F5496"/>
          <w:sz w:val="24"/>
          <w:szCs w:val="24"/>
        </w:rPr>
        <w:t xml:space="preserve"> </w:t>
      </w:r>
    </w:p>
    <w:p w14:paraId="7D970954" w14:textId="77777777" w:rsidR="00076A87" w:rsidRPr="00076A87" w:rsidRDefault="00076A87" w:rsidP="00076A87">
      <w:pPr>
        <w:spacing w:after="0"/>
        <w:jc w:val="both"/>
        <w:rPr>
          <w:rFonts w:ascii="Arial" w:eastAsia="Calibri" w:hAnsi="Arial" w:cs="Arial"/>
          <w:sz w:val="22"/>
          <w:szCs w:val="24"/>
        </w:rPr>
      </w:pPr>
      <w:r w:rsidRPr="00076A87">
        <w:rPr>
          <w:rFonts w:ascii="Arial" w:eastAsia="Calibri" w:hAnsi="Arial" w:cs="Arial"/>
          <w:sz w:val="22"/>
          <w:szCs w:val="24"/>
        </w:rPr>
        <w:t>Diabetes and chronic kidney disease (CKD) occur more frequently and at younger ages among Aboriginal and Torres Strait Islander people compared to non-Indigenous Australians</w:t>
      </w:r>
      <w:hyperlink w:anchor="_ENREF_1" w:tooltip="ABS, 2014 #1730" w:history="1">
        <w:r w:rsidRPr="00076A87">
          <w:rPr>
            <w:rFonts w:ascii="Arial" w:eastAsia="Calibri" w:hAnsi="Arial" w:cs="Arial"/>
            <w:sz w:val="22"/>
            <w:szCs w:val="24"/>
          </w:rPr>
          <w:fldChar w:fldCharType="begin"/>
        </w:r>
        <w:r w:rsidRPr="00076A87">
          <w:rPr>
            <w:rFonts w:ascii="Arial" w:eastAsia="Calibri" w:hAnsi="Arial" w:cs="Arial"/>
            <w:sz w:val="22"/>
            <w:szCs w:val="24"/>
          </w:rPr>
          <w:instrText xml:space="preserve"> ADDIN EN.CITE &lt;EndNote&gt;&lt;Cite&gt;&lt;Author&gt;ABS&lt;/Author&gt;&lt;Year&gt;2014&lt;/Year&gt;&lt;RecNum&gt;1730&lt;/RecNum&gt;&lt;DisplayText&gt;&lt;style face="superscript"&gt;1&lt;/style&gt;&lt;/DisplayText&gt;&lt;record&gt;&lt;rec-number&gt;1730&lt;/rec-number&gt;&lt;foreign-keys&gt;&lt;key app="EN" db-id="res5eezvkeft93e2sd8559tgpptder5pstzx" timestamp="1520554835"&gt;1730&lt;/key&gt;&lt;/foreign-keys&gt;&lt;ref-type name="Report"&gt;27&lt;/ref-type&gt;&lt;contributors&gt;&lt;authors&gt;&lt;author&gt;ABS&lt;/author&gt;&lt;/authors&gt;&lt;/contributors&gt;&lt;titles&gt;&lt;title&gt;Australian Aboriginal and Torres Strait Islander Health Survey: Biomedical Results, 2012-13&lt;/title&gt;&lt;/titles&gt;&lt;dates&gt;&lt;year&gt;2014&lt;/year&gt;&lt;/dates&gt;&lt;urls&gt;&lt;related-urls&gt;&lt;url&gt;&lt;style face="underline" font="default" size="100%"&gt;http://www.abs.gov.au/ausstats/abs@.nsf/mf/4727.0.55.003&lt;/style&gt;&lt;style face="normal" font="default" size="100%"&gt; &lt;/style&gt;&lt;/url&gt;&lt;/related-urls&gt;&lt;/urls&gt;&lt;access-date&gt;9 March 2018&lt;/access-date&gt;&lt;/record&gt;&lt;/Cite&gt;&lt;/EndNote&gt;</w:instrText>
        </w:r>
        <w:r w:rsidRPr="00076A87">
          <w:rPr>
            <w:rFonts w:ascii="Arial" w:eastAsia="Calibri" w:hAnsi="Arial" w:cs="Arial"/>
            <w:sz w:val="22"/>
            <w:szCs w:val="24"/>
          </w:rPr>
          <w:fldChar w:fldCharType="separate"/>
        </w:r>
        <w:r w:rsidRPr="00076A87">
          <w:rPr>
            <w:rFonts w:ascii="Arial" w:eastAsia="Calibri" w:hAnsi="Arial" w:cs="Arial"/>
            <w:noProof/>
            <w:sz w:val="22"/>
            <w:szCs w:val="24"/>
            <w:vertAlign w:val="superscript"/>
          </w:rPr>
          <w:t>1</w:t>
        </w:r>
        <w:r w:rsidRPr="00076A87">
          <w:rPr>
            <w:rFonts w:ascii="Arial" w:eastAsia="Calibri" w:hAnsi="Arial" w:cs="Arial"/>
            <w:sz w:val="22"/>
            <w:szCs w:val="24"/>
          </w:rPr>
          <w:fldChar w:fldCharType="end"/>
        </w:r>
      </w:hyperlink>
      <w:r w:rsidRPr="00076A87">
        <w:rPr>
          <w:rFonts w:ascii="Arial" w:eastAsia="Calibri" w:hAnsi="Arial" w:cs="Arial"/>
          <w:sz w:val="22"/>
          <w:szCs w:val="24"/>
        </w:rPr>
        <w:t>. Undiagnosed and poorly controlled diabetes and progressive CKD contribute to excess hospital care for Aboriginal and Torres Strait Islander people, and have devastating impacts on individuals, families, communities and economies. Early clinical markers of diabetes and CKD often co-exist with overweight, cardiovascular disease risk markers</w:t>
      </w:r>
      <w:hyperlink w:anchor="_ENREF_2" w:tooltip="Leonard, 2002 #73" w:history="1">
        <w:r w:rsidRPr="00076A87">
          <w:rPr>
            <w:rFonts w:ascii="Arial" w:eastAsia="Calibri" w:hAnsi="Arial" w:cs="Arial"/>
            <w:sz w:val="22"/>
            <w:szCs w:val="24"/>
          </w:rPr>
          <w:fldChar w:fldCharType="begin">
            <w:fldData xml:space="preserve">PEVuZE5vdGU+PENpdGU+PEF1dGhvcj5MZW9uYXJkPC9BdXRob3I+PFllYXI+MjAwMjwvWWVhcj48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</w:fldData>
          </w:fldChar>
        </w:r>
        <w:r w:rsidRPr="00076A87">
          <w:rPr>
            <w:rFonts w:ascii="Arial" w:eastAsia="Calibri" w:hAnsi="Arial" w:cs="Arial"/>
            <w:sz w:val="22"/>
            <w:szCs w:val="24"/>
          </w:rPr>
          <w:instrText xml:space="preserve"> ADDIN EN.CITE </w:instrText>
        </w:r>
        <w:r w:rsidRPr="00076A87">
          <w:rPr>
            <w:rFonts w:ascii="Arial" w:eastAsia="Calibri" w:hAnsi="Arial" w:cs="Arial"/>
            <w:sz w:val="22"/>
            <w:szCs w:val="24"/>
          </w:rPr>
          <w:fldChar w:fldCharType="begin">
            <w:fldData xml:space="preserve">PEVuZE5vdGU+PENpdGU+PEF1dGhvcj5MZW9uYXJkPC9BdXRob3I+PFllYXI+MjAwMjwvWWVhcj48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</w:fldData>
          </w:fldChar>
        </w:r>
        <w:r w:rsidRPr="00076A87">
          <w:rPr>
            <w:rFonts w:ascii="Arial" w:eastAsia="Calibri" w:hAnsi="Arial" w:cs="Arial"/>
            <w:sz w:val="22"/>
            <w:szCs w:val="24"/>
          </w:rPr>
          <w:instrText xml:space="preserve"> ADDIN EN.CITE.DATA </w:instrText>
        </w:r>
        <w:r w:rsidRPr="00076A87">
          <w:rPr>
            <w:rFonts w:ascii="Arial" w:eastAsia="Calibri" w:hAnsi="Arial" w:cs="Arial"/>
            <w:sz w:val="22"/>
            <w:szCs w:val="24"/>
          </w:rPr>
        </w:r>
        <w:r w:rsidRPr="00076A87">
          <w:rPr>
            <w:rFonts w:ascii="Arial" w:eastAsia="Calibri" w:hAnsi="Arial" w:cs="Arial"/>
            <w:sz w:val="22"/>
            <w:szCs w:val="24"/>
          </w:rPr>
          <w:fldChar w:fldCharType="end"/>
        </w:r>
        <w:r w:rsidRPr="00076A87">
          <w:rPr>
            <w:rFonts w:ascii="Arial" w:eastAsia="Calibri" w:hAnsi="Arial" w:cs="Arial"/>
            <w:sz w:val="22"/>
            <w:szCs w:val="24"/>
          </w:rPr>
        </w:r>
        <w:r w:rsidRPr="00076A87">
          <w:rPr>
            <w:rFonts w:ascii="Arial" w:eastAsia="Calibri" w:hAnsi="Arial" w:cs="Arial"/>
            <w:sz w:val="22"/>
            <w:szCs w:val="24"/>
          </w:rPr>
          <w:fldChar w:fldCharType="separate"/>
        </w:r>
        <w:r w:rsidRPr="00076A87">
          <w:rPr>
            <w:rFonts w:ascii="Arial" w:eastAsia="Calibri" w:hAnsi="Arial" w:cs="Arial"/>
            <w:noProof/>
            <w:sz w:val="22"/>
            <w:szCs w:val="24"/>
            <w:vertAlign w:val="superscript"/>
          </w:rPr>
          <w:t>2</w:t>
        </w:r>
        <w:r w:rsidRPr="00076A87">
          <w:rPr>
            <w:rFonts w:ascii="Arial" w:eastAsia="Calibri" w:hAnsi="Arial" w:cs="Arial"/>
            <w:sz w:val="22"/>
            <w:szCs w:val="24"/>
          </w:rPr>
          <w:fldChar w:fldCharType="end"/>
        </w:r>
      </w:hyperlink>
      <w:r w:rsidRPr="00076A87">
        <w:rPr>
          <w:rFonts w:ascii="Arial" w:eastAsia="Calibri" w:hAnsi="Arial" w:cs="Arial"/>
          <w:sz w:val="22"/>
          <w:szCs w:val="24"/>
        </w:rPr>
        <w:t xml:space="preserve"> and chronic infections</w:t>
      </w:r>
      <w:hyperlink w:anchor="_ENREF_3" w:tooltip="McDonald, 2004 #40" w:history="1">
        <w:r w:rsidRPr="00076A87">
          <w:rPr>
            <w:rFonts w:ascii="Arial" w:eastAsia="Calibri" w:hAnsi="Arial" w:cs="Arial"/>
            <w:sz w:val="22"/>
            <w:szCs w:val="24"/>
          </w:rPr>
          <w:fldChar w:fldCharType="begin">
            <w:fldData xml:space="preserve">PEVuZE5vdGU+PENpdGU+PEF1dGhvcj5NY0RvbmFsZDwvQXV0aG9yPjxZZWFyPjIwMDQ8L1llYXI+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</w:fldData>
          </w:fldChar>
        </w:r>
        <w:r w:rsidRPr="00076A87">
          <w:rPr>
            <w:rFonts w:ascii="Arial" w:eastAsia="Calibri" w:hAnsi="Arial" w:cs="Arial"/>
            <w:sz w:val="22"/>
            <w:szCs w:val="24"/>
          </w:rPr>
          <w:instrText xml:space="preserve"> ADDIN EN.CITE </w:instrText>
        </w:r>
        <w:r w:rsidRPr="00076A87">
          <w:rPr>
            <w:rFonts w:ascii="Arial" w:eastAsia="Calibri" w:hAnsi="Arial" w:cs="Arial"/>
            <w:sz w:val="22"/>
            <w:szCs w:val="24"/>
          </w:rPr>
          <w:fldChar w:fldCharType="begin">
            <w:fldData xml:space="preserve">PEVuZE5vdGU+PENpdGU+PEF1dGhvcj5NY0RvbmFsZDwvQXV0aG9yPjxZZWFyPjIwMDQ8L1llYXI+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</w:fldData>
          </w:fldChar>
        </w:r>
        <w:r w:rsidRPr="00076A87">
          <w:rPr>
            <w:rFonts w:ascii="Arial" w:eastAsia="Calibri" w:hAnsi="Arial" w:cs="Arial"/>
            <w:sz w:val="22"/>
            <w:szCs w:val="24"/>
          </w:rPr>
          <w:instrText xml:space="preserve"> ADDIN EN.CITE.DATA </w:instrText>
        </w:r>
        <w:r w:rsidRPr="00076A87">
          <w:rPr>
            <w:rFonts w:ascii="Arial" w:eastAsia="Calibri" w:hAnsi="Arial" w:cs="Arial"/>
            <w:sz w:val="22"/>
            <w:szCs w:val="24"/>
          </w:rPr>
        </w:r>
        <w:r w:rsidRPr="00076A87">
          <w:rPr>
            <w:rFonts w:ascii="Arial" w:eastAsia="Calibri" w:hAnsi="Arial" w:cs="Arial"/>
            <w:sz w:val="22"/>
            <w:szCs w:val="24"/>
          </w:rPr>
          <w:fldChar w:fldCharType="end"/>
        </w:r>
        <w:r w:rsidRPr="00076A87">
          <w:rPr>
            <w:rFonts w:ascii="Arial" w:eastAsia="Calibri" w:hAnsi="Arial" w:cs="Arial"/>
            <w:sz w:val="22"/>
            <w:szCs w:val="24"/>
          </w:rPr>
        </w:r>
        <w:r w:rsidRPr="00076A87">
          <w:rPr>
            <w:rFonts w:ascii="Arial" w:eastAsia="Calibri" w:hAnsi="Arial" w:cs="Arial"/>
            <w:sz w:val="22"/>
            <w:szCs w:val="24"/>
          </w:rPr>
          <w:fldChar w:fldCharType="separate"/>
        </w:r>
        <w:r w:rsidRPr="00076A87">
          <w:rPr>
            <w:rFonts w:ascii="Arial" w:eastAsia="Calibri" w:hAnsi="Arial" w:cs="Arial"/>
            <w:noProof/>
            <w:sz w:val="22"/>
            <w:szCs w:val="24"/>
            <w:vertAlign w:val="superscript"/>
          </w:rPr>
          <w:t>3-5</w:t>
        </w:r>
        <w:r w:rsidRPr="00076A87">
          <w:rPr>
            <w:rFonts w:ascii="Arial" w:eastAsia="Calibri" w:hAnsi="Arial" w:cs="Arial"/>
            <w:sz w:val="22"/>
            <w:szCs w:val="24"/>
          </w:rPr>
          <w:fldChar w:fldCharType="end"/>
        </w:r>
      </w:hyperlink>
      <w:r w:rsidRPr="00076A87">
        <w:rPr>
          <w:rFonts w:ascii="Arial" w:eastAsia="Calibri" w:hAnsi="Arial" w:cs="Arial"/>
          <w:sz w:val="22"/>
          <w:szCs w:val="24"/>
        </w:rPr>
        <w:t xml:space="preserve"> and inflammation</w:t>
      </w:r>
      <w:hyperlink w:anchor="_ENREF_6" w:tooltip="Barr, 2018 #227" w:history="1">
        <w:r w:rsidRPr="00076A87">
          <w:rPr>
            <w:rFonts w:ascii="Arial" w:eastAsia="Calibri" w:hAnsi="Arial" w:cs="Arial"/>
            <w:sz w:val="22"/>
            <w:szCs w:val="24"/>
          </w:rPr>
          <w:fldChar w:fldCharType="begin"/>
        </w:r>
        <w:r w:rsidRPr="00076A87">
          <w:rPr>
            <w:rFonts w:ascii="Arial" w:eastAsia="Calibri" w:hAnsi="Arial" w:cs="Arial"/>
            <w:sz w:val="22"/>
            <w:szCs w:val="24"/>
          </w:rPr>
          <w:instrText xml:space="preserve"> ADDIN EN.CITE &lt;EndNote&gt;&lt;Cite&gt;&lt;Author&gt;Barr&lt;/Author&gt;&lt;Year&gt;2018&lt;/Year&gt;&lt;RecNum&gt;227&lt;/RecNum&gt;&lt;DisplayText&gt;&lt;style face="superscript"&gt;6&lt;/style&gt;&lt;/DisplayText&gt;&lt;record&gt;&lt;rec-number&gt;227&lt;/rec-number&gt;&lt;foreign-keys&gt;&lt;key app="EN" db-id="ppsa5afdwr0ds7edxvivfdw35r2wes9fde50" timestamp="1517184019"&gt;227&lt;/key&gt;&lt;/foreign-keys&gt;&lt;ref-type name="Journal Article"&gt;17&lt;/ref-type&gt;&lt;contributors&gt;&lt;authors&gt;&lt;author&gt;Barr, Elizabeth L. M.&lt;/author&gt;&lt;author&gt;Barzi, Federica&lt;/author&gt;&lt;author&gt;Hughes, Jaquelyne T.&lt;/author&gt;&lt;author&gt;Jerums, George&lt;/author&gt;&lt;author&gt;Hoy, Wendy E.&lt;/author&gt;&lt;author&gt;O’Dea, Kerin&lt;/author&gt;&lt;author&gt;Jones, Graham&lt;/author&gt;&lt;author&gt;Lawton, Paul D.&lt;/author&gt;&lt;author&gt;Brown, Alex D. H.&lt;/author&gt;&lt;author&gt;Thomas, Mark&lt;/author&gt;&lt;author&gt;Ekinci, Elif I.&lt;/author&gt;&lt;author&gt;Sinha, Ashim&lt;/author&gt;&lt;author&gt;Cass, Alan&lt;/author&gt;&lt;author&gt;MacIsaac, Richard J.&lt;/author&gt;&lt;author&gt;Maple-Brown, Louise J.&lt;/author&gt;&lt;/authors&gt;&lt;/contributors&gt;&lt;titles&gt;&lt;title&gt;High Baseline Levels of Tumor Necrosis Factor Receptor 1 Are Associated With Progression of Kidney Disease in Indigenous Australians With Diabetes: The eGFR Follow-up Study&lt;/title&gt;&lt;secondary-title&gt;Diabetes Care&lt;/secondary-title&gt;&lt;/titles&gt;&lt;periodical&gt;&lt;full-title&gt;Diabetes Care&lt;/full-title&gt;&lt;/periodical&gt;&lt;dates&gt;&lt;year&gt;2018&lt;/year&gt;&lt;/dates&gt;&lt;work-type&gt;10.2337/dc17-1919&lt;/work-type&gt;&lt;urls&gt;&lt;related-urls&gt;&lt;url&gt;http://care.diabetesjournals.org/content/early/2018/01/23/dc17-1919.abstract&lt;/url&gt;&lt;/related-urls&gt;&lt;/urls&gt;&lt;/record&gt;&lt;/Cite&gt;&lt;/EndNote&gt;</w:instrText>
        </w:r>
        <w:r w:rsidRPr="00076A87">
          <w:rPr>
            <w:rFonts w:ascii="Arial" w:eastAsia="Calibri" w:hAnsi="Arial" w:cs="Arial"/>
            <w:sz w:val="22"/>
            <w:szCs w:val="24"/>
          </w:rPr>
          <w:fldChar w:fldCharType="separate"/>
        </w:r>
        <w:r w:rsidRPr="00076A87">
          <w:rPr>
            <w:rFonts w:ascii="Arial" w:eastAsia="Calibri" w:hAnsi="Arial" w:cs="Arial"/>
            <w:noProof/>
            <w:sz w:val="22"/>
            <w:szCs w:val="24"/>
            <w:vertAlign w:val="superscript"/>
          </w:rPr>
          <w:t>6</w:t>
        </w:r>
        <w:r w:rsidRPr="00076A87">
          <w:rPr>
            <w:rFonts w:ascii="Arial" w:eastAsia="Calibri" w:hAnsi="Arial" w:cs="Arial"/>
            <w:sz w:val="22"/>
            <w:szCs w:val="24"/>
          </w:rPr>
          <w:fldChar w:fldCharType="end"/>
        </w:r>
      </w:hyperlink>
      <w:r w:rsidRPr="00076A87">
        <w:rPr>
          <w:rFonts w:ascii="Arial" w:eastAsia="Calibri" w:hAnsi="Arial" w:cs="Arial"/>
          <w:sz w:val="22"/>
          <w:szCs w:val="24"/>
        </w:rPr>
        <w:t>, and low socio-economic status</w:t>
      </w:r>
      <w:r w:rsidRPr="00076A87">
        <w:rPr>
          <w:rFonts w:ascii="Arial" w:eastAsia="Calibri" w:hAnsi="Arial" w:cs="Arial"/>
          <w:sz w:val="22"/>
          <w:szCs w:val="24"/>
        </w:rPr>
        <w:fldChar w:fldCharType="begin">
          <w:fldData xml:space="preserve">PEVuZE5vdGU+PENpdGU+PEF1dGhvcj5IdWdoZXM8L0F1dGhvcj48WWVhcj4yMDE4PC9ZZWFyPjxS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</w:fldData>
        </w:fldChar>
      </w:r>
      <w:r w:rsidRPr="00076A87">
        <w:rPr>
          <w:rFonts w:ascii="Arial" w:eastAsia="Calibri" w:hAnsi="Arial" w:cs="Arial"/>
          <w:sz w:val="22"/>
          <w:szCs w:val="24"/>
        </w:rPr>
        <w:instrText xml:space="preserve"> ADDIN EN.CITE </w:instrText>
      </w:r>
      <w:r w:rsidRPr="00076A87">
        <w:rPr>
          <w:rFonts w:ascii="Arial" w:eastAsia="Calibri" w:hAnsi="Arial" w:cs="Arial"/>
          <w:sz w:val="22"/>
          <w:szCs w:val="24"/>
        </w:rPr>
        <w:fldChar w:fldCharType="begin">
          <w:fldData xml:space="preserve">PEVuZE5vdGU+PENpdGU+PEF1dGhvcj5IdWdoZXM8L0F1dGhvcj48WWVhcj4yMDE4PC9ZZWFyPjxS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</w:fldData>
        </w:fldChar>
      </w:r>
      <w:r w:rsidRPr="00076A87">
        <w:rPr>
          <w:rFonts w:ascii="Arial" w:eastAsia="Calibri" w:hAnsi="Arial" w:cs="Arial"/>
          <w:sz w:val="22"/>
          <w:szCs w:val="24"/>
        </w:rPr>
        <w:instrText xml:space="preserve"> ADDIN EN.CITE.DATA </w:instrText>
      </w:r>
      <w:r w:rsidRPr="00076A87">
        <w:rPr>
          <w:rFonts w:ascii="Arial" w:eastAsia="Calibri" w:hAnsi="Arial" w:cs="Arial"/>
          <w:sz w:val="22"/>
          <w:szCs w:val="24"/>
        </w:rPr>
      </w:r>
      <w:r w:rsidRPr="00076A87">
        <w:rPr>
          <w:rFonts w:ascii="Arial" w:eastAsia="Calibri" w:hAnsi="Arial" w:cs="Arial"/>
          <w:sz w:val="22"/>
          <w:szCs w:val="24"/>
        </w:rPr>
        <w:fldChar w:fldCharType="end"/>
      </w:r>
      <w:r w:rsidRPr="00076A87">
        <w:rPr>
          <w:rFonts w:ascii="Arial" w:eastAsia="Calibri" w:hAnsi="Arial" w:cs="Arial"/>
          <w:sz w:val="22"/>
          <w:szCs w:val="24"/>
        </w:rPr>
      </w:r>
      <w:r w:rsidRPr="00076A87">
        <w:rPr>
          <w:rFonts w:ascii="Arial" w:eastAsia="Calibri" w:hAnsi="Arial" w:cs="Arial"/>
          <w:sz w:val="22"/>
          <w:szCs w:val="24"/>
        </w:rPr>
        <w:fldChar w:fldCharType="separate"/>
      </w:r>
      <w:hyperlink w:anchor="_ENREF_7" w:tooltip="Hughes, 2018 #220" w:history="1">
        <w:r w:rsidRPr="00076A87">
          <w:rPr>
            <w:rFonts w:ascii="Arial" w:eastAsia="Calibri" w:hAnsi="Arial" w:cs="Arial"/>
            <w:noProof/>
            <w:sz w:val="22"/>
            <w:szCs w:val="24"/>
            <w:vertAlign w:val="superscript"/>
          </w:rPr>
          <w:t>7</w:t>
        </w:r>
      </w:hyperlink>
      <w:r w:rsidRPr="00076A87">
        <w:rPr>
          <w:rFonts w:ascii="Arial" w:eastAsia="Calibri" w:hAnsi="Arial" w:cs="Arial"/>
          <w:noProof/>
          <w:sz w:val="22"/>
          <w:szCs w:val="24"/>
          <w:vertAlign w:val="superscript"/>
        </w:rPr>
        <w:t xml:space="preserve">, </w:t>
      </w:r>
      <w:hyperlink w:anchor="_ENREF_8" w:tooltip="Ritte, 2017 #1718" w:history="1">
        <w:r w:rsidRPr="00076A87">
          <w:rPr>
            <w:rFonts w:ascii="Arial" w:eastAsia="Calibri" w:hAnsi="Arial" w:cs="Arial"/>
            <w:noProof/>
            <w:sz w:val="22"/>
            <w:szCs w:val="24"/>
            <w:vertAlign w:val="superscript"/>
          </w:rPr>
          <w:t>8</w:t>
        </w:r>
      </w:hyperlink>
      <w:r w:rsidRPr="00076A87">
        <w:rPr>
          <w:rFonts w:ascii="Arial" w:eastAsia="Calibri" w:hAnsi="Arial" w:cs="Arial"/>
          <w:sz w:val="22"/>
          <w:szCs w:val="24"/>
        </w:rPr>
        <w:fldChar w:fldCharType="end"/>
      </w:r>
      <w:r w:rsidRPr="00076A87">
        <w:rPr>
          <w:rFonts w:ascii="Arial" w:eastAsia="Calibri" w:hAnsi="Arial" w:cs="Arial"/>
          <w:sz w:val="22"/>
          <w:szCs w:val="24"/>
        </w:rPr>
        <w:t>.  Episodes of chronic infection</w:t>
      </w:r>
      <w:hyperlink w:anchor="_ENREF_9" w:tooltip=",  #198" w:history="1">
        <w:r w:rsidRPr="00076A87">
          <w:rPr>
            <w:rFonts w:ascii="Arial" w:eastAsia="Calibri" w:hAnsi="Arial" w:cs="Arial"/>
            <w:sz w:val="22"/>
            <w:szCs w:val="24"/>
          </w:rPr>
          <w:fldChar w:fldCharType="begin"/>
        </w:r>
        <w:r w:rsidRPr="00076A87">
          <w:rPr>
            <w:rFonts w:ascii="Arial" w:eastAsia="Calibri" w:hAnsi="Arial" w:cs="Arial"/>
            <w:sz w:val="22"/>
            <w:szCs w:val="24"/>
          </w:rPr>
          <w:instrText xml:space="preserve"> ADDIN EN.CITE &lt;EndNote&gt;&lt;Cite ExcludeAuth="1" ExcludeYear="1"&gt;&lt;RecNum&gt;198&lt;/RecNum&gt;&lt;DisplayText&gt;&lt;style face="superscript"&gt;9&lt;/style&gt;&lt;/DisplayText&gt;&lt;record&gt;&lt;rec-number&gt;198&lt;/rec-number&gt;&lt;foreign-keys&gt;&lt;key app="EN" db-id="ppsa5afdwr0ds7edxvivfdw35r2wes9fde50" timestamp="1505438109"&gt;198&lt;/key&gt;&lt;/foreign-keys&gt;&lt;ref-type name="Journal Article"&gt;17&lt;/ref-type&gt;&lt;contributors&gt;&lt;/contributors&gt;&lt;titles&gt;&lt;title&gt;JT Hughes, O Aye-Min, SW Majoni, BJ Currie, H Hall, R Kirkham. Delayed resolution of an extensive dermatophyte infection: client and clinician perceptions of treatment response in an adult dependent on haemodialysis. (2017), Posters. Nephrology, 22: 51–92. doi:10.1111/nep.13105&lt;/title&gt;&lt;/titles&gt;&lt;dates&gt;&lt;/dates&gt;&lt;urls&gt;&lt;/urls&gt;&lt;/record&gt;&lt;/Cite&gt;&lt;/EndNote&gt;</w:instrText>
        </w:r>
        <w:r w:rsidRPr="00076A87">
          <w:rPr>
            <w:rFonts w:ascii="Arial" w:eastAsia="Calibri" w:hAnsi="Arial" w:cs="Arial"/>
            <w:sz w:val="22"/>
            <w:szCs w:val="24"/>
          </w:rPr>
          <w:fldChar w:fldCharType="separate"/>
        </w:r>
        <w:r w:rsidRPr="00076A87">
          <w:rPr>
            <w:rFonts w:ascii="Arial" w:eastAsia="Calibri" w:hAnsi="Arial" w:cs="Arial"/>
            <w:noProof/>
            <w:sz w:val="22"/>
            <w:szCs w:val="24"/>
            <w:vertAlign w:val="superscript"/>
          </w:rPr>
          <w:t>9</w:t>
        </w:r>
        <w:r w:rsidRPr="00076A87">
          <w:rPr>
            <w:rFonts w:ascii="Arial" w:eastAsia="Calibri" w:hAnsi="Arial" w:cs="Arial"/>
            <w:sz w:val="22"/>
            <w:szCs w:val="24"/>
          </w:rPr>
          <w:fldChar w:fldCharType="end"/>
        </w:r>
      </w:hyperlink>
      <w:r w:rsidRPr="00076A87">
        <w:rPr>
          <w:rFonts w:ascii="Arial" w:eastAsia="Calibri" w:hAnsi="Arial" w:cs="Arial"/>
          <w:sz w:val="22"/>
          <w:szCs w:val="24"/>
        </w:rPr>
        <w:t xml:space="preserve"> and acute infection with sepsis</w:t>
      </w:r>
      <w:hyperlink w:anchor="_ENREF_10" w:tooltip="Hughes, 2017 #254" w:history="1">
        <w:r w:rsidRPr="00076A87">
          <w:rPr>
            <w:rFonts w:ascii="Arial" w:eastAsia="Calibri" w:hAnsi="Arial" w:cs="Arial"/>
            <w:sz w:val="22"/>
            <w:szCs w:val="24"/>
          </w:rPr>
          <w:fldChar w:fldCharType="begin"/>
        </w:r>
        <w:r w:rsidRPr="00076A87">
          <w:rPr>
            <w:rFonts w:ascii="Arial" w:eastAsia="Calibri" w:hAnsi="Arial" w:cs="Arial"/>
            <w:sz w:val="22"/>
            <w:szCs w:val="24"/>
          </w:rPr>
          <w:instrText xml:space="preserve"> ADDIN EN.CITE &lt;EndNote&gt;&lt;Cite&gt;&lt;Author&gt;Hughes&lt;/Author&gt;&lt;Year&gt;2017&lt;/Year&gt;&lt;RecNum&gt;254&lt;/RecNum&gt;&lt;DisplayText&gt;&lt;style face="superscript"&gt;10&lt;/style&gt;&lt;/DisplayText&gt;&lt;record&gt;&lt;rec-number&gt;254&lt;/rec-number&gt;&lt;foreign-keys&gt;&lt;key app="EN" db-id="ppsa5afdwr0ds7edxvivfdw35r2wes9fde50" timestamp="1545006936"&gt;254&lt;/key&gt;&lt;/foreign-keys&gt;&lt;ref-type name="Journal Article"&gt;17&lt;/ref-type&gt;&lt;contributors&gt;&lt;authors&gt;&lt;author&gt;Hughes, JT&lt;/author&gt;&lt;author&gt;Majoni, SW&lt;/author&gt;&lt;author&gt;Barzi, F&lt;/author&gt;&lt;author&gt;Signal, S&lt;/author&gt;&lt;author&gt;Kapojos, J&lt;/author&gt;&lt;author&gt;Abeyaratne, A&lt;/author&gt;&lt;author&gt;Sundaram, M&lt;/author&gt;&lt;author&gt;Goldrick, P&lt;/author&gt;&lt;author&gt;Jones, SL&lt;/author&gt;&lt;author&gt;McFarlane, R&lt;/author&gt;&lt;author&gt;Campbell, LT&lt;/author&gt;&lt;author&gt;Stephens, D&lt;/author&gt;&lt;author&gt;Cass, A&lt;/author&gt;&lt;/authors&gt;&lt;/contributors&gt;&lt;titles&gt;&lt;title&gt;Characteristics of clients at incident haemodialysis treatment: a retrospective audit in a northern Australian hospital&lt;/title&gt;&lt;secondary-title&gt;Nephrology&lt;/secondary-title&gt;&lt;/titles&gt;&lt;periodical&gt;&lt;full-title&gt;Nephrology&lt;/full-title&gt;&lt;/periodical&gt;&lt;pages&gt;78&lt;/pages&gt;&lt;volume&gt;22&lt;/volume&gt;&lt;number&gt;S3&lt;/number&gt;&lt;dates&gt;&lt;year&gt;2017&lt;/year&gt;&lt;/dates&gt;&lt;urls&gt;&lt;/urls&gt;&lt;research-notes&gt;CHARACTERISTICS OF CLIENTS AT INCIDENT HAEMODIALYSIS TREATMENT: A RETROSPECTIVE AUDIT IN A NORTHERN AUSTRALIAN HOSPITAL&amp;#xD;JT HUGHES1,2, SW MAJONI1,2,3, F BARZI1, S SIGNAL2, J KAPOJOS2, A ABEYARATNE2, M SUNDARAM2, P GOLDRICK4, SL JONES4, R MCFARLANE5, LT CAMPBELL3, D STEPHENS3,4, A CASS1&amp;#xD;1Menzies School of Health Research, Charles Darwin University, Darwin, Northern Territory, 2Department of Nephrology, Division of Medicine, Royal Darwin Hospital, Northern Territory; 3Northern Territory Clinical School, Flinders University, Darwin, Northern Territory; 4Intensive Care Unit, Royal Darwin Hospital; 5Chemical Pathology, Territory Pathology, Department of Health, Darwin, Northern Territory&lt;/research-notes&gt;&lt;/record&gt;&lt;/Cite&gt;&lt;/EndNote&gt;</w:instrText>
        </w:r>
        <w:r w:rsidRPr="00076A87">
          <w:rPr>
            <w:rFonts w:ascii="Arial" w:eastAsia="Calibri" w:hAnsi="Arial" w:cs="Arial"/>
            <w:sz w:val="22"/>
            <w:szCs w:val="24"/>
          </w:rPr>
          <w:fldChar w:fldCharType="separate"/>
        </w:r>
        <w:r w:rsidRPr="00076A87">
          <w:rPr>
            <w:rFonts w:ascii="Arial" w:eastAsia="Calibri" w:hAnsi="Arial" w:cs="Arial"/>
            <w:noProof/>
            <w:sz w:val="22"/>
            <w:szCs w:val="24"/>
            <w:vertAlign w:val="superscript"/>
          </w:rPr>
          <w:t>10</w:t>
        </w:r>
        <w:r w:rsidRPr="00076A87">
          <w:rPr>
            <w:rFonts w:ascii="Arial" w:eastAsia="Calibri" w:hAnsi="Arial" w:cs="Arial"/>
            <w:sz w:val="22"/>
            <w:szCs w:val="24"/>
          </w:rPr>
          <w:fldChar w:fldCharType="end"/>
        </w:r>
      </w:hyperlink>
      <w:r w:rsidRPr="00076A87">
        <w:rPr>
          <w:rFonts w:ascii="Arial" w:eastAsia="Calibri" w:hAnsi="Arial" w:cs="Arial"/>
          <w:sz w:val="22"/>
          <w:szCs w:val="24"/>
        </w:rPr>
        <w:t xml:space="preserve"> may contribute to acute kidney injury and explain rapidly progressive CKD and dialysis initiation</w:t>
      </w:r>
      <w:hyperlink w:anchor="_ENREF_11" w:tooltip="Holwell, 2017 #136" w:history="1">
        <w:r w:rsidRPr="00076A87">
          <w:rPr>
            <w:rFonts w:ascii="Arial" w:eastAsia="Calibri" w:hAnsi="Arial" w:cs="Arial"/>
            <w:sz w:val="22"/>
            <w:szCs w:val="24"/>
          </w:rPr>
          <w:fldChar w:fldCharType="begin"/>
        </w:r>
        <w:r w:rsidRPr="00076A87">
          <w:rPr>
            <w:rFonts w:ascii="Arial" w:eastAsia="Calibri" w:hAnsi="Arial" w:cs="Arial"/>
            <w:sz w:val="22"/>
            <w:szCs w:val="24"/>
          </w:rPr>
          <w:instrText xml:space="preserve"> ADDIN EN.CITE &lt;EndNote&gt;&lt;Cite&gt;&lt;Author&gt;Holwell&lt;/Author&gt;&lt;Year&gt;2017&lt;/Year&gt;&lt;RecNum&gt;136&lt;/RecNum&gt;&lt;DisplayText&gt;&lt;style face="superscript"&gt;11&lt;/style&gt;&lt;/DisplayText&gt;&lt;record&gt;&lt;rec-number&gt;136&lt;/rec-number&gt;&lt;foreign-keys&gt;&lt;key app="EN" db-id="ppsa5afdwr0ds7edxvivfdw35r2wes9fde50" timestamp="1483678779"&gt;136&lt;/key&gt;&lt;/foreign-keys&gt;&lt;ref-type name="Journal Article"&gt;17&lt;/ref-type&gt;&lt;contributors&gt;&lt;authors&gt;&lt;author&gt;Holwell, AJ&lt;/author&gt;&lt;author&gt;Cherian, S&lt;/author&gt;&lt;author&gt;Barzi, F&lt;/author&gt;&lt;author&gt;Brady, S&lt;/author&gt;&lt;author&gt;Hughes, JT&lt;/author&gt;&lt;/authors&gt;&lt;/contributors&gt;&lt;titles&gt;&lt;title&gt;Rapid progression of chronic kidney disease in five years prior to haemodialysis initiation in Central Australia&lt;/title&gt;&lt;secondary-title&gt;The Renal Society of Australasia Journal&lt;/secondary-title&gt;&lt;/titles&gt;&lt;periodical&gt;&lt;full-title&gt;The Renal Society of Australasia Journal&lt;/full-title&gt;&lt;/periodical&gt;&lt;pages&gt;5-8&lt;/pages&gt;&lt;volume&gt;13&lt;/volume&gt;&lt;number&gt;1&lt;/number&gt;&lt;dates&gt;&lt;year&gt;2017&lt;/year&gt;&lt;pub-dates&gt;&lt;date&gt;March 2017&lt;/date&gt;&lt;/pub-dates&gt;&lt;/dates&gt;&lt;isbn&gt;18323804&lt;/isbn&gt;&lt;urls&gt;&lt;/urls&gt;&lt;/record&gt;&lt;/Cite&gt;&lt;/EndNote&gt;</w:instrText>
        </w:r>
        <w:r w:rsidRPr="00076A87">
          <w:rPr>
            <w:rFonts w:ascii="Arial" w:eastAsia="Calibri" w:hAnsi="Arial" w:cs="Arial"/>
            <w:sz w:val="22"/>
            <w:szCs w:val="24"/>
          </w:rPr>
          <w:fldChar w:fldCharType="separate"/>
        </w:r>
        <w:r w:rsidRPr="00076A87">
          <w:rPr>
            <w:rFonts w:ascii="Arial" w:eastAsia="Calibri" w:hAnsi="Arial" w:cs="Arial"/>
            <w:noProof/>
            <w:sz w:val="22"/>
            <w:szCs w:val="24"/>
            <w:vertAlign w:val="superscript"/>
          </w:rPr>
          <w:t>11</w:t>
        </w:r>
        <w:r w:rsidRPr="00076A87">
          <w:rPr>
            <w:rFonts w:ascii="Arial" w:eastAsia="Calibri" w:hAnsi="Arial" w:cs="Arial"/>
            <w:sz w:val="22"/>
            <w:szCs w:val="24"/>
          </w:rPr>
          <w:fldChar w:fldCharType="end"/>
        </w:r>
      </w:hyperlink>
      <w:r w:rsidRPr="00076A87">
        <w:rPr>
          <w:rFonts w:ascii="Arial" w:eastAsia="Calibri" w:hAnsi="Arial" w:cs="Arial"/>
          <w:sz w:val="22"/>
          <w:szCs w:val="24"/>
        </w:rPr>
        <w:t>. Improving communication about kidney health and health treatments is a high priority identified by health care providers and Aboriginal and Torres Strait Islander health care users and communities</w:t>
      </w:r>
      <w:hyperlink w:anchor="_ENREF_12" w:tooltip="Hughes, 2018 #248" w:history="1">
        <w:r w:rsidRPr="00076A87">
          <w:rPr>
            <w:rFonts w:ascii="Arial" w:eastAsia="Calibri" w:hAnsi="Arial" w:cs="Arial"/>
            <w:sz w:val="22"/>
            <w:szCs w:val="24"/>
          </w:rPr>
          <w:fldChar w:fldCharType="begin">
            <w:fldData xml:space="preserve">PEVuZE5vdGU+PENpdGU+PEF1dGhvcj5IdWdoZXM8L0F1dGhvcj48WWVhcj4yMDE4PC9ZZWFyPjxS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</w:fldData>
          </w:fldChar>
        </w:r>
        <w:r w:rsidRPr="00076A87">
          <w:rPr>
            <w:rFonts w:ascii="Arial" w:eastAsia="Calibri" w:hAnsi="Arial" w:cs="Arial"/>
            <w:sz w:val="22"/>
            <w:szCs w:val="24"/>
          </w:rPr>
          <w:instrText xml:space="preserve"> ADDIN EN.CITE </w:instrText>
        </w:r>
        <w:r w:rsidRPr="00076A87">
          <w:rPr>
            <w:rFonts w:ascii="Arial" w:eastAsia="Calibri" w:hAnsi="Arial" w:cs="Arial"/>
            <w:sz w:val="22"/>
            <w:szCs w:val="24"/>
          </w:rPr>
          <w:fldChar w:fldCharType="begin">
            <w:fldData xml:space="preserve">PEVuZE5vdGU+PENpdGU+PEF1dGhvcj5IdWdoZXM8L0F1dGhvcj48WWVhcj4yMDE4PC9ZZWFyPjxS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</w:fldData>
          </w:fldChar>
        </w:r>
        <w:r w:rsidRPr="00076A87">
          <w:rPr>
            <w:rFonts w:ascii="Arial" w:eastAsia="Calibri" w:hAnsi="Arial" w:cs="Arial"/>
            <w:sz w:val="22"/>
            <w:szCs w:val="24"/>
          </w:rPr>
          <w:instrText xml:space="preserve"> ADDIN EN.CITE.DATA </w:instrText>
        </w:r>
        <w:r w:rsidRPr="00076A87">
          <w:rPr>
            <w:rFonts w:ascii="Arial" w:eastAsia="Calibri" w:hAnsi="Arial" w:cs="Arial"/>
            <w:sz w:val="22"/>
            <w:szCs w:val="24"/>
          </w:rPr>
        </w:r>
        <w:r w:rsidRPr="00076A87">
          <w:rPr>
            <w:rFonts w:ascii="Arial" w:eastAsia="Calibri" w:hAnsi="Arial" w:cs="Arial"/>
            <w:sz w:val="22"/>
            <w:szCs w:val="24"/>
          </w:rPr>
          <w:fldChar w:fldCharType="end"/>
        </w:r>
        <w:r w:rsidRPr="00076A87">
          <w:rPr>
            <w:rFonts w:ascii="Arial" w:eastAsia="Calibri" w:hAnsi="Arial" w:cs="Arial"/>
            <w:sz w:val="22"/>
            <w:szCs w:val="24"/>
          </w:rPr>
        </w:r>
        <w:r w:rsidRPr="00076A87">
          <w:rPr>
            <w:rFonts w:ascii="Arial" w:eastAsia="Calibri" w:hAnsi="Arial" w:cs="Arial"/>
            <w:sz w:val="22"/>
            <w:szCs w:val="24"/>
          </w:rPr>
          <w:fldChar w:fldCharType="separate"/>
        </w:r>
        <w:r w:rsidRPr="00076A87">
          <w:rPr>
            <w:rFonts w:ascii="Arial" w:eastAsia="Calibri" w:hAnsi="Arial" w:cs="Arial"/>
            <w:noProof/>
            <w:sz w:val="22"/>
            <w:szCs w:val="24"/>
            <w:vertAlign w:val="superscript"/>
          </w:rPr>
          <w:t>12-15</w:t>
        </w:r>
        <w:r w:rsidRPr="00076A87">
          <w:rPr>
            <w:rFonts w:ascii="Arial" w:eastAsia="Calibri" w:hAnsi="Arial" w:cs="Arial"/>
            <w:sz w:val="22"/>
            <w:szCs w:val="24"/>
          </w:rPr>
          <w:fldChar w:fldCharType="end"/>
        </w:r>
      </w:hyperlink>
      <w:r w:rsidRPr="00076A87">
        <w:rPr>
          <w:rFonts w:ascii="Arial" w:eastAsia="Calibri" w:hAnsi="Arial" w:cs="Arial"/>
          <w:sz w:val="22"/>
          <w:szCs w:val="24"/>
        </w:rPr>
        <w:t xml:space="preserve">. </w:t>
      </w:r>
    </w:p>
    <w:p w14:paraId="264DD401" w14:textId="77777777" w:rsidR="00076A87" w:rsidRPr="00076A87" w:rsidRDefault="00076A87" w:rsidP="00076A87">
      <w:pPr>
        <w:spacing w:after="0"/>
        <w:jc w:val="both"/>
        <w:rPr>
          <w:rFonts w:ascii="Arial" w:eastAsia="Calibri" w:hAnsi="Arial" w:cs="Arial"/>
          <w:sz w:val="22"/>
          <w:szCs w:val="24"/>
        </w:rPr>
      </w:pPr>
    </w:p>
    <w:p w14:paraId="12CAE0D7" w14:textId="77777777" w:rsidR="00076A87" w:rsidRPr="00076A87" w:rsidRDefault="00076A87" w:rsidP="00076A87">
      <w:pPr>
        <w:spacing w:after="0"/>
        <w:jc w:val="both"/>
        <w:rPr>
          <w:rFonts w:ascii="Arial" w:eastAsia="Calibri" w:hAnsi="Arial" w:cs="Arial"/>
          <w:sz w:val="22"/>
          <w:szCs w:val="24"/>
        </w:rPr>
      </w:pPr>
      <w:r w:rsidRPr="00076A87">
        <w:rPr>
          <w:rFonts w:ascii="Arial" w:eastAsia="Calibri" w:hAnsi="Arial" w:cs="Arial"/>
          <w:sz w:val="22"/>
          <w:szCs w:val="24"/>
        </w:rPr>
        <w:t>In Darwin, Thursday Island and Alice Springs, the C-AIR project invited community members with lived-experiences of diabetes and CKD to recommend best practice for kidney health in relation to 1) clinical care and 2) the collection and use of kidney health data</w:t>
      </w:r>
      <w:r w:rsidRPr="00076A87">
        <w:rPr>
          <w:rFonts w:ascii="Arial" w:eastAsia="Calibri" w:hAnsi="Arial" w:cs="Arial"/>
          <w:sz w:val="22"/>
          <w:szCs w:val="24"/>
        </w:rPr>
        <w:fldChar w:fldCharType="begin">
          <w:fldData xml:space="preserve">PEVuZE5vdGU+PENpdGU+PEF1dGhvcj5NaWNrLVJhbXNhbXk8L0F1dGhvcj48WWVhcj4yMDE4PC9Z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</w:fldData>
        </w:fldChar>
      </w:r>
      <w:r w:rsidRPr="00076A87">
        <w:rPr>
          <w:rFonts w:ascii="Arial" w:eastAsia="Calibri" w:hAnsi="Arial" w:cs="Arial"/>
          <w:sz w:val="22"/>
          <w:szCs w:val="24"/>
        </w:rPr>
        <w:instrText xml:space="preserve"> ADDIN EN.CITE </w:instrText>
      </w:r>
      <w:r w:rsidRPr="00076A87">
        <w:rPr>
          <w:rFonts w:ascii="Arial" w:eastAsia="Calibri" w:hAnsi="Arial" w:cs="Arial"/>
          <w:sz w:val="22"/>
          <w:szCs w:val="24"/>
        </w:rPr>
        <w:fldChar w:fldCharType="begin">
          <w:fldData xml:space="preserve">PEVuZE5vdGU+PENpdGU+PEF1dGhvcj5NaWNrLVJhbXNhbXk8L0F1dGhvcj48WWVhcj4yMDE4PC9Z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</w:fldData>
        </w:fldChar>
      </w:r>
      <w:r w:rsidRPr="00076A87">
        <w:rPr>
          <w:rFonts w:ascii="Arial" w:eastAsia="Calibri" w:hAnsi="Arial" w:cs="Arial"/>
          <w:sz w:val="22"/>
          <w:szCs w:val="24"/>
        </w:rPr>
        <w:instrText xml:space="preserve"> ADDIN EN.CITE.DATA </w:instrText>
      </w:r>
      <w:r w:rsidRPr="00076A87">
        <w:rPr>
          <w:rFonts w:ascii="Arial" w:eastAsia="Calibri" w:hAnsi="Arial" w:cs="Arial"/>
          <w:sz w:val="22"/>
          <w:szCs w:val="24"/>
        </w:rPr>
      </w:r>
      <w:r w:rsidRPr="00076A87">
        <w:rPr>
          <w:rFonts w:ascii="Arial" w:eastAsia="Calibri" w:hAnsi="Arial" w:cs="Arial"/>
          <w:sz w:val="22"/>
          <w:szCs w:val="24"/>
        </w:rPr>
        <w:fldChar w:fldCharType="end"/>
      </w:r>
      <w:r w:rsidRPr="00076A87">
        <w:rPr>
          <w:rFonts w:ascii="Arial" w:eastAsia="Calibri" w:hAnsi="Arial" w:cs="Arial"/>
          <w:sz w:val="22"/>
          <w:szCs w:val="24"/>
        </w:rPr>
      </w:r>
      <w:r w:rsidRPr="00076A87">
        <w:rPr>
          <w:rFonts w:ascii="Arial" w:eastAsia="Calibri" w:hAnsi="Arial" w:cs="Arial"/>
          <w:sz w:val="22"/>
          <w:szCs w:val="24"/>
        </w:rPr>
        <w:fldChar w:fldCharType="separate"/>
      </w:r>
      <w:hyperlink w:anchor="_ENREF_12" w:tooltip="Hughes, 2018 #248" w:history="1">
        <w:r w:rsidRPr="00076A87">
          <w:rPr>
            <w:rFonts w:ascii="Arial" w:eastAsia="Calibri" w:hAnsi="Arial" w:cs="Arial"/>
            <w:noProof/>
            <w:sz w:val="22"/>
            <w:szCs w:val="24"/>
            <w:vertAlign w:val="superscript"/>
          </w:rPr>
          <w:t>12</w:t>
        </w:r>
      </w:hyperlink>
      <w:r w:rsidRPr="00076A87">
        <w:rPr>
          <w:rFonts w:ascii="Arial" w:eastAsia="Calibri" w:hAnsi="Arial" w:cs="Arial"/>
          <w:noProof/>
          <w:sz w:val="22"/>
          <w:szCs w:val="24"/>
          <w:vertAlign w:val="superscript"/>
        </w:rPr>
        <w:t xml:space="preserve">, </w:t>
      </w:r>
      <w:hyperlink w:anchor="_ENREF_13" w:tooltip="Hughes, 2018 #247" w:history="1">
        <w:r w:rsidRPr="00076A87">
          <w:rPr>
            <w:rFonts w:ascii="Arial" w:eastAsia="Calibri" w:hAnsi="Arial" w:cs="Arial"/>
            <w:noProof/>
            <w:sz w:val="22"/>
            <w:szCs w:val="24"/>
            <w:vertAlign w:val="superscript"/>
          </w:rPr>
          <w:t>13</w:t>
        </w:r>
      </w:hyperlink>
      <w:r w:rsidRPr="00076A87">
        <w:rPr>
          <w:rFonts w:ascii="Arial" w:eastAsia="Calibri" w:hAnsi="Arial" w:cs="Arial"/>
          <w:noProof/>
          <w:sz w:val="22"/>
          <w:szCs w:val="24"/>
          <w:vertAlign w:val="superscript"/>
        </w:rPr>
        <w:t xml:space="preserve">, </w:t>
      </w:r>
      <w:hyperlink w:anchor="_ENREF_15" w:tooltip="Mick-Ramsamy, 2018 #252" w:history="1">
        <w:r w:rsidRPr="00076A87">
          <w:rPr>
            <w:rFonts w:ascii="Arial" w:eastAsia="Calibri" w:hAnsi="Arial" w:cs="Arial"/>
            <w:noProof/>
            <w:sz w:val="22"/>
            <w:szCs w:val="24"/>
            <w:vertAlign w:val="superscript"/>
          </w:rPr>
          <w:t>15</w:t>
        </w:r>
      </w:hyperlink>
      <w:r w:rsidRPr="00076A87">
        <w:rPr>
          <w:rFonts w:ascii="Arial" w:eastAsia="Calibri" w:hAnsi="Arial" w:cs="Arial"/>
          <w:sz w:val="22"/>
          <w:szCs w:val="24"/>
        </w:rPr>
        <w:fldChar w:fldCharType="end"/>
      </w:r>
      <w:r w:rsidRPr="00076A87">
        <w:rPr>
          <w:rFonts w:ascii="Arial" w:eastAsia="Calibri" w:hAnsi="Arial" w:cs="Arial"/>
          <w:sz w:val="22"/>
          <w:szCs w:val="24"/>
        </w:rPr>
        <w:t xml:space="preserve">.  The consultation meetings have confirmed that data and clinical care are powerfully linked, yet Aboriginal and Torres Strait Islander peoples have been excluded from processes which determine health action priorities, modalities and models of service delivery, decision-making processes and accountability for policy decisions. This feedback is consistent with advice obtained at the 2017 Indigenous Patients Voices Symposium </w:t>
      </w:r>
      <w:hyperlink w:anchor="_ENREF_16" w:tooltip="Hughes, 2018 #230" w:history="1">
        <w:r w:rsidRPr="00076A87">
          <w:rPr>
            <w:rFonts w:ascii="Arial" w:eastAsia="Calibri" w:hAnsi="Arial" w:cs="Arial"/>
            <w:sz w:val="22"/>
            <w:szCs w:val="24"/>
          </w:rPr>
          <w:fldChar w:fldCharType="begin"/>
        </w:r>
        <w:r w:rsidRPr="00076A87">
          <w:rPr>
            <w:rFonts w:ascii="Arial" w:eastAsia="Calibri" w:hAnsi="Arial" w:cs="Arial"/>
            <w:sz w:val="22"/>
            <w:szCs w:val="24"/>
          </w:rPr>
          <w:instrText xml:space="preserve"> ADDIN EN.CITE &lt;EndNote&gt;&lt;Cite&gt;&lt;Author&gt;Hughes&lt;/Author&gt;&lt;Year&gt;2018&lt;/Year&gt;&lt;RecNum&gt;230&lt;/RecNum&gt;&lt;DisplayText&gt;&lt;style face="superscript"&gt;16&lt;/style&gt;&lt;/DisplayText&gt;&lt;record&gt;&lt;rec-number&gt;230&lt;/rec-number&gt;&lt;foreign-keys&gt;&lt;key app="EN" db-id="ppsa5afdwr0ds7edxvivfdw35r2wes9fde50" timestamp="1518476665"&gt;230&lt;/key&gt;&lt;/foreign-keys&gt;&lt;ref-type name="Journal Article"&gt;17&lt;/ref-type&gt;&lt;contributors&gt;&lt;authors&gt;&lt;author&gt;Hughes, JT&lt;/author&gt;&lt;author&gt;Dembski, L&lt;/author&gt;&lt;author&gt;Kerrigan, V&lt;/author&gt;&lt;author&gt;Majoni, SW&lt;/author&gt;&lt;author&gt;Lawton, PD&lt;/author&gt;&lt;author&gt;Cass, A&lt;/author&gt;&lt;/authors&gt;&lt;/contributors&gt;&lt;titles&gt;&lt;title&gt;Indigenous Patient Voices: Gathering Perspectives Finding Solutions for Chronic and End Stage Kidney Disease, 2017 Symposium Report&lt;/title&gt;&lt;secondary-title&gt;Nephrology &lt;/secondary-title&gt;&lt;/titles&gt;&lt;periodical&gt;&lt;full-title&gt;Nephrology&lt;/full-title&gt;&lt;/periodical&gt;&lt;pages&gt;4-12&lt;/pages&gt;&lt;volume&gt;23&lt;/volume&gt;&lt;number&gt;S1&lt;/number&gt;&lt;dates&gt;&lt;year&gt;2018&lt;/year&gt;&lt;/dates&gt;&lt;urls&gt;&lt;/urls&gt;&lt;/record&gt;&lt;/Cite&gt;&lt;/EndNote&gt;</w:instrText>
        </w:r>
        <w:r w:rsidRPr="00076A87">
          <w:rPr>
            <w:rFonts w:ascii="Arial" w:eastAsia="Calibri" w:hAnsi="Arial" w:cs="Arial"/>
            <w:sz w:val="22"/>
            <w:szCs w:val="24"/>
          </w:rPr>
          <w:fldChar w:fldCharType="separate"/>
        </w:r>
        <w:r w:rsidRPr="00076A87">
          <w:rPr>
            <w:rFonts w:ascii="Arial" w:eastAsia="Calibri" w:hAnsi="Arial" w:cs="Arial"/>
            <w:noProof/>
            <w:sz w:val="22"/>
            <w:szCs w:val="24"/>
            <w:vertAlign w:val="superscript"/>
          </w:rPr>
          <w:t>16</w:t>
        </w:r>
        <w:r w:rsidRPr="00076A87">
          <w:rPr>
            <w:rFonts w:ascii="Arial" w:eastAsia="Calibri" w:hAnsi="Arial" w:cs="Arial"/>
            <w:sz w:val="22"/>
            <w:szCs w:val="24"/>
          </w:rPr>
          <w:fldChar w:fldCharType="end"/>
        </w:r>
      </w:hyperlink>
      <w:r w:rsidRPr="00076A87">
        <w:rPr>
          <w:rFonts w:ascii="Arial" w:eastAsia="Calibri" w:hAnsi="Arial" w:cs="Arial"/>
          <w:sz w:val="22"/>
          <w:szCs w:val="24"/>
        </w:rPr>
        <w:t>.</w:t>
      </w:r>
    </w:p>
    <w:p w14:paraId="0C204D9C" w14:textId="77777777" w:rsidR="00076A87" w:rsidRPr="00076A87" w:rsidRDefault="00076A87" w:rsidP="00076A87">
      <w:pPr>
        <w:spacing w:after="0"/>
        <w:jc w:val="both"/>
        <w:rPr>
          <w:rFonts w:ascii="Arial" w:eastAsia="Calibri" w:hAnsi="Arial" w:cs="Arial"/>
          <w:sz w:val="24"/>
          <w:szCs w:val="24"/>
        </w:rPr>
      </w:pPr>
    </w:p>
    <w:p w14:paraId="4E4E014F" w14:textId="77777777" w:rsidR="00076A87" w:rsidRPr="00076A87" w:rsidRDefault="00076A87" w:rsidP="00076A87">
      <w:pPr>
        <w:keepNext/>
        <w:keepLines/>
        <w:spacing w:before="240" w:after="0"/>
        <w:outlineLvl w:val="1"/>
        <w:rPr>
          <w:rFonts w:ascii="Arial" w:eastAsia="Times New Roman" w:hAnsi="Arial" w:cs="Arial"/>
          <w:b/>
          <w:bCs/>
          <w:color w:val="2F5496"/>
          <w:sz w:val="24"/>
          <w:szCs w:val="24"/>
        </w:rPr>
      </w:pPr>
      <w:bookmarkStart w:id="109" w:name="_Toc532805989"/>
      <w:r w:rsidRPr="00076A87">
        <w:rPr>
          <w:rFonts w:ascii="Arial" w:eastAsia="Times New Roman" w:hAnsi="Arial" w:cs="Arial"/>
          <w:b/>
          <w:bCs/>
          <w:color w:val="2F5496"/>
          <w:sz w:val="24"/>
          <w:szCs w:val="24"/>
        </w:rPr>
        <w:t>Consultation approach and key recommendations</w:t>
      </w:r>
      <w:bookmarkEnd w:id="109"/>
    </w:p>
    <w:p w14:paraId="219510EA" w14:textId="77777777" w:rsidR="00076A87" w:rsidRPr="00076A87" w:rsidRDefault="00076A87" w:rsidP="00076A87">
      <w:pPr>
        <w:spacing w:after="0"/>
        <w:jc w:val="both"/>
        <w:rPr>
          <w:rFonts w:ascii="Arial" w:eastAsia="Calibri" w:hAnsi="Arial" w:cs="Arial"/>
          <w:sz w:val="22"/>
          <w:szCs w:val="24"/>
        </w:rPr>
      </w:pPr>
      <w:r w:rsidRPr="00076A87">
        <w:rPr>
          <w:rFonts w:ascii="Arial" w:eastAsia="Calibri" w:hAnsi="Arial" w:cs="Arial"/>
          <w:sz w:val="22"/>
          <w:szCs w:val="24"/>
        </w:rPr>
        <w:t>A consultation process led by Aboriginal and Torres Strait Islander people engaged with patients living with diabetes and kidney disease, carers and family members. The consultation articulated the urgent and unmet need for a community-level focus on prevention/health education, early intervention and brief interventions.</w:t>
      </w:r>
    </w:p>
    <w:p w14:paraId="6EB692FC" w14:textId="77777777" w:rsidR="00076A87" w:rsidRPr="00076A87" w:rsidRDefault="00076A87" w:rsidP="00076A87">
      <w:pPr>
        <w:spacing w:after="0"/>
        <w:jc w:val="both"/>
        <w:rPr>
          <w:rFonts w:ascii="Arial" w:eastAsia="Calibri" w:hAnsi="Arial" w:cs="Arial"/>
          <w:sz w:val="22"/>
          <w:szCs w:val="24"/>
        </w:rPr>
      </w:pPr>
    </w:p>
    <w:p w14:paraId="6D31AD4E" w14:textId="77777777" w:rsidR="00076A87" w:rsidRPr="00076A87" w:rsidRDefault="00076A87" w:rsidP="00076A87">
      <w:pPr>
        <w:spacing w:after="0"/>
        <w:jc w:val="both"/>
        <w:rPr>
          <w:rFonts w:ascii="Arial" w:eastAsia="Calibri" w:hAnsi="Arial" w:cs="Arial"/>
          <w:sz w:val="22"/>
          <w:szCs w:val="24"/>
        </w:rPr>
      </w:pPr>
      <w:r w:rsidRPr="00076A87">
        <w:rPr>
          <w:rFonts w:ascii="Arial" w:eastAsia="Calibri" w:hAnsi="Arial" w:cs="Arial"/>
          <w:sz w:val="22"/>
          <w:szCs w:val="24"/>
        </w:rPr>
        <w:t xml:space="preserve">A new paradigm involving a broader investment is required across the continuum of care in primary, secondary and tertiary health care for our mob at risk of kidney disease.  The new paradigm must encompass community-identified priorities for Aboriginal and Torres Strait Islander diabetes and kidney health in regional and remote Australia, and acknowledge the complex matrix of stakeholders. </w:t>
      </w:r>
    </w:p>
    <w:p w14:paraId="25D26892" w14:textId="77777777" w:rsidR="00076A87" w:rsidRPr="00076A87" w:rsidRDefault="00076A87" w:rsidP="00076A87">
      <w:pPr>
        <w:spacing w:after="0"/>
        <w:jc w:val="both"/>
        <w:rPr>
          <w:rFonts w:ascii="Arial" w:eastAsia="Calibri" w:hAnsi="Arial" w:cs="Arial"/>
          <w:sz w:val="24"/>
          <w:szCs w:val="24"/>
        </w:rPr>
      </w:pPr>
    </w:p>
    <w:p w14:paraId="14027DC9" w14:textId="77777777" w:rsidR="00076A87" w:rsidRPr="00076A87" w:rsidRDefault="00076A87" w:rsidP="00076A87">
      <w:pPr>
        <w:keepNext/>
        <w:keepLines/>
        <w:spacing w:before="240" w:after="0"/>
        <w:outlineLvl w:val="1"/>
        <w:rPr>
          <w:rFonts w:ascii="Arial" w:eastAsia="Times New Roman" w:hAnsi="Arial" w:cs="Arial"/>
          <w:b/>
          <w:bCs/>
          <w:color w:val="2F5496"/>
          <w:sz w:val="24"/>
          <w:szCs w:val="24"/>
        </w:rPr>
      </w:pPr>
      <w:bookmarkStart w:id="110" w:name="_Toc532805990"/>
      <w:r w:rsidRPr="00076A87">
        <w:rPr>
          <w:rFonts w:ascii="Arial" w:eastAsia="Times New Roman" w:hAnsi="Arial" w:cs="Arial"/>
          <w:b/>
          <w:bCs/>
          <w:color w:val="2F5496"/>
          <w:sz w:val="24"/>
          <w:szCs w:val="24"/>
        </w:rPr>
        <w:lastRenderedPageBreak/>
        <w:t>Investment Required</w:t>
      </w:r>
      <w:bookmarkEnd w:id="110"/>
    </w:p>
    <w:p w14:paraId="3EA04C34" w14:textId="77777777" w:rsidR="00076A87" w:rsidRPr="00076A87" w:rsidRDefault="00076A87" w:rsidP="00076A87">
      <w:pPr>
        <w:spacing w:after="0"/>
        <w:jc w:val="both"/>
        <w:rPr>
          <w:rFonts w:ascii="Arial" w:eastAsia="Calibri" w:hAnsi="Arial" w:cs="Arial"/>
          <w:sz w:val="22"/>
          <w:szCs w:val="24"/>
        </w:rPr>
      </w:pPr>
      <w:r w:rsidRPr="00076A87">
        <w:rPr>
          <w:rFonts w:ascii="Arial" w:eastAsia="Calibri" w:hAnsi="Arial" w:cs="Arial"/>
          <w:sz w:val="22"/>
          <w:szCs w:val="24"/>
        </w:rPr>
        <w:t xml:space="preserve">We believe action is needed now to close the gap in renal health. This requires urgent and targeted investment including: </w:t>
      </w:r>
    </w:p>
    <w:p w14:paraId="26984BF9" w14:textId="77777777" w:rsidR="00076A87" w:rsidRPr="00076A87" w:rsidRDefault="00076A87" w:rsidP="00076A87">
      <w:pPr>
        <w:numPr>
          <w:ilvl w:val="0"/>
          <w:numId w:val="126"/>
        </w:numPr>
        <w:spacing w:after="0"/>
        <w:contextualSpacing/>
        <w:jc w:val="both"/>
        <w:rPr>
          <w:rFonts w:ascii="Arial" w:eastAsia="Calibri" w:hAnsi="Arial" w:cs="Arial"/>
          <w:sz w:val="22"/>
          <w:szCs w:val="24"/>
        </w:rPr>
      </w:pPr>
      <w:r w:rsidRPr="00076A87">
        <w:rPr>
          <w:rFonts w:ascii="Arial" w:eastAsia="Calibri" w:hAnsi="Arial" w:cs="Arial"/>
          <w:sz w:val="22"/>
          <w:szCs w:val="24"/>
        </w:rPr>
        <w:t xml:space="preserve">Fund activities to identify and map the cross-sector siloes which impact Aboriginal and Torres Strait Islander renal health in North and Central Australia Define </w:t>
      </w:r>
    </w:p>
    <w:p w14:paraId="3BA74435" w14:textId="77777777" w:rsidR="00076A87" w:rsidRPr="00076A87" w:rsidRDefault="00076A87" w:rsidP="00076A87">
      <w:pPr>
        <w:numPr>
          <w:ilvl w:val="0"/>
          <w:numId w:val="126"/>
        </w:numPr>
        <w:spacing w:after="0"/>
        <w:contextualSpacing/>
        <w:jc w:val="both"/>
        <w:rPr>
          <w:rFonts w:ascii="Arial" w:eastAsia="Calibri" w:hAnsi="Arial" w:cs="Arial"/>
          <w:sz w:val="22"/>
          <w:szCs w:val="24"/>
        </w:rPr>
      </w:pPr>
      <w:r w:rsidRPr="00076A87">
        <w:rPr>
          <w:rFonts w:ascii="Arial" w:eastAsia="Calibri" w:hAnsi="Arial" w:cs="Arial"/>
          <w:sz w:val="22"/>
          <w:szCs w:val="24"/>
        </w:rPr>
        <w:t xml:space="preserve">Agree on a set of measurable key performance indicators targeting close the Gap in Aboriginal and Torres Strait Islander renal health. and a financial investment to collect, monitor and evaluate health outcomes </w:t>
      </w:r>
    </w:p>
    <w:p w14:paraId="1AF07A4D" w14:textId="77777777" w:rsidR="00076A87" w:rsidRPr="00076A87" w:rsidRDefault="00076A87" w:rsidP="00076A87">
      <w:pPr>
        <w:numPr>
          <w:ilvl w:val="0"/>
          <w:numId w:val="126"/>
        </w:numPr>
        <w:contextualSpacing/>
        <w:rPr>
          <w:rFonts w:ascii="Arial" w:eastAsia="Calibri" w:hAnsi="Arial" w:cs="Arial"/>
          <w:b/>
          <w:sz w:val="22"/>
          <w:szCs w:val="24"/>
        </w:rPr>
      </w:pPr>
      <w:r w:rsidRPr="00076A87">
        <w:rPr>
          <w:rFonts w:ascii="Arial" w:eastAsia="Calibri" w:hAnsi="Arial" w:cs="Arial"/>
          <w:sz w:val="22"/>
          <w:szCs w:val="24"/>
        </w:rPr>
        <w:t xml:space="preserve">We ask for financial investment and commitment to implement, evaluate and upscale a multi-disciplinary community-based Indigenous kidney health workforce servicing rural and remote communities </w:t>
      </w:r>
    </w:p>
    <w:p w14:paraId="169095AC" w14:textId="77777777" w:rsidR="00076A87" w:rsidRPr="00076A87" w:rsidRDefault="00076A87" w:rsidP="00076A87">
      <w:pPr>
        <w:ind w:left="360"/>
        <w:contextualSpacing/>
        <w:rPr>
          <w:rFonts w:ascii="Arial" w:eastAsia="Calibri" w:hAnsi="Arial" w:cs="Arial"/>
          <w:b/>
          <w:sz w:val="24"/>
          <w:szCs w:val="24"/>
        </w:rPr>
      </w:pPr>
    </w:p>
    <w:p w14:paraId="43CA95B7" w14:textId="77777777" w:rsidR="00076A87" w:rsidRPr="00076A87" w:rsidRDefault="00076A87" w:rsidP="00076A87">
      <w:pPr>
        <w:keepNext/>
        <w:keepLines/>
        <w:spacing w:before="240" w:after="0"/>
        <w:outlineLvl w:val="1"/>
        <w:rPr>
          <w:rFonts w:ascii="Arial" w:eastAsia="Times New Roman" w:hAnsi="Arial" w:cs="Arial"/>
          <w:b/>
          <w:bCs/>
          <w:color w:val="2F5496"/>
          <w:sz w:val="24"/>
          <w:szCs w:val="24"/>
        </w:rPr>
      </w:pPr>
      <w:bookmarkStart w:id="111" w:name="_Toc532805991"/>
      <w:r w:rsidRPr="00076A87">
        <w:rPr>
          <w:rFonts w:ascii="Arial" w:eastAsia="Times New Roman" w:hAnsi="Arial" w:cs="Arial"/>
          <w:b/>
          <w:bCs/>
          <w:color w:val="2F5496"/>
          <w:sz w:val="24"/>
          <w:szCs w:val="24"/>
        </w:rPr>
        <w:t>Our Commitment</w:t>
      </w:r>
      <w:bookmarkEnd w:id="111"/>
    </w:p>
    <w:p w14:paraId="4DDE6A17" w14:textId="77777777" w:rsidR="00076A87" w:rsidRPr="00076A87" w:rsidRDefault="00076A87" w:rsidP="00076A87">
      <w:pPr>
        <w:rPr>
          <w:rFonts w:ascii="Arial" w:eastAsia="Calibri" w:hAnsi="Arial" w:cs="Arial"/>
          <w:sz w:val="22"/>
          <w:szCs w:val="24"/>
        </w:rPr>
      </w:pPr>
      <w:r w:rsidRPr="00076A87">
        <w:rPr>
          <w:rFonts w:ascii="Arial" w:eastAsia="Calibri" w:hAnsi="Arial" w:cs="Arial"/>
          <w:sz w:val="22"/>
          <w:szCs w:val="24"/>
        </w:rPr>
        <w:t xml:space="preserve">We invite a strategic partnership at the Federal level to engage us to progress the business case aligned to the required investment with stakeholders (State and Territory governments, local government, </w:t>
      </w:r>
      <w:proofErr w:type="gramStart"/>
      <w:r w:rsidRPr="00076A87">
        <w:rPr>
          <w:rFonts w:ascii="Arial" w:eastAsia="Calibri" w:hAnsi="Arial" w:cs="Arial"/>
          <w:sz w:val="22"/>
          <w:szCs w:val="24"/>
        </w:rPr>
        <w:t>community controlled</w:t>
      </w:r>
      <w:proofErr w:type="gramEnd"/>
      <w:r w:rsidRPr="00076A87">
        <w:rPr>
          <w:rFonts w:ascii="Arial" w:eastAsia="Calibri" w:hAnsi="Arial" w:cs="Arial"/>
          <w:sz w:val="22"/>
          <w:szCs w:val="24"/>
        </w:rPr>
        <w:t xml:space="preserve"> health sector, higher education and vocational education and training institutions, research institutes, and health services and other relevant stakeholders). </w:t>
      </w:r>
    </w:p>
    <w:p w14:paraId="6898E1AC" w14:textId="77777777" w:rsidR="00076A87" w:rsidRPr="00076A87" w:rsidRDefault="00076A87" w:rsidP="00076A87">
      <w:pPr>
        <w:rPr>
          <w:rFonts w:ascii="Arial" w:eastAsia="Calibri" w:hAnsi="Arial" w:cs="Arial"/>
          <w:sz w:val="24"/>
          <w:szCs w:val="24"/>
        </w:rPr>
      </w:pPr>
    </w:p>
    <w:p w14:paraId="4C168436" w14:textId="77777777" w:rsidR="00076A87" w:rsidRPr="00076A87" w:rsidRDefault="00076A87" w:rsidP="00076A87">
      <w:pPr>
        <w:keepNext/>
        <w:keepLines/>
        <w:spacing w:before="240" w:after="0"/>
        <w:outlineLvl w:val="1"/>
        <w:rPr>
          <w:rFonts w:ascii="Arial" w:eastAsia="Times New Roman" w:hAnsi="Arial" w:cs="Arial"/>
          <w:b/>
          <w:bCs/>
          <w:color w:val="2F5496"/>
          <w:sz w:val="24"/>
          <w:szCs w:val="24"/>
        </w:rPr>
      </w:pPr>
      <w:bookmarkStart w:id="112" w:name="_Toc532805992"/>
      <w:r w:rsidRPr="00076A87">
        <w:rPr>
          <w:rFonts w:ascii="Arial" w:eastAsia="Times New Roman" w:hAnsi="Arial" w:cs="Arial"/>
          <w:b/>
          <w:bCs/>
          <w:color w:val="2F5496"/>
          <w:sz w:val="24"/>
          <w:szCs w:val="24"/>
        </w:rPr>
        <w:t>Policy Challenges (risks)</w:t>
      </w:r>
      <w:bookmarkEnd w:id="112"/>
    </w:p>
    <w:p w14:paraId="16DAE7B5" w14:textId="77777777" w:rsidR="00076A87" w:rsidRPr="00076A87" w:rsidRDefault="00076A87" w:rsidP="00076A87">
      <w:pPr>
        <w:spacing w:after="0"/>
        <w:rPr>
          <w:rFonts w:ascii="Arial" w:eastAsia="Calibri" w:hAnsi="Arial" w:cs="Arial"/>
          <w:sz w:val="22"/>
          <w:szCs w:val="24"/>
        </w:rPr>
      </w:pPr>
      <w:r w:rsidRPr="00076A87">
        <w:rPr>
          <w:rFonts w:ascii="Arial" w:eastAsia="Calibri" w:hAnsi="Arial" w:cs="Arial"/>
          <w:sz w:val="22"/>
          <w:szCs w:val="24"/>
        </w:rPr>
        <w:t xml:space="preserve">To address and resolve renal disease within Aboriginal and Torres Strait Islander communities is challenging in its own right.  During our consultation and preparation for this policy brief, a number of pertinent issues and concerns (referred now as challenges) were identified (List 1).  These challenges cannot be addressed in isolation of the broader context to </w:t>
      </w:r>
      <w:r w:rsidRPr="00076A87">
        <w:rPr>
          <w:rFonts w:ascii="Arial" w:eastAsia="Calibri" w:hAnsi="Arial" w:cs="Arial"/>
          <w:i/>
          <w:sz w:val="22"/>
          <w:szCs w:val="24"/>
        </w:rPr>
        <w:t>Close the Gap</w:t>
      </w:r>
      <w:r w:rsidRPr="00076A87">
        <w:rPr>
          <w:rFonts w:ascii="Arial" w:eastAsia="Calibri" w:hAnsi="Arial" w:cs="Arial"/>
          <w:sz w:val="22"/>
          <w:szCs w:val="24"/>
        </w:rPr>
        <w:t xml:space="preserve"> in Aboriginal and Torres Strait Islander renal health. </w:t>
      </w:r>
    </w:p>
    <w:p w14:paraId="66F7C74B" w14:textId="77777777" w:rsidR="00076A87" w:rsidRPr="00076A87" w:rsidRDefault="00076A87" w:rsidP="00076A87">
      <w:pPr>
        <w:spacing w:after="0"/>
        <w:rPr>
          <w:rFonts w:ascii="Arial" w:eastAsia="Calibri" w:hAnsi="Arial" w:cs="Arial"/>
          <w:sz w:val="22"/>
          <w:szCs w:val="24"/>
        </w:rPr>
      </w:pPr>
      <w:r w:rsidRPr="00076A87">
        <w:rPr>
          <w:rFonts w:ascii="Arial" w:eastAsia="Calibri" w:hAnsi="Arial" w:cs="Arial"/>
          <w:sz w:val="22"/>
          <w:szCs w:val="24"/>
        </w:rPr>
        <w:t xml:space="preserve">The challenges require urgent attention, either alone or collectively. </w:t>
      </w:r>
    </w:p>
    <w:p w14:paraId="4AA57F75" w14:textId="77777777" w:rsidR="00076A87" w:rsidRPr="00076A87" w:rsidRDefault="00076A87" w:rsidP="00076A87">
      <w:pPr>
        <w:spacing w:after="0"/>
        <w:rPr>
          <w:rFonts w:ascii="Arial" w:eastAsia="Calibri" w:hAnsi="Arial" w:cs="Arial"/>
          <w:sz w:val="24"/>
          <w:szCs w:val="24"/>
        </w:rPr>
      </w:pPr>
    </w:p>
    <w:p w14:paraId="4A1784F8" w14:textId="77777777" w:rsidR="00076A87" w:rsidRPr="00076A87" w:rsidRDefault="00076A87" w:rsidP="00076A87">
      <w:pPr>
        <w:spacing w:after="0"/>
        <w:rPr>
          <w:rFonts w:ascii="Arial" w:eastAsia="Calibri" w:hAnsi="Arial" w:cs="Arial"/>
          <w:sz w:val="22"/>
        </w:rPr>
      </w:pPr>
      <w:r w:rsidRPr="00076A87">
        <w:rPr>
          <w:rFonts w:ascii="Arial" w:eastAsia="Calibri" w:hAnsi="Arial" w:cs="Arial"/>
          <w:sz w:val="24"/>
          <w:szCs w:val="24"/>
        </w:rPr>
        <w:t xml:space="preserve">List 1.  </w:t>
      </w:r>
      <w:r w:rsidRPr="00076A87">
        <w:rPr>
          <w:rFonts w:ascii="Arial" w:eastAsia="Calibri" w:hAnsi="Arial" w:cs="Arial"/>
          <w:sz w:val="22"/>
        </w:rPr>
        <w:t>Challenges in Closing the Gap in Aboriginal and Torres Strait Islander renal health</w:t>
      </w:r>
    </w:p>
    <w:p w14:paraId="0354F34B" w14:textId="77777777" w:rsidR="00076A87" w:rsidRPr="00076A87" w:rsidRDefault="00076A87" w:rsidP="00076A87">
      <w:pPr>
        <w:numPr>
          <w:ilvl w:val="0"/>
          <w:numId w:val="133"/>
        </w:numPr>
        <w:spacing w:after="0"/>
        <w:contextualSpacing/>
        <w:rPr>
          <w:rFonts w:ascii="Arial" w:eastAsia="Calibri" w:hAnsi="Arial" w:cs="Arial"/>
          <w:sz w:val="24"/>
          <w:szCs w:val="24"/>
        </w:rPr>
      </w:pPr>
      <w:r w:rsidRPr="00076A87">
        <w:rPr>
          <w:rFonts w:ascii="Arial" w:eastAsia="Calibri" w:hAnsi="Arial" w:cs="Arial"/>
          <w:sz w:val="24"/>
          <w:szCs w:val="24"/>
        </w:rPr>
        <w:t>Silos</w:t>
      </w:r>
    </w:p>
    <w:p w14:paraId="6D062583" w14:textId="77777777" w:rsidR="00076A87" w:rsidRPr="00076A87" w:rsidRDefault="00076A87" w:rsidP="00076A87">
      <w:pPr>
        <w:numPr>
          <w:ilvl w:val="0"/>
          <w:numId w:val="133"/>
        </w:numPr>
        <w:spacing w:after="0"/>
        <w:contextualSpacing/>
        <w:rPr>
          <w:rFonts w:ascii="Arial" w:eastAsia="Calibri" w:hAnsi="Arial" w:cs="Arial"/>
          <w:sz w:val="24"/>
          <w:szCs w:val="24"/>
        </w:rPr>
      </w:pPr>
      <w:r w:rsidRPr="00076A87">
        <w:rPr>
          <w:rFonts w:ascii="Arial" w:eastAsia="Calibri" w:hAnsi="Arial" w:cs="Arial"/>
          <w:sz w:val="24"/>
          <w:szCs w:val="24"/>
        </w:rPr>
        <w:t>Funding</w:t>
      </w:r>
    </w:p>
    <w:p w14:paraId="1FDA054F" w14:textId="77777777" w:rsidR="00076A87" w:rsidRPr="00076A87" w:rsidRDefault="00076A87" w:rsidP="00076A87">
      <w:pPr>
        <w:numPr>
          <w:ilvl w:val="0"/>
          <w:numId w:val="133"/>
        </w:numPr>
        <w:spacing w:after="0"/>
        <w:contextualSpacing/>
        <w:rPr>
          <w:rFonts w:ascii="Arial" w:eastAsia="Calibri" w:hAnsi="Arial" w:cs="Arial"/>
          <w:sz w:val="24"/>
          <w:szCs w:val="24"/>
        </w:rPr>
      </w:pPr>
      <w:r w:rsidRPr="00076A87">
        <w:rPr>
          <w:rFonts w:ascii="Arial" w:eastAsia="Calibri" w:hAnsi="Arial" w:cs="Arial"/>
          <w:sz w:val="24"/>
          <w:szCs w:val="24"/>
        </w:rPr>
        <w:t>Changes in government policy at all levels of government</w:t>
      </w:r>
    </w:p>
    <w:p w14:paraId="0A0A75B4" w14:textId="77777777" w:rsidR="00076A87" w:rsidRPr="00076A87" w:rsidRDefault="00076A87" w:rsidP="00076A87">
      <w:pPr>
        <w:numPr>
          <w:ilvl w:val="0"/>
          <w:numId w:val="133"/>
        </w:numPr>
        <w:spacing w:after="0"/>
        <w:contextualSpacing/>
        <w:rPr>
          <w:rFonts w:ascii="Arial" w:eastAsia="Calibri" w:hAnsi="Arial" w:cs="Arial"/>
          <w:sz w:val="24"/>
          <w:szCs w:val="24"/>
        </w:rPr>
      </w:pPr>
      <w:r w:rsidRPr="00076A87">
        <w:rPr>
          <w:rFonts w:ascii="Arial" w:eastAsia="Calibri" w:hAnsi="Arial" w:cs="Arial"/>
          <w:sz w:val="24"/>
          <w:szCs w:val="24"/>
        </w:rPr>
        <w:t>Shifting sign posts</w:t>
      </w:r>
    </w:p>
    <w:p w14:paraId="4E52313D" w14:textId="77777777" w:rsidR="00076A87" w:rsidRPr="00076A87" w:rsidRDefault="00076A87" w:rsidP="00076A87">
      <w:pPr>
        <w:numPr>
          <w:ilvl w:val="0"/>
          <w:numId w:val="133"/>
        </w:numPr>
        <w:spacing w:after="0"/>
        <w:contextualSpacing/>
        <w:rPr>
          <w:rFonts w:ascii="Arial" w:eastAsia="Calibri" w:hAnsi="Arial" w:cs="Arial"/>
          <w:sz w:val="24"/>
          <w:szCs w:val="24"/>
        </w:rPr>
      </w:pPr>
      <w:r w:rsidRPr="00076A87">
        <w:rPr>
          <w:rFonts w:ascii="Arial" w:eastAsia="Calibri" w:hAnsi="Arial" w:cs="Arial"/>
          <w:sz w:val="24"/>
          <w:szCs w:val="24"/>
        </w:rPr>
        <w:t>Lack of specific renal health targets and performance indicators</w:t>
      </w:r>
    </w:p>
    <w:p w14:paraId="4237C980" w14:textId="77777777" w:rsidR="00076A87" w:rsidRPr="00076A87" w:rsidRDefault="00076A87" w:rsidP="00076A87">
      <w:pPr>
        <w:numPr>
          <w:ilvl w:val="0"/>
          <w:numId w:val="133"/>
        </w:numPr>
        <w:spacing w:after="0"/>
        <w:contextualSpacing/>
        <w:rPr>
          <w:rFonts w:ascii="Arial" w:eastAsia="Calibri" w:hAnsi="Arial" w:cs="Arial"/>
          <w:sz w:val="24"/>
          <w:szCs w:val="24"/>
        </w:rPr>
      </w:pPr>
      <w:r w:rsidRPr="00076A87">
        <w:rPr>
          <w:rFonts w:ascii="Arial" w:eastAsia="Calibri" w:hAnsi="Arial" w:cs="Arial"/>
          <w:sz w:val="24"/>
          <w:szCs w:val="24"/>
        </w:rPr>
        <w:t>Leadership</w:t>
      </w:r>
    </w:p>
    <w:p w14:paraId="713A1341" w14:textId="77777777" w:rsidR="00076A87" w:rsidRPr="00076A87" w:rsidRDefault="00076A87" w:rsidP="00076A87">
      <w:pPr>
        <w:numPr>
          <w:ilvl w:val="0"/>
          <w:numId w:val="133"/>
        </w:numPr>
        <w:spacing w:after="0"/>
        <w:contextualSpacing/>
        <w:rPr>
          <w:rFonts w:ascii="Arial" w:eastAsia="Calibri" w:hAnsi="Arial" w:cs="Arial"/>
          <w:sz w:val="24"/>
          <w:szCs w:val="24"/>
        </w:rPr>
      </w:pPr>
      <w:r w:rsidRPr="00076A87">
        <w:rPr>
          <w:rFonts w:ascii="Arial" w:eastAsia="Calibri" w:hAnsi="Arial" w:cs="Arial"/>
          <w:sz w:val="24"/>
          <w:szCs w:val="24"/>
        </w:rPr>
        <w:t>Racism</w:t>
      </w:r>
    </w:p>
    <w:p w14:paraId="5C01AA0F" w14:textId="77777777" w:rsidR="00076A87" w:rsidRPr="00076A87" w:rsidRDefault="00076A87" w:rsidP="00076A87">
      <w:pPr>
        <w:numPr>
          <w:ilvl w:val="0"/>
          <w:numId w:val="133"/>
        </w:numPr>
        <w:spacing w:after="0"/>
        <w:contextualSpacing/>
        <w:rPr>
          <w:rFonts w:ascii="Arial" w:eastAsia="Calibri" w:hAnsi="Arial" w:cs="Arial"/>
          <w:sz w:val="24"/>
          <w:szCs w:val="24"/>
        </w:rPr>
      </w:pPr>
      <w:r w:rsidRPr="00076A87">
        <w:rPr>
          <w:rFonts w:ascii="Arial" w:eastAsia="Calibri" w:hAnsi="Arial" w:cs="Arial"/>
          <w:sz w:val="24"/>
          <w:szCs w:val="24"/>
        </w:rPr>
        <w:t>Poverty</w:t>
      </w:r>
    </w:p>
    <w:p w14:paraId="46E5EE9F" w14:textId="77777777" w:rsidR="00076A87" w:rsidRPr="00076A87" w:rsidRDefault="00076A87" w:rsidP="00076A87">
      <w:pPr>
        <w:numPr>
          <w:ilvl w:val="0"/>
          <w:numId w:val="133"/>
        </w:numPr>
        <w:spacing w:after="0"/>
        <w:contextualSpacing/>
        <w:rPr>
          <w:rFonts w:ascii="Arial" w:eastAsia="Calibri" w:hAnsi="Arial" w:cs="Arial"/>
          <w:sz w:val="24"/>
          <w:szCs w:val="24"/>
        </w:rPr>
      </w:pPr>
      <w:r w:rsidRPr="00076A87">
        <w:rPr>
          <w:rFonts w:ascii="Arial" w:eastAsia="Calibri" w:hAnsi="Arial" w:cs="Arial"/>
          <w:sz w:val="24"/>
          <w:szCs w:val="24"/>
        </w:rPr>
        <w:t>Transparency</w:t>
      </w:r>
    </w:p>
    <w:p w14:paraId="7E00162F" w14:textId="77777777" w:rsidR="00076A87" w:rsidRPr="00076A87" w:rsidRDefault="00076A87" w:rsidP="00076A87">
      <w:pPr>
        <w:numPr>
          <w:ilvl w:val="0"/>
          <w:numId w:val="133"/>
        </w:numPr>
        <w:spacing w:after="0"/>
        <w:contextualSpacing/>
        <w:rPr>
          <w:rFonts w:ascii="Arial" w:eastAsia="Calibri" w:hAnsi="Arial" w:cs="Arial"/>
          <w:sz w:val="24"/>
          <w:szCs w:val="24"/>
        </w:rPr>
      </w:pPr>
      <w:r w:rsidRPr="00076A87">
        <w:rPr>
          <w:rFonts w:ascii="Arial" w:eastAsia="Calibri" w:hAnsi="Arial" w:cs="Arial"/>
          <w:sz w:val="24"/>
          <w:szCs w:val="24"/>
        </w:rPr>
        <w:t>Support for Indigenous workforce</w:t>
      </w:r>
    </w:p>
    <w:p w14:paraId="646013C4" w14:textId="77777777" w:rsidR="00076A87" w:rsidRPr="00076A87" w:rsidRDefault="00076A87" w:rsidP="00076A87">
      <w:pPr>
        <w:numPr>
          <w:ilvl w:val="0"/>
          <w:numId w:val="133"/>
        </w:numPr>
        <w:spacing w:after="0"/>
        <w:contextualSpacing/>
        <w:rPr>
          <w:rFonts w:ascii="Arial" w:eastAsia="Calibri" w:hAnsi="Arial" w:cs="Arial"/>
          <w:sz w:val="24"/>
          <w:szCs w:val="24"/>
        </w:rPr>
      </w:pPr>
      <w:r w:rsidRPr="00076A87">
        <w:rPr>
          <w:rFonts w:ascii="Arial" w:eastAsia="Calibri" w:hAnsi="Arial" w:cs="Arial"/>
          <w:sz w:val="24"/>
          <w:szCs w:val="24"/>
        </w:rPr>
        <w:t>Readiness of community</w:t>
      </w:r>
    </w:p>
    <w:p w14:paraId="54E3286F" w14:textId="77777777" w:rsidR="00076A87" w:rsidRPr="00076A87" w:rsidRDefault="00076A87" w:rsidP="00076A87">
      <w:pPr>
        <w:numPr>
          <w:ilvl w:val="0"/>
          <w:numId w:val="133"/>
        </w:numPr>
        <w:spacing w:after="0"/>
        <w:contextualSpacing/>
        <w:rPr>
          <w:rFonts w:ascii="Arial" w:eastAsia="Calibri" w:hAnsi="Arial" w:cs="Arial"/>
          <w:sz w:val="24"/>
          <w:szCs w:val="24"/>
        </w:rPr>
      </w:pPr>
      <w:r w:rsidRPr="00076A87">
        <w:rPr>
          <w:rFonts w:ascii="Arial" w:eastAsia="Calibri" w:hAnsi="Arial" w:cs="Arial"/>
          <w:sz w:val="24"/>
          <w:szCs w:val="24"/>
        </w:rPr>
        <w:t>Training and support to sustain succession planning and Indigenous workforce</w:t>
      </w:r>
    </w:p>
    <w:p w14:paraId="2993092F" w14:textId="77777777" w:rsidR="00076A87" w:rsidRPr="00076A87" w:rsidRDefault="00076A87" w:rsidP="00076A87">
      <w:pPr>
        <w:numPr>
          <w:ilvl w:val="0"/>
          <w:numId w:val="133"/>
        </w:numPr>
        <w:spacing w:after="0"/>
        <w:contextualSpacing/>
        <w:rPr>
          <w:rFonts w:ascii="Arial" w:eastAsia="Calibri" w:hAnsi="Arial" w:cs="Arial"/>
          <w:sz w:val="24"/>
          <w:szCs w:val="24"/>
        </w:rPr>
      </w:pPr>
      <w:r w:rsidRPr="00076A87">
        <w:rPr>
          <w:rFonts w:ascii="Arial" w:eastAsia="Calibri" w:hAnsi="Arial" w:cs="Arial"/>
          <w:sz w:val="24"/>
          <w:szCs w:val="24"/>
        </w:rPr>
        <w:t>Data, monitoring and evaluation systems</w:t>
      </w:r>
    </w:p>
    <w:p w14:paraId="08D42845" w14:textId="77777777" w:rsidR="00076A87" w:rsidRPr="00076A87" w:rsidRDefault="00076A87" w:rsidP="00076A87">
      <w:pPr>
        <w:numPr>
          <w:ilvl w:val="0"/>
          <w:numId w:val="133"/>
        </w:numPr>
        <w:spacing w:after="0"/>
        <w:contextualSpacing/>
        <w:rPr>
          <w:rFonts w:ascii="Arial" w:eastAsia="Calibri" w:hAnsi="Arial" w:cs="Arial"/>
          <w:sz w:val="24"/>
          <w:szCs w:val="24"/>
        </w:rPr>
      </w:pPr>
      <w:r w:rsidRPr="00076A87">
        <w:rPr>
          <w:rFonts w:ascii="Arial" w:eastAsia="Calibri" w:hAnsi="Arial" w:cs="Arial"/>
          <w:sz w:val="24"/>
          <w:szCs w:val="24"/>
        </w:rPr>
        <w:t>Lack of treaty</w:t>
      </w:r>
    </w:p>
    <w:p w14:paraId="4E198A86" w14:textId="77777777" w:rsidR="00076A87" w:rsidRPr="00076A87" w:rsidRDefault="00076A87" w:rsidP="00076A87">
      <w:pPr>
        <w:numPr>
          <w:ilvl w:val="0"/>
          <w:numId w:val="133"/>
        </w:numPr>
        <w:spacing w:after="0"/>
        <w:contextualSpacing/>
        <w:rPr>
          <w:rFonts w:ascii="Arial" w:eastAsia="Calibri" w:hAnsi="Arial" w:cs="Arial"/>
          <w:sz w:val="24"/>
          <w:szCs w:val="24"/>
        </w:rPr>
      </w:pPr>
      <w:r w:rsidRPr="00076A87">
        <w:rPr>
          <w:rFonts w:ascii="Arial" w:eastAsia="Calibri" w:hAnsi="Arial" w:cs="Arial"/>
          <w:sz w:val="24"/>
          <w:szCs w:val="24"/>
        </w:rPr>
        <w:t>Indigenous ownership of renal current and future directions</w:t>
      </w:r>
    </w:p>
    <w:p w14:paraId="44E41E01" w14:textId="77777777" w:rsidR="00076A87" w:rsidRPr="00076A87" w:rsidRDefault="00076A87" w:rsidP="00076A87">
      <w:pPr>
        <w:numPr>
          <w:ilvl w:val="0"/>
          <w:numId w:val="133"/>
        </w:numPr>
        <w:spacing w:after="0"/>
        <w:contextualSpacing/>
        <w:rPr>
          <w:rFonts w:ascii="Arial" w:eastAsia="Calibri" w:hAnsi="Arial" w:cs="Arial"/>
          <w:sz w:val="24"/>
          <w:szCs w:val="24"/>
        </w:rPr>
      </w:pPr>
      <w:r w:rsidRPr="00076A87">
        <w:rPr>
          <w:rFonts w:ascii="Arial" w:eastAsia="Calibri" w:hAnsi="Arial" w:cs="Arial"/>
          <w:sz w:val="24"/>
          <w:szCs w:val="24"/>
        </w:rPr>
        <w:t>Reciprocity of shared priority agenda</w:t>
      </w:r>
    </w:p>
    <w:p w14:paraId="7E5FF8B5" w14:textId="77777777" w:rsidR="00076A87" w:rsidRPr="00076A87" w:rsidRDefault="00076A87" w:rsidP="00076A87">
      <w:pPr>
        <w:numPr>
          <w:ilvl w:val="0"/>
          <w:numId w:val="133"/>
        </w:numPr>
        <w:spacing w:after="0"/>
        <w:contextualSpacing/>
        <w:rPr>
          <w:rFonts w:ascii="Arial" w:eastAsia="Calibri" w:hAnsi="Arial" w:cs="Arial"/>
          <w:sz w:val="24"/>
          <w:szCs w:val="24"/>
        </w:rPr>
      </w:pPr>
      <w:r w:rsidRPr="00076A87">
        <w:rPr>
          <w:rFonts w:ascii="Arial" w:eastAsia="Calibri" w:hAnsi="Arial" w:cs="Arial"/>
          <w:sz w:val="24"/>
          <w:szCs w:val="24"/>
        </w:rPr>
        <w:t>Urban vs Rural Vs Remote Aboriginal and Torres Strait Islander communities</w:t>
      </w:r>
    </w:p>
    <w:p w14:paraId="42D52A9E" w14:textId="77777777" w:rsidR="00076A87" w:rsidRPr="00076A87" w:rsidRDefault="00076A87" w:rsidP="00076A87">
      <w:pPr>
        <w:numPr>
          <w:ilvl w:val="0"/>
          <w:numId w:val="133"/>
        </w:numPr>
        <w:spacing w:after="0"/>
        <w:contextualSpacing/>
        <w:rPr>
          <w:rFonts w:ascii="Arial" w:eastAsia="Calibri" w:hAnsi="Arial" w:cs="Arial"/>
          <w:sz w:val="24"/>
          <w:szCs w:val="24"/>
        </w:rPr>
      </w:pPr>
      <w:r w:rsidRPr="00076A87">
        <w:rPr>
          <w:rFonts w:ascii="Arial" w:eastAsia="Calibri" w:hAnsi="Arial" w:cs="Arial"/>
          <w:sz w:val="24"/>
          <w:szCs w:val="24"/>
        </w:rPr>
        <w:t>Cross Cultural knowledge sharing</w:t>
      </w:r>
    </w:p>
    <w:p w14:paraId="06D0DAC6" w14:textId="77777777" w:rsidR="00076A87" w:rsidRPr="00076A87" w:rsidRDefault="00076A87" w:rsidP="00076A87">
      <w:pPr>
        <w:numPr>
          <w:ilvl w:val="0"/>
          <w:numId w:val="133"/>
        </w:numPr>
        <w:spacing w:after="0"/>
        <w:contextualSpacing/>
        <w:rPr>
          <w:rFonts w:ascii="Arial" w:eastAsia="Calibri" w:hAnsi="Arial" w:cs="Arial"/>
          <w:sz w:val="24"/>
          <w:szCs w:val="24"/>
        </w:rPr>
      </w:pPr>
      <w:r w:rsidRPr="00076A87">
        <w:rPr>
          <w:rFonts w:ascii="Arial" w:eastAsia="Calibri" w:hAnsi="Arial" w:cs="Arial"/>
          <w:sz w:val="24"/>
          <w:szCs w:val="24"/>
        </w:rPr>
        <w:lastRenderedPageBreak/>
        <w:t>Other factors</w:t>
      </w:r>
    </w:p>
    <w:p w14:paraId="15659C93" w14:textId="77777777" w:rsidR="00076A87" w:rsidRPr="00076A87" w:rsidRDefault="00076A87" w:rsidP="00076A87">
      <w:pPr>
        <w:spacing w:after="0"/>
        <w:rPr>
          <w:rFonts w:ascii="Arial" w:eastAsia="Calibri" w:hAnsi="Arial" w:cs="Arial"/>
          <w:sz w:val="24"/>
          <w:szCs w:val="24"/>
        </w:rPr>
      </w:pPr>
    </w:p>
    <w:p w14:paraId="7634612E" w14:textId="77777777" w:rsidR="00076A87" w:rsidRPr="00076A87" w:rsidRDefault="00076A87" w:rsidP="00076A87">
      <w:pPr>
        <w:keepNext/>
        <w:keepLines/>
        <w:spacing w:before="240" w:after="0"/>
        <w:outlineLvl w:val="1"/>
        <w:rPr>
          <w:rFonts w:ascii="Arial" w:eastAsia="Times New Roman" w:hAnsi="Arial" w:cs="Arial"/>
          <w:b/>
          <w:bCs/>
          <w:color w:val="2F5496"/>
          <w:sz w:val="24"/>
          <w:szCs w:val="24"/>
        </w:rPr>
      </w:pPr>
      <w:bookmarkStart w:id="113" w:name="_Toc532805993"/>
      <w:r w:rsidRPr="00076A87">
        <w:rPr>
          <w:rFonts w:ascii="Arial" w:eastAsia="Times New Roman" w:hAnsi="Arial" w:cs="Arial"/>
          <w:b/>
          <w:bCs/>
          <w:color w:val="2F5496"/>
          <w:sz w:val="24"/>
          <w:szCs w:val="24"/>
        </w:rPr>
        <w:t>Action Outcomes</w:t>
      </w:r>
      <w:bookmarkEnd w:id="113"/>
    </w:p>
    <w:p w14:paraId="5281213D" w14:textId="77777777" w:rsidR="00076A87" w:rsidRPr="00076A87" w:rsidRDefault="00076A87" w:rsidP="00076A87">
      <w:pPr>
        <w:spacing w:after="0"/>
        <w:rPr>
          <w:rFonts w:ascii="Arial" w:eastAsia="Calibri" w:hAnsi="Arial" w:cs="Arial"/>
          <w:sz w:val="22"/>
          <w:szCs w:val="24"/>
        </w:rPr>
      </w:pPr>
      <w:r w:rsidRPr="00076A87">
        <w:rPr>
          <w:rFonts w:ascii="Arial" w:eastAsia="Calibri" w:hAnsi="Arial" w:cs="Arial"/>
          <w:sz w:val="22"/>
          <w:szCs w:val="24"/>
        </w:rPr>
        <w:t>We have identified the three most urgent key priorities (investment required) and the policy recommendations (items).  We anticipate some of the above challenges can be addressed and incorporated within the investment required and the policy recommendations.</w:t>
      </w:r>
    </w:p>
    <w:p w14:paraId="3EE500FE" w14:textId="77777777" w:rsidR="00076A87" w:rsidRPr="00076A87" w:rsidRDefault="00076A87" w:rsidP="00076A87">
      <w:pPr>
        <w:spacing w:after="0"/>
        <w:rPr>
          <w:rFonts w:ascii="Arial" w:eastAsia="Calibri" w:hAnsi="Arial" w:cs="Arial"/>
          <w:sz w:val="24"/>
          <w:szCs w:val="24"/>
        </w:rPr>
      </w:pPr>
    </w:p>
    <w:p w14:paraId="7263F653" w14:textId="77777777" w:rsidR="00076A87" w:rsidRPr="00076A87" w:rsidRDefault="00076A87" w:rsidP="00076A87">
      <w:pPr>
        <w:keepNext/>
        <w:keepLines/>
        <w:spacing w:before="240" w:after="0"/>
        <w:outlineLvl w:val="1"/>
        <w:rPr>
          <w:rFonts w:ascii="Arial" w:eastAsia="Times New Roman" w:hAnsi="Arial" w:cs="Arial"/>
          <w:b/>
          <w:bCs/>
          <w:color w:val="2F5496"/>
          <w:sz w:val="24"/>
          <w:szCs w:val="24"/>
        </w:rPr>
      </w:pPr>
      <w:bookmarkStart w:id="114" w:name="_Toc532805994"/>
      <w:r w:rsidRPr="00076A87">
        <w:rPr>
          <w:rFonts w:ascii="Arial" w:eastAsia="Times New Roman" w:hAnsi="Arial" w:cs="Arial"/>
          <w:b/>
          <w:bCs/>
          <w:color w:val="2F5496"/>
          <w:sz w:val="24"/>
          <w:szCs w:val="24"/>
        </w:rPr>
        <w:t>Policy Items (recommendations)</w:t>
      </w:r>
      <w:bookmarkEnd w:id="114"/>
      <w:r w:rsidRPr="00076A87">
        <w:rPr>
          <w:rFonts w:ascii="Arial" w:eastAsia="Times New Roman" w:hAnsi="Arial" w:cs="Arial"/>
          <w:b/>
          <w:bCs/>
          <w:color w:val="2F5496"/>
          <w:sz w:val="24"/>
          <w:szCs w:val="24"/>
        </w:rPr>
        <w:t xml:space="preserve"> </w:t>
      </w:r>
    </w:p>
    <w:p w14:paraId="7FEDB720" w14:textId="77777777" w:rsidR="00076A87" w:rsidRPr="00076A87" w:rsidRDefault="00076A87" w:rsidP="00076A87">
      <w:pPr>
        <w:spacing w:after="0"/>
        <w:rPr>
          <w:rFonts w:ascii="Arial" w:eastAsia="Calibri" w:hAnsi="Arial" w:cs="Arial"/>
          <w:sz w:val="22"/>
          <w:szCs w:val="24"/>
        </w:rPr>
      </w:pPr>
      <w:r w:rsidRPr="00076A87">
        <w:rPr>
          <w:rFonts w:ascii="Arial" w:eastAsia="Calibri" w:hAnsi="Arial" w:cs="Arial"/>
          <w:sz w:val="22"/>
          <w:szCs w:val="24"/>
        </w:rPr>
        <w:t>The key policy recommendations (Items) are referenced to Aboriginal and Torres Strait Islander community-informed and expressed priorities for best practice for health, in particular for diabetes and kidney health.  The issue, impact, proposed solution and potential funding requirements are discussed for each item.</w:t>
      </w:r>
    </w:p>
    <w:p w14:paraId="5D9732E5" w14:textId="77777777" w:rsidR="00076A87" w:rsidRPr="00076A87" w:rsidRDefault="00076A87" w:rsidP="00076A87">
      <w:pPr>
        <w:spacing w:after="0"/>
        <w:rPr>
          <w:rFonts w:ascii="Arial" w:eastAsia="Calibri" w:hAnsi="Arial" w:cs="Arial"/>
          <w:sz w:val="22"/>
          <w:szCs w:val="24"/>
        </w:rPr>
      </w:pPr>
    </w:p>
    <w:p w14:paraId="0C88672B" w14:textId="77777777" w:rsidR="00076A87" w:rsidRPr="00076A87" w:rsidRDefault="00076A87" w:rsidP="00076A87">
      <w:pPr>
        <w:numPr>
          <w:ilvl w:val="0"/>
          <w:numId w:val="131"/>
        </w:numPr>
        <w:spacing w:after="0"/>
        <w:contextualSpacing/>
        <w:rPr>
          <w:rFonts w:ascii="Arial" w:eastAsia="Calibri" w:hAnsi="Arial" w:cs="Arial"/>
          <w:sz w:val="22"/>
          <w:szCs w:val="24"/>
        </w:rPr>
      </w:pPr>
      <w:r w:rsidRPr="00076A87">
        <w:rPr>
          <w:rFonts w:ascii="Arial" w:eastAsia="Calibri" w:hAnsi="Arial" w:cs="Arial"/>
          <w:sz w:val="22"/>
          <w:szCs w:val="24"/>
        </w:rPr>
        <w:t xml:space="preserve">Coordinated and economically sustainable strategies to address renal health across all levels of government </w:t>
      </w:r>
    </w:p>
    <w:p w14:paraId="67EA8647" w14:textId="77777777" w:rsidR="00076A87" w:rsidRPr="00076A87" w:rsidRDefault="00076A87" w:rsidP="00076A87">
      <w:pPr>
        <w:numPr>
          <w:ilvl w:val="0"/>
          <w:numId w:val="131"/>
        </w:numPr>
        <w:contextualSpacing/>
        <w:rPr>
          <w:rFonts w:ascii="Arial" w:eastAsia="Calibri" w:hAnsi="Arial" w:cs="Arial"/>
          <w:sz w:val="22"/>
          <w:szCs w:val="24"/>
        </w:rPr>
      </w:pPr>
      <w:r w:rsidRPr="00076A87">
        <w:rPr>
          <w:rFonts w:ascii="Arial" w:eastAsia="Calibri" w:hAnsi="Arial" w:cs="Arial"/>
          <w:sz w:val="22"/>
          <w:szCs w:val="24"/>
        </w:rPr>
        <w:t>Meaningful knowledge sharing for the Aboriginal and Torres Strait Renal Patient Community</w:t>
      </w:r>
    </w:p>
    <w:p w14:paraId="2B2E51B2" w14:textId="77777777" w:rsidR="00076A87" w:rsidRPr="00076A87" w:rsidRDefault="00076A87" w:rsidP="00076A87">
      <w:pPr>
        <w:numPr>
          <w:ilvl w:val="0"/>
          <w:numId w:val="131"/>
        </w:numPr>
        <w:contextualSpacing/>
        <w:rPr>
          <w:rFonts w:ascii="Arial" w:eastAsia="Calibri" w:hAnsi="Arial" w:cs="Arial"/>
          <w:sz w:val="22"/>
          <w:szCs w:val="24"/>
        </w:rPr>
      </w:pPr>
      <w:r w:rsidRPr="00076A87">
        <w:rPr>
          <w:rFonts w:ascii="Arial" w:eastAsia="Calibri" w:hAnsi="Arial" w:cs="Arial"/>
          <w:sz w:val="22"/>
          <w:szCs w:val="24"/>
        </w:rPr>
        <w:t xml:space="preserve">Preventative Health Care </w:t>
      </w:r>
    </w:p>
    <w:p w14:paraId="2B00F5D4" w14:textId="77777777" w:rsidR="00076A87" w:rsidRPr="00076A87" w:rsidRDefault="00076A87" w:rsidP="00076A87">
      <w:pPr>
        <w:numPr>
          <w:ilvl w:val="0"/>
          <w:numId w:val="131"/>
        </w:numPr>
        <w:contextualSpacing/>
        <w:rPr>
          <w:rFonts w:ascii="Arial" w:eastAsia="Calibri" w:hAnsi="Arial" w:cs="Arial"/>
          <w:sz w:val="22"/>
          <w:szCs w:val="24"/>
        </w:rPr>
      </w:pPr>
      <w:r w:rsidRPr="00076A87">
        <w:rPr>
          <w:rFonts w:ascii="Arial" w:eastAsia="Calibri" w:hAnsi="Arial" w:cs="Arial"/>
          <w:sz w:val="22"/>
          <w:szCs w:val="24"/>
        </w:rPr>
        <w:t xml:space="preserve">Sustainable Workforce </w:t>
      </w:r>
    </w:p>
    <w:p w14:paraId="5EE38986" w14:textId="77777777" w:rsidR="00076A87" w:rsidRPr="00076A87" w:rsidRDefault="00076A87" w:rsidP="00076A87">
      <w:pPr>
        <w:rPr>
          <w:rFonts w:ascii="Calibri" w:eastAsia="Calibri" w:hAnsi="Calibri" w:cs="Times New Roman"/>
          <w:sz w:val="22"/>
        </w:rPr>
      </w:pPr>
    </w:p>
    <w:p w14:paraId="5A1FCCC5" w14:textId="77777777" w:rsidR="00076A87" w:rsidRPr="00076A87" w:rsidRDefault="00076A87" w:rsidP="00076A87">
      <w:pPr>
        <w:spacing w:after="0" w:line="240" w:lineRule="auto"/>
        <w:rPr>
          <w:rFonts w:ascii="Calibri" w:eastAsia="Calibri" w:hAnsi="Calibri" w:cs="Times New Roman"/>
          <w:b/>
          <w:sz w:val="22"/>
        </w:rPr>
      </w:pPr>
      <w:r w:rsidRPr="00076A87">
        <w:rPr>
          <w:rFonts w:ascii="Calibri" w:eastAsia="Calibri" w:hAnsi="Calibri" w:cs="Times New Roman"/>
          <w:b/>
          <w:sz w:val="22"/>
        </w:rPr>
        <w:br w:type="page"/>
      </w:r>
    </w:p>
    <w:p w14:paraId="10FF7B69" w14:textId="77777777" w:rsidR="00076A87" w:rsidRPr="00076A87" w:rsidRDefault="00076A87" w:rsidP="00076A87">
      <w:pPr>
        <w:keepNext/>
        <w:keepLines/>
        <w:spacing w:before="480" w:after="0"/>
        <w:jc w:val="center"/>
        <w:outlineLvl w:val="0"/>
        <w:rPr>
          <w:rFonts w:ascii="Arial" w:eastAsia="Times New Roman" w:hAnsi="Arial" w:cs="Arial"/>
          <w:b/>
          <w:bCs/>
          <w:color w:val="2F5496"/>
          <w:sz w:val="48"/>
          <w:szCs w:val="48"/>
        </w:rPr>
      </w:pPr>
      <w:bookmarkStart w:id="115" w:name="_Toc532805995"/>
      <w:r w:rsidRPr="00076A87">
        <w:rPr>
          <w:rFonts w:ascii="Arial" w:eastAsia="Times New Roman" w:hAnsi="Arial" w:cs="Arial"/>
          <w:b/>
          <w:bCs/>
          <w:color w:val="2F5496"/>
          <w:sz w:val="48"/>
          <w:szCs w:val="48"/>
        </w:rPr>
        <w:lastRenderedPageBreak/>
        <w:t>Section 2: Policy Items</w:t>
      </w:r>
      <w:bookmarkEnd w:id="115"/>
    </w:p>
    <w:p w14:paraId="342E1674" w14:textId="77777777" w:rsidR="00076A87" w:rsidRPr="00076A87" w:rsidRDefault="00076A87" w:rsidP="00076A87">
      <w:pPr>
        <w:rPr>
          <w:rFonts w:ascii="Calibri" w:eastAsia="Calibri" w:hAnsi="Calibri" w:cs="Times New Roman"/>
          <w:b/>
          <w:sz w:val="22"/>
        </w:rPr>
      </w:pPr>
      <w:r w:rsidRPr="00076A87">
        <w:rPr>
          <w:rFonts w:ascii="Calibri" w:eastAsia="Calibri" w:hAnsi="Calibri" w:cs="Times New Roman"/>
          <w:b/>
          <w:sz w:val="22"/>
        </w:rPr>
        <w:br w:type="page"/>
      </w:r>
    </w:p>
    <w:p w14:paraId="67203987" w14:textId="77777777" w:rsidR="00076A87" w:rsidRPr="00076A87" w:rsidRDefault="00076A87" w:rsidP="00076A87">
      <w:pPr>
        <w:keepNext/>
        <w:keepLines/>
        <w:spacing w:before="240" w:after="0"/>
        <w:outlineLvl w:val="1"/>
        <w:rPr>
          <w:rFonts w:ascii="Arial" w:eastAsia="Times New Roman" w:hAnsi="Arial" w:cs="Arial"/>
          <w:b/>
          <w:bCs/>
          <w:color w:val="2F5496"/>
          <w:sz w:val="24"/>
          <w:szCs w:val="24"/>
        </w:rPr>
      </w:pPr>
      <w:bookmarkStart w:id="116" w:name="_Toc532805996"/>
      <w:r w:rsidRPr="00076A87">
        <w:rPr>
          <w:rFonts w:ascii="Arial" w:eastAsia="Times New Roman" w:hAnsi="Arial" w:cs="Arial"/>
          <w:b/>
          <w:bCs/>
          <w:color w:val="2F5496"/>
          <w:sz w:val="24"/>
          <w:szCs w:val="24"/>
        </w:rPr>
        <w:lastRenderedPageBreak/>
        <w:t>Item 1: Coordinated and economically sustainable strategies to address renal health across all levels of government</w:t>
      </w:r>
      <w:bookmarkEnd w:id="116"/>
      <w:r w:rsidRPr="00076A87">
        <w:rPr>
          <w:rFonts w:ascii="Arial" w:eastAsia="Times New Roman" w:hAnsi="Arial" w:cs="Arial"/>
          <w:b/>
          <w:bCs/>
          <w:color w:val="2F5496"/>
          <w:sz w:val="24"/>
          <w:szCs w:val="24"/>
        </w:rPr>
        <w:t xml:space="preserve"> </w:t>
      </w:r>
    </w:p>
    <w:p w14:paraId="5A4BE4A1" w14:textId="77777777" w:rsidR="00076A87" w:rsidRPr="00076A87" w:rsidRDefault="00076A87" w:rsidP="00076A87">
      <w:pPr>
        <w:keepNext/>
        <w:keepLines/>
        <w:spacing w:after="0"/>
        <w:outlineLvl w:val="2"/>
        <w:rPr>
          <w:rFonts w:ascii="Arial" w:eastAsia="Times New Roman" w:hAnsi="Arial" w:cs="Arial"/>
          <w:bCs/>
          <w:i/>
          <w:sz w:val="24"/>
          <w:szCs w:val="24"/>
        </w:rPr>
      </w:pPr>
    </w:p>
    <w:p w14:paraId="2C8EE69B" w14:textId="77777777" w:rsidR="00076A87" w:rsidRPr="00076A87" w:rsidRDefault="00076A87" w:rsidP="00076A87">
      <w:pPr>
        <w:keepNext/>
        <w:keepLines/>
        <w:spacing w:after="0"/>
        <w:outlineLvl w:val="2"/>
        <w:rPr>
          <w:rFonts w:ascii="Arial" w:eastAsia="Times New Roman" w:hAnsi="Arial" w:cs="Arial"/>
          <w:bCs/>
          <w:i/>
          <w:sz w:val="24"/>
          <w:szCs w:val="24"/>
        </w:rPr>
      </w:pPr>
      <w:r w:rsidRPr="00076A87">
        <w:rPr>
          <w:rFonts w:ascii="Arial" w:eastAsia="Times New Roman" w:hAnsi="Arial" w:cs="Arial"/>
          <w:bCs/>
          <w:i/>
          <w:sz w:val="24"/>
          <w:szCs w:val="24"/>
        </w:rPr>
        <w:t>The Issue</w:t>
      </w:r>
      <w:r w:rsidRPr="00076A87" w:rsidDel="00857C19">
        <w:rPr>
          <w:rFonts w:ascii="Arial" w:eastAsia="Times New Roman" w:hAnsi="Arial" w:cs="Arial"/>
          <w:bCs/>
          <w:i/>
          <w:sz w:val="24"/>
          <w:szCs w:val="24"/>
        </w:rPr>
        <w:t xml:space="preserve"> </w:t>
      </w:r>
    </w:p>
    <w:p w14:paraId="0131944A" w14:textId="77777777" w:rsidR="00076A87" w:rsidRPr="00076A87" w:rsidRDefault="00076A87" w:rsidP="00076A87">
      <w:pPr>
        <w:spacing w:after="0"/>
        <w:jc w:val="both"/>
        <w:rPr>
          <w:rFonts w:ascii="Arial" w:eastAsia="Calibri" w:hAnsi="Arial" w:cs="Arial"/>
          <w:sz w:val="22"/>
          <w:szCs w:val="24"/>
        </w:rPr>
      </w:pPr>
      <w:r w:rsidRPr="00076A87">
        <w:rPr>
          <w:rFonts w:ascii="Arial" w:eastAsia="Calibri" w:hAnsi="Arial" w:cs="Arial"/>
          <w:sz w:val="22"/>
          <w:szCs w:val="24"/>
        </w:rPr>
        <w:t>Lack of coordination of policy and planning of urban, rural and remote renal health services have adverse effects on the health and wellbeing of renal patients, their carers/families and the wider community. Renal health services planning has been heavily weighted towards a centralised service model which has been necessary to meet the needs of end stage kidney disease, with insufficient engagement of renal patients in the design, development and implementation of these services.</w:t>
      </w:r>
    </w:p>
    <w:p w14:paraId="66129566" w14:textId="77777777" w:rsidR="00076A87" w:rsidRPr="00076A87" w:rsidRDefault="00076A87" w:rsidP="00076A87">
      <w:pPr>
        <w:spacing w:after="0"/>
        <w:rPr>
          <w:rFonts w:ascii="Arial" w:eastAsia="Calibri" w:hAnsi="Arial" w:cs="Arial"/>
          <w:i/>
          <w:sz w:val="24"/>
          <w:szCs w:val="24"/>
        </w:rPr>
      </w:pPr>
    </w:p>
    <w:p w14:paraId="71FA64EF" w14:textId="77777777" w:rsidR="00076A87" w:rsidRPr="00076A87" w:rsidRDefault="00076A87" w:rsidP="00076A87">
      <w:pPr>
        <w:keepNext/>
        <w:keepLines/>
        <w:spacing w:after="0"/>
        <w:outlineLvl w:val="2"/>
        <w:rPr>
          <w:rFonts w:ascii="Arial" w:eastAsia="Times New Roman" w:hAnsi="Arial" w:cs="Arial"/>
          <w:bCs/>
          <w:i/>
          <w:sz w:val="24"/>
          <w:szCs w:val="24"/>
        </w:rPr>
      </w:pPr>
      <w:r w:rsidRPr="00076A87">
        <w:rPr>
          <w:rFonts w:ascii="Arial" w:eastAsia="Times New Roman" w:hAnsi="Arial" w:cs="Arial"/>
          <w:bCs/>
          <w:i/>
          <w:sz w:val="24"/>
          <w:szCs w:val="24"/>
        </w:rPr>
        <w:t>The Impact</w:t>
      </w:r>
    </w:p>
    <w:p w14:paraId="2DFF2C4C" w14:textId="77777777" w:rsidR="00076A87" w:rsidRPr="00076A87" w:rsidRDefault="00076A87" w:rsidP="00076A87">
      <w:pPr>
        <w:spacing w:after="0"/>
        <w:jc w:val="both"/>
        <w:rPr>
          <w:rFonts w:ascii="Arial" w:eastAsia="Calibri" w:hAnsi="Arial" w:cs="Arial"/>
          <w:sz w:val="22"/>
          <w:szCs w:val="24"/>
        </w:rPr>
      </w:pPr>
      <w:r w:rsidRPr="00076A87">
        <w:rPr>
          <w:rFonts w:ascii="Arial" w:eastAsia="Calibri" w:hAnsi="Arial" w:cs="Arial"/>
          <w:sz w:val="22"/>
          <w:szCs w:val="24"/>
        </w:rPr>
        <w:t xml:space="preserve">The absence of strategic policy to address issues associated with renal prevention/health promotion has been detrimental to Aboriginal and Torres Strait Islander communities.  The present renal service planning model detracts from the community-defined and mandated priority of simultaneously delivering health maintenance and preventive health care. </w:t>
      </w:r>
    </w:p>
    <w:p w14:paraId="315322AC" w14:textId="77777777" w:rsidR="00076A87" w:rsidRPr="00076A87" w:rsidRDefault="00076A87" w:rsidP="00076A87">
      <w:pPr>
        <w:spacing w:after="0"/>
        <w:jc w:val="both"/>
        <w:rPr>
          <w:rFonts w:ascii="Arial" w:eastAsia="Calibri" w:hAnsi="Arial" w:cs="Arial"/>
          <w:sz w:val="22"/>
          <w:szCs w:val="24"/>
        </w:rPr>
      </w:pPr>
    </w:p>
    <w:p w14:paraId="5D65E9C3" w14:textId="77777777" w:rsidR="00076A87" w:rsidRPr="00076A87" w:rsidRDefault="00076A87" w:rsidP="00076A87">
      <w:pPr>
        <w:keepNext/>
        <w:keepLines/>
        <w:spacing w:after="0"/>
        <w:outlineLvl w:val="2"/>
        <w:rPr>
          <w:rFonts w:ascii="Arial" w:eastAsia="Times New Roman" w:hAnsi="Arial" w:cs="Arial"/>
          <w:bCs/>
          <w:i/>
          <w:sz w:val="24"/>
          <w:szCs w:val="24"/>
        </w:rPr>
      </w:pPr>
      <w:r w:rsidRPr="00076A87">
        <w:rPr>
          <w:rFonts w:ascii="Arial" w:eastAsia="Times New Roman" w:hAnsi="Arial" w:cs="Arial"/>
          <w:bCs/>
          <w:i/>
          <w:sz w:val="24"/>
          <w:szCs w:val="24"/>
        </w:rPr>
        <w:t>The Proposed Solution</w:t>
      </w:r>
    </w:p>
    <w:p w14:paraId="29C5D068" w14:textId="77777777" w:rsidR="00076A87" w:rsidRPr="00076A87" w:rsidRDefault="00076A87" w:rsidP="00076A87">
      <w:pPr>
        <w:spacing w:after="0"/>
        <w:jc w:val="both"/>
        <w:rPr>
          <w:rFonts w:ascii="Arial" w:eastAsia="Calibri" w:hAnsi="Arial" w:cs="Arial"/>
          <w:sz w:val="22"/>
          <w:szCs w:val="24"/>
        </w:rPr>
      </w:pPr>
      <w:r w:rsidRPr="00076A87">
        <w:rPr>
          <w:rFonts w:ascii="Arial" w:eastAsia="Calibri" w:hAnsi="Arial" w:cs="Arial"/>
          <w:sz w:val="22"/>
          <w:szCs w:val="24"/>
        </w:rPr>
        <w:t xml:space="preserve">The greatest health impact requires coordination and integration of health services and programs that work cohesively and accountably toward closing the renal health gap within thirty years.  Guided by agreed key performance indicators for optimal kidney health, a consortium of cross-sector agencies must be identified to collaborate with renal patients and carers. These agencies include Federal, State, Territory, Local government, Aboriginal Medical Services, Private and Public Renal Services. </w:t>
      </w:r>
    </w:p>
    <w:p w14:paraId="24D8F535" w14:textId="77777777" w:rsidR="00076A87" w:rsidRPr="00076A87" w:rsidRDefault="00076A87" w:rsidP="00076A87">
      <w:pPr>
        <w:spacing w:after="0"/>
        <w:jc w:val="both"/>
        <w:rPr>
          <w:rFonts w:ascii="Arial" w:eastAsia="Calibri" w:hAnsi="Arial" w:cs="Arial"/>
          <w:sz w:val="22"/>
          <w:szCs w:val="24"/>
        </w:rPr>
      </w:pPr>
    </w:p>
    <w:p w14:paraId="3243BA69" w14:textId="77777777" w:rsidR="00076A87" w:rsidRPr="00076A87" w:rsidRDefault="00076A87" w:rsidP="00076A87">
      <w:pPr>
        <w:spacing w:after="0"/>
        <w:jc w:val="both"/>
        <w:rPr>
          <w:rFonts w:ascii="Arial" w:eastAsia="Calibri" w:hAnsi="Arial" w:cs="Arial"/>
          <w:sz w:val="22"/>
          <w:szCs w:val="24"/>
        </w:rPr>
      </w:pPr>
      <w:r w:rsidRPr="00076A87">
        <w:rPr>
          <w:rFonts w:ascii="Arial" w:eastAsia="Calibri" w:hAnsi="Arial" w:cs="Arial"/>
          <w:sz w:val="22"/>
          <w:szCs w:val="24"/>
        </w:rPr>
        <w:t xml:space="preserve">Collective and integrated solutions should be developed, implemented and evaluated to test their ability to achieve predefined key performance indicators for optimal kidney health within a culturally appropriate and </w:t>
      </w:r>
      <w:proofErr w:type="gramStart"/>
      <w:r w:rsidRPr="00076A87">
        <w:rPr>
          <w:rFonts w:ascii="Arial" w:eastAsia="Calibri" w:hAnsi="Arial" w:cs="Arial"/>
          <w:sz w:val="22"/>
          <w:szCs w:val="24"/>
        </w:rPr>
        <w:t>cultural</w:t>
      </w:r>
      <w:proofErr w:type="gramEnd"/>
      <w:r w:rsidRPr="00076A87">
        <w:rPr>
          <w:rFonts w:ascii="Arial" w:eastAsia="Calibri" w:hAnsi="Arial" w:cs="Arial"/>
          <w:sz w:val="22"/>
          <w:szCs w:val="24"/>
        </w:rPr>
        <w:t xml:space="preserve"> competent framework for kidney health and health prevention. </w:t>
      </w:r>
    </w:p>
    <w:p w14:paraId="6B5324E9" w14:textId="77777777" w:rsidR="00076A87" w:rsidRPr="00076A87" w:rsidRDefault="00076A87" w:rsidP="00076A87">
      <w:pPr>
        <w:spacing w:after="0"/>
        <w:rPr>
          <w:rFonts w:ascii="Arial" w:eastAsia="Calibri" w:hAnsi="Arial" w:cs="Arial"/>
          <w:i/>
          <w:sz w:val="24"/>
          <w:szCs w:val="24"/>
        </w:rPr>
      </w:pPr>
    </w:p>
    <w:p w14:paraId="6FBBE585" w14:textId="77777777" w:rsidR="00076A87" w:rsidRPr="00076A87" w:rsidRDefault="00076A87" w:rsidP="00076A87">
      <w:pPr>
        <w:keepNext/>
        <w:keepLines/>
        <w:spacing w:after="0"/>
        <w:outlineLvl w:val="2"/>
        <w:rPr>
          <w:rFonts w:ascii="Arial" w:eastAsia="Times New Roman" w:hAnsi="Arial" w:cs="Arial"/>
          <w:bCs/>
          <w:i/>
          <w:sz w:val="24"/>
          <w:szCs w:val="24"/>
        </w:rPr>
      </w:pPr>
      <w:r w:rsidRPr="00076A87">
        <w:rPr>
          <w:rFonts w:ascii="Arial" w:eastAsia="Times New Roman" w:hAnsi="Arial" w:cs="Arial"/>
          <w:bCs/>
          <w:i/>
          <w:sz w:val="24"/>
          <w:szCs w:val="24"/>
        </w:rPr>
        <w:t>Proposed funding requirement</w:t>
      </w:r>
    </w:p>
    <w:p w14:paraId="1661084B" w14:textId="77777777" w:rsidR="00076A87" w:rsidRPr="00076A87" w:rsidRDefault="00076A87" w:rsidP="00076A87">
      <w:pPr>
        <w:numPr>
          <w:ilvl w:val="0"/>
          <w:numId w:val="130"/>
        </w:numPr>
        <w:spacing w:after="0"/>
        <w:contextualSpacing/>
        <w:rPr>
          <w:rFonts w:ascii="Arial" w:eastAsia="Calibri" w:hAnsi="Arial" w:cs="Arial"/>
          <w:sz w:val="22"/>
          <w:szCs w:val="24"/>
        </w:rPr>
      </w:pPr>
      <w:r w:rsidRPr="00076A87">
        <w:rPr>
          <w:rFonts w:ascii="Arial" w:eastAsia="Calibri" w:hAnsi="Arial" w:cs="Arial"/>
          <w:sz w:val="22"/>
          <w:szCs w:val="24"/>
        </w:rPr>
        <w:t>Fund a cross-border executive level program leader and team to oversee in key pilot sites and which has authority to direct priorities across agencies. The executive team manages a coordinated implementation of strategies across all levels of governments, health services and with rural and remote stakeholders</w:t>
      </w:r>
    </w:p>
    <w:p w14:paraId="2387EB28" w14:textId="77777777" w:rsidR="00076A87" w:rsidRPr="00076A87" w:rsidRDefault="00076A87" w:rsidP="00076A87">
      <w:pPr>
        <w:numPr>
          <w:ilvl w:val="0"/>
          <w:numId w:val="130"/>
        </w:numPr>
        <w:spacing w:after="0"/>
        <w:contextualSpacing/>
        <w:jc w:val="both"/>
        <w:rPr>
          <w:rFonts w:ascii="Arial" w:eastAsia="Calibri" w:hAnsi="Arial" w:cs="Arial"/>
          <w:sz w:val="22"/>
          <w:szCs w:val="24"/>
        </w:rPr>
      </w:pPr>
      <w:r w:rsidRPr="00076A87">
        <w:rPr>
          <w:rFonts w:ascii="Arial" w:eastAsia="Calibri" w:hAnsi="Arial" w:cs="Arial"/>
          <w:sz w:val="22"/>
          <w:szCs w:val="24"/>
        </w:rPr>
        <w:t>Design, implement and evaluate an Indigenous-led renal workforce model for rural and remote communities.</w:t>
      </w:r>
    </w:p>
    <w:p w14:paraId="30552311" w14:textId="77777777" w:rsidR="00076A87" w:rsidRPr="00076A87" w:rsidRDefault="00076A87" w:rsidP="00076A87">
      <w:pPr>
        <w:numPr>
          <w:ilvl w:val="0"/>
          <w:numId w:val="130"/>
        </w:numPr>
        <w:spacing w:after="0"/>
        <w:contextualSpacing/>
        <w:rPr>
          <w:rFonts w:ascii="Arial" w:eastAsia="Calibri" w:hAnsi="Arial" w:cs="Arial"/>
          <w:sz w:val="22"/>
          <w:szCs w:val="24"/>
        </w:rPr>
      </w:pPr>
      <w:r w:rsidRPr="00076A87">
        <w:rPr>
          <w:rFonts w:ascii="Arial" w:eastAsia="Calibri" w:hAnsi="Arial" w:cs="Arial"/>
          <w:sz w:val="22"/>
          <w:szCs w:val="24"/>
        </w:rPr>
        <w:t xml:space="preserve">Upfront commitment to fund the upscaling of successful models across regions in Northern and Central Australia where progressive kidney disease and ESKD are most profoundly impacting Australians </w:t>
      </w:r>
    </w:p>
    <w:p w14:paraId="4D2F0C3B" w14:textId="77777777" w:rsidR="00076A87" w:rsidRPr="00076A87" w:rsidRDefault="00076A87" w:rsidP="00076A87">
      <w:pPr>
        <w:spacing w:after="0"/>
        <w:jc w:val="both"/>
        <w:rPr>
          <w:rFonts w:ascii="Arial" w:eastAsia="Calibri" w:hAnsi="Arial" w:cs="Arial"/>
          <w:sz w:val="22"/>
          <w:szCs w:val="24"/>
        </w:rPr>
      </w:pPr>
    </w:p>
    <w:p w14:paraId="20F51119" w14:textId="77777777" w:rsidR="00076A87" w:rsidRPr="00076A87" w:rsidRDefault="00076A87" w:rsidP="00076A87">
      <w:pPr>
        <w:spacing w:after="0"/>
        <w:jc w:val="both"/>
        <w:rPr>
          <w:rFonts w:ascii="Arial" w:eastAsia="Calibri" w:hAnsi="Arial" w:cs="Arial"/>
          <w:sz w:val="22"/>
          <w:szCs w:val="24"/>
        </w:rPr>
      </w:pPr>
      <w:r w:rsidRPr="00076A87">
        <w:rPr>
          <w:rFonts w:ascii="Arial" w:eastAsia="Calibri" w:hAnsi="Arial" w:cs="Arial"/>
          <w:sz w:val="22"/>
          <w:szCs w:val="24"/>
        </w:rPr>
        <w:t xml:space="preserve">We believe sustainability in this proposed solution will achieve cost benefit through reduced expenditure on acute care evacuations, and costly management of diabetes and end stage kidney failure.  An employed local workforce drives local economies, improves the standard of living for the Indigenous workforce, and creates health hubs with a focus on health maintenance.  </w:t>
      </w:r>
    </w:p>
    <w:p w14:paraId="749DA181" w14:textId="77777777" w:rsidR="00076A87" w:rsidRPr="00076A87" w:rsidRDefault="00076A87" w:rsidP="00076A87">
      <w:pPr>
        <w:rPr>
          <w:rFonts w:ascii="Arial" w:eastAsia="Calibri" w:hAnsi="Arial" w:cs="Arial"/>
          <w:sz w:val="24"/>
          <w:szCs w:val="24"/>
        </w:rPr>
      </w:pPr>
      <w:r w:rsidRPr="00076A87">
        <w:rPr>
          <w:rFonts w:ascii="Arial" w:eastAsia="Calibri" w:hAnsi="Arial" w:cs="Arial"/>
          <w:sz w:val="24"/>
          <w:szCs w:val="24"/>
        </w:rPr>
        <w:br w:type="page"/>
      </w:r>
    </w:p>
    <w:p w14:paraId="5E49BF42" w14:textId="77777777" w:rsidR="00076A87" w:rsidRPr="00076A87" w:rsidRDefault="00076A87" w:rsidP="00076A87">
      <w:pPr>
        <w:keepNext/>
        <w:keepLines/>
        <w:spacing w:before="240" w:after="0"/>
        <w:outlineLvl w:val="1"/>
        <w:rPr>
          <w:rFonts w:ascii="Arial" w:eastAsia="Times New Roman" w:hAnsi="Arial" w:cs="Arial"/>
          <w:b/>
          <w:bCs/>
          <w:color w:val="2F5496"/>
          <w:sz w:val="24"/>
          <w:szCs w:val="24"/>
        </w:rPr>
      </w:pPr>
      <w:bookmarkStart w:id="117" w:name="_Toc532805997"/>
      <w:r w:rsidRPr="00076A87">
        <w:rPr>
          <w:rFonts w:ascii="Arial" w:eastAsia="Times New Roman" w:hAnsi="Arial" w:cs="Arial"/>
          <w:b/>
          <w:bCs/>
          <w:color w:val="2F5496"/>
          <w:sz w:val="24"/>
          <w:szCs w:val="24"/>
        </w:rPr>
        <w:lastRenderedPageBreak/>
        <w:t>Item 2: Meaningful knowledge sharing for the Aboriginal and Torres Strait Renal Patient Community</w:t>
      </w:r>
      <w:bookmarkEnd w:id="117"/>
    </w:p>
    <w:p w14:paraId="4E3B284F" w14:textId="77777777" w:rsidR="00076A87" w:rsidRPr="00076A87" w:rsidRDefault="00076A87" w:rsidP="00076A87">
      <w:pPr>
        <w:spacing w:after="0"/>
        <w:rPr>
          <w:rFonts w:ascii="Arial" w:eastAsia="Calibri" w:hAnsi="Arial" w:cs="Arial"/>
          <w:i/>
          <w:sz w:val="24"/>
          <w:szCs w:val="24"/>
        </w:rPr>
      </w:pPr>
    </w:p>
    <w:p w14:paraId="4E8636AA" w14:textId="77777777" w:rsidR="00076A87" w:rsidRPr="00076A87" w:rsidRDefault="00076A87" w:rsidP="00076A87">
      <w:pPr>
        <w:keepNext/>
        <w:keepLines/>
        <w:spacing w:after="0"/>
        <w:outlineLvl w:val="2"/>
        <w:rPr>
          <w:rFonts w:ascii="Arial" w:eastAsia="Times New Roman" w:hAnsi="Arial" w:cs="Arial"/>
          <w:bCs/>
          <w:i/>
          <w:sz w:val="24"/>
          <w:szCs w:val="24"/>
        </w:rPr>
      </w:pPr>
      <w:r w:rsidRPr="00076A87">
        <w:rPr>
          <w:rFonts w:ascii="Arial" w:eastAsia="Times New Roman" w:hAnsi="Arial" w:cs="Arial"/>
          <w:bCs/>
          <w:i/>
          <w:sz w:val="24"/>
          <w:szCs w:val="24"/>
        </w:rPr>
        <w:t xml:space="preserve">The Issue </w:t>
      </w:r>
    </w:p>
    <w:p w14:paraId="0DEBFB0B" w14:textId="77777777" w:rsidR="00076A87" w:rsidRPr="00076A87" w:rsidRDefault="00076A87" w:rsidP="00076A87">
      <w:pPr>
        <w:spacing w:after="0"/>
        <w:jc w:val="both"/>
        <w:rPr>
          <w:rFonts w:ascii="Arial" w:eastAsia="Calibri" w:hAnsi="Arial" w:cs="Arial"/>
          <w:i/>
          <w:sz w:val="22"/>
          <w:szCs w:val="24"/>
        </w:rPr>
      </w:pPr>
      <w:r w:rsidRPr="00076A87">
        <w:rPr>
          <w:rFonts w:ascii="Arial" w:eastAsia="Calibri" w:hAnsi="Arial" w:cs="Arial"/>
          <w:sz w:val="22"/>
          <w:szCs w:val="24"/>
        </w:rPr>
        <w:t>Australia’s health care system advantages Australians living close to centralised and metropolitan services, and disadvantages those living further away.  There is a physical divide between biomedical knowledge keepers (health expertise) who can assist access to biomedical treatments, and the Aboriginal and Torres Strait Islander peoples living in Australian regions which have the highest burden of diabetes and progressive CKD (health care users).</w:t>
      </w:r>
      <w:r w:rsidRPr="00076A87">
        <w:rPr>
          <w:rFonts w:ascii="Arial" w:eastAsia="Calibri" w:hAnsi="Arial" w:cs="Arial"/>
          <w:i/>
          <w:sz w:val="22"/>
          <w:szCs w:val="24"/>
        </w:rPr>
        <w:t xml:space="preserve"> </w:t>
      </w:r>
    </w:p>
    <w:p w14:paraId="310A7BF6" w14:textId="77777777" w:rsidR="00076A87" w:rsidRPr="00076A87" w:rsidRDefault="00076A87" w:rsidP="00076A87">
      <w:pPr>
        <w:spacing w:after="0"/>
        <w:rPr>
          <w:rFonts w:ascii="Arial" w:eastAsia="Calibri" w:hAnsi="Arial" w:cs="Arial"/>
          <w:i/>
          <w:sz w:val="24"/>
          <w:szCs w:val="24"/>
        </w:rPr>
      </w:pPr>
    </w:p>
    <w:p w14:paraId="7A425139" w14:textId="77777777" w:rsidR="00076A87" w:rsidRPr="00076A87" w:rsidRDefault="00076A87" w:rsidP="00076A87">
      <w:pPr>
        <w:keepNext/>
        <w:keepLines/>
        <w:spacing w:after="0"/>
        <w:outlineLvl w:val="2"/>
        <w:rPr>
          <w:rFonts w:ascii="Arial" w:eastAsia="Times New Roman" w:hAnsi="Arial" w:cs="Arial"/>
          <w:bCs/>
          <w:i/>
          <w:sz w:val="24"/>
          <w:szCs w:val="24"/>
        </w:rPr>
      </w:pPr>
      <w:r w:rsidRPr="00076A87">
        <w:rPr>
          <w:rFonts w:ascii="Arial" w:eastAsia="Times New Roman" w:hAnsi="Arial" w:cs="Arial"/>
          <w:bCs/>
          <w:i/>
          <w:sz w:val="24"/>
          <w:szCs w:val="24"/>
        </w:rPr>
        <w:t>The Impact</w:t>
      </w:r>
    </w:p>
    <w:p w14:paraId="5D32F523" w14:textId="77777777" w:rsidR="00076A87" w:rsidRPr="00076A87" w:rsidRDefault="00076A87" w:rsidP="00076A87">
      <w:pPr>
        <w:spacing w:after="0"/>
        <w:jc w:val="both"/>
        <w:rPr>
          <w:rFonts w:ascii="Arial" w:eastAsia="Calibri" w:hAnsi="Arial" w:cs="Arial"/>
          <w:sz w:val="22"/>
          <w:szCs w:val="24"/>
        </w:rPr>
      </w:pPr>
      <w:r w:rsidRPr="00076A87">
        <w:rPr>
          <w:rFonts w:ascii="Arial" w:eastAsia="Calibri" w:hAnsi="Arial" w:cs="Arial"/>
          <w:sz w:val="22"/>
          <w:szCs w:val="24"/>
        </w:rPr>
        <w:t xml:space="preserve">Aboriginal and Torres Strait Islander patients and families want information for personal positive health, and personalised action plans which promote health and wellness.  This divide diminishes accurate, relevant, efficient and effective knowledge sharing, and manifest as </w:t>
      </w:r>
      <w:r w:rsidRPr="00076A87">
        <w:rPr>
          <w:rFonts w:ascii="Arial" w:eastAsia="Calibri" w:hAnsi="Arial" w:cs="Arial"/>
          <w:b/>
          <w:sz w:val="22"/>
          <w:szCs w:val="24"/>
        </w:rPr>
        <w:t>profound knowledge gaps.</w:t>
      </w:r>
    </w:p>
    <w:p w14:paraId="06F31C41" w14:textId="77777777" w:rsidR="00076A87" w:rsidRPr="00076A87" w:rsidRDefault="00076A87" w:rsidP="00076A87">
      <w:pPr>
        <w:spacing w:after="0"/>
        <w:jc w:val="both"/>
        <w:rPr>
          <w:rFonts w:ascii="Arial" w:eastAsia="Calibri" w:hAnsi="Arial" w:cs="Arial"/>
          <w:b/>
          <w:sz w:val="22"/>
          <w:szCs w:val="24"/>
        </w:rPr>
      </w:pPr>
    </w:p>
    <w:p w14:paraId="378FA99A" w14:textId="77777777" w:rsidR="00076A87" w:rsidRPr="00076A87" w:rsidRDefault="00076A87" w:rsidP="00076A87">
      <w:pPr>
        <w:spacing w:after="0"/>
        <w:jc w:val="both"/>
        <w:rPr>
          <w:rFonts w:ascii="Arial" w:eastAsia="Calibri" w:hAnsi="Arial" w:cs="Arial"/>
          <w:sz w:val="22"/>
          <w:szCs w:val="24"/>
        </w:rPr>
      </w:pPr>
      <w:r w:rsidRPr="00076A87">
        <w:rPr>
          <w:rFonts w:ascii="Arial" w:eastAsia="Calibri" w:hAnsi="Arial" w:cs="Arial"/>
          <w:sz w:val="22"/>
          <w:szCs w:val="24"/>
        </w:rPr>
        <w:t xml:space="preserve">Profound knowledge gaps may arise due to </w:t>
      </w:r>
    </w:p>
    <w:p w14:paraId="1D6A576F" w14:textId="77777777" w:rsidR="00076A87" w:rsidRPr="00076A87" w:rsidRDefault="00076A87" w:rsidP="00076A87">
      <w:pPr>
        <w:numPr>
          <w:ilvl w:val="0"/>
          <w:numId w:val="127"/>
        </w:numPr>
        <w:spacing w:after="0"/>
        <w:contextualSpacing/>
        <w:jc w:val="both"/>
        <w:rPr>
          <w:rFonts w:ascii="Arial" w:eastAsia="Calibri" w:hAnsi="Arial" w:cs="Arial"/>
          <w:sz w:val="22"/>
          <w:szCs w:val="24"/>
        </w:rPr>
      </w:pPr>
      <w:r w:rsidRPr="00076A87">
        <w:rPr>
          <w:rFonts w:ascii="Arial" w:eastAsia="Calibri" w:hAnsi="Arial" w:cs="Arial"/>
          <w:sz w:val="22"/>
          <w:szCs w:val="24"/>
        </w:rPr>
        <w:t xml:space="preserve">Staff have low knowledge of effective methods of biomedical knowledge sharing between culturally distinct groups (the health carer and remote living Indigenous peoples), </w:t>
      </w:r>
    </w:p>
    <w:p w14:paraId="13A8F2AD" w14:textId="77777777" w:rsidR="00076A87" w:rsidRPr="00076A87" w:rsidRDefault="00076A87" w:rsidP="00076A87">
      <w:pPr>
        <w:numPr>
          <w:ilvl w:val="0"/>
          <w:numId w:val="127"/>
        </w:numPr>
        <w:spacing w:after="0"/>
        <w:contextualSpacing/>
        <w:jc w:val="both"/>
        <w:rPr>
          <w:rFonts w:ascii="Arial" w:eastAsia="Calibri" w:hAnsi="Arial" w:cs="Arial"/>
          <w:sz w:val="22"/>
          <w:szCs w:val="24"/>
        </w:rPr>
      </w:pPr>
      <w:r w:rsidRPr="00076A87">
        <w:rPr>
          <w:rFonts w:ascii="Arial" w:eastAsia="Calibri" w:hAnsi="Arial" w:cs="Arial"/>
          <w:sz w:val="22"/>
          <w:szCs w:val="24"/>
        </w:rPr>
        <w:t>Reduced time for effective knowledge sharing (competing clinical duties of understaffing)</w:t>
      </w:r>
    </w:p>
    <w:p w14:paraId="537296E9" w14:textId="77777777" w:rsidR="00076A87" w:rsidRPr="00076A87" w:rsidRDefault="00076A87" w:rsidP="00076A87">
      <w:pPr>
        <w:numPr>
          <w:ilvl w:val="0"/>
          <w:numId w:val="127"/>
        </w:numPr>
        <w:spacing w:after="0"/>
        <w:contextualSpacing/>
        <w:jc w:val="both"/>
        <w:rPr>
          <w:rFonts w:ascii="Arial" w:eastAsia="Calibri" w:hAnsi="Arial" w:cs="Arial"/>
          <w:sz w:val="22"/>
          <w:szCs w:val="24"/>
        </w:rPr>
      </w:pPr>
      <w:r w:rsidRPr="00076A87">
        <w:rPr>
          <w:rFonts w:ascii="Arial" w:eastAsia="Calibri" w:hAnsi="Arial" w:cs="Arial"/>
          <w:sz w:val="22"/>
          <w:szCs w:val="24"/>
        </w:rPr>
        <w:t>Low workforce participation of Indigenous people who have knowledge of bicultural ways of working</w:t>
      </w:r>
    </w:p>
    <w:p w14:paraId="6E144E18" w14:textId="77777777" w:rsidR="00076A87" w:rsidRPr="00076A87" w:rsidRDefault="00076A87" w:rsidP="00076A87">
      <w:pPr>
        <w:numPr>
          <w:ilvl w:val="0"/>
          <w:numId w:val="127"/>
        </w:numPr>
        <w:spacing w:after="0"/>
        <w:contextualSpacing/>
        <w:jc w:val="both"/>
        <w:rPr>
          <w:rFonts w:ascii="Arial" w:eastAsia="Calibri" w:hAnsi="Arial" w:cs="Arial"/>
          <w:sz w:val="22"/>
          <w:szCs w:val="24"/>
        </w:rPr>
      </w:pPr>
      <w:r w:rsidRPr="00076A87">
        <w:rPr>
          <w:rFonts w:ascii="Arial" w:eastAsia="Calibri" w:hAnsi="Arial" w:cs="Arial"/>
          <w:sz w:val="22"/>
          <w:szCs w:val="24"/>
        </w:rPr>
        <w:t xml:space="preserve">Systems of health care which favours </w:t>
      </w:r>
      <w:proofErr w:type="gramStart"/>
      <w:r w:rsidRPr="00076A87">
        <w:rPr>
          <w:rFonts w:ascii="Arial" w:eastAsia="Calibri" w:hAnsi="Arial" w:cs="Arial"/>
          <w:sz w:val="22"/>
          <w:szCs w:val="24"/>
        </w:rPr>
        <w:t>those  who</w:t>
      </w:r>
      <w:proofErr w:type="gramEnd"/>
      <w:r w:rsidRPr="00076A87">
        <w:rPr>
          <w:rFonts w:ascii="Arial" w:eastAsia="Calibri" w:hAnsi="Arial" w:cs="Arial"/>
          <w:sz w:val="22"/>
          <w:szCs w:val="24"/>
        </w:rPr>
        <w:t xml:space="preserve"> can access mainstream and centralised services, and </w:t>
      </w:r>
    </w:p>
    <w:p w14:paraId="1C04ECAD" w14:textId="77777777" w:rsidR="00076A87" w:rsidRPr="00076A87" w:rsidRDefault="00076A87" w:rsidP="00076A87">
      <w:pPr>
        <w:numPr>
          <w:ilvl w:val="0"/>
          <w:numId w:val="127"/>
        </w:numPr>
        <w:spacing w:after="0"/>
        <w:contextualSpacing/>
        <w:jc w:val="both"/>
        <w:rPr>
          <w:rFonts w:ascii="Arial" w:eastAsia="Calibri" w:hAnsi="Arial" w:cs="Arial"/>
          <w:sz w:val="22"/>
          <w:szCs w:val="24"/>
        </w:rPr>
      </w:pPr>
      <w:r w:rsidRPr="00076A87">
        <w:rPr>
          <w:rFonts w:ascii="Arial" w:eastAsia="Calibri" w:hAnsi="Arial" w:cs="Arial"/>
          <w:sz w:val="22"/>
          <w:szCs w:val="24"/>
        </w:rPr>
        <w:t>Models of care designed to meet the needs of service providers, rather than Aboriginal patients.</w:t>
      </w:r>
    </w:p>
    <w:p w14:paraId="03F8695D" w14:textId="77777777" w:rsidR="00076A87" w:rsidRPr="00076A87" w:rsidRDefault="00076A87" w:rsidP="00076A87">
      <w:pPr>
        <w:spacing w:after="0"/>
        <w:jc w:val="center"/>
        <w:rPr>
          <w:rFonts w:ascii="Arial" w:eastAsia="Calibri" w:hAnsi="Arial" w:cs="Arial"/>
          <w:sz w:val="24"/>
          <w:szCs w:val="24"/>
        </w:rPr>
      </w:pPr>
    </w:p>
    <w:p w14:paraId="6BEED752" w14:textId="77777777" w:rsidR="00076A87" w:rsidRPr="00076A87" w:rsidRDefault="00076A87" w:rsidP="00076A87">
      <w:pPr>
        <w:keepNext/>
        <w:keepLines/>
        <w:spacing w:after="0"/>
        <w:outlineLvl w:val="2"/>
        <w:rPr>
          <w:rFonts w:ascii="Arial" w:eastAsia="Times New Roman" w:hAnsi="Arial" w:cs="Arial"/>
          <w:bCs/>
          <w:i/>
          <w:sz w:val="24"/>
          <w:szCs w:val="24"/>
        </w:rPr>
      </w:pPr>
      <w:r w:rsidRPr="00076A87">
        <w:rPr>
          <w:rFonts w:ascii="Arial" w:eastAsia="Times New Roman" w:hAnsi="Arial" w:cs="Arial"/>
          <w:bCs/>
          <w:i/>
          <w:sz w:val="24"/>
          <w:szCs w:val="24"/>
        </w:rPr>
        <w:t>The Proposed Solution</w:t>
      </w:r>
    </w:p>
    <w:p w14:paraId="44C74A04" w14:textId="77777777" w:rsidR="00076A87" w:rsidRPr="00076A87" w:rsidRDefault="00076A87" w:rsidP="00076A87">
      <w:pPr>
        <w:spacing w:after="0"/>
        <w:jc w:val="both"/>
        <w:rPr>
          <w:rFonts w:ascii="Arial" w:eastAsia="Calibri" w:hAnsi="Arial" w:cs="Arial"/>
          <w:sz w:val="22"/>
          <w:szCs w:val="24"/>
        </w:rPr>
      </w:pPr>
      <w:r w:rsidRPr="00076A87">
        <w:rPr>
          <w:rFonts w:ascii="Arial" w:eastAsia="Calibri" w:hAnsi="Arial" w:cs="Arial"/>
          <w:sz w:val="22"/>
          <w:szCs w:val="24"/>
        </w:rPr>
        <w:t xml:space="preserve">Fit for purpose </w:t>
      </w:r>
      <w:r w:rsidRPr="00076A87">
        <w:rPr>
          <w:rFonts w:ascii="Arial" w:eastAsia="Calibri" w:hAnsi="Arial" w:cs="Arial"/>
          <w:b/>
          <w:sz w:val="22"/>
          <w:szCs w:val="24"/>
        </w:rPr>
        <w:t>biomedical knowledge sharing processes and methods</w:t>
      </w:r>
      <w:r w:rsidRPr="00076A87">
        <w:rPr>
          <w:rFonts w:ascii="Arial" w:eastAsia="Calibri" w:hAnsi="Arial" w:cs="Arial"/>
          <w:sz w:val="22"/>
          <w:szCs w:val="24"/>
        </w:rPr>
        <w:t xml:space="preserve"> are required to address the </w:t>
      </w:r>
      <w:r w:rsidRPr="00076A87">
        <w:rPr>
          <w:rFonts w:ascii="Arial" w:eastAsia="Calibri" w:hAnsi="Arial" w:cs="Arial"/>
          <w:b/>
          <w:sz w:val="22"/>
          <w:szCs w:val="24"/>
        </w:rPr>
        <w:t>profound knowledge gaps</w:t>
      </w:r>
      <w:r w:rsidRPr="00076A87">
        <w:rPr>
          <w:rFonts w:ascii="Arial" w:eastAsia="Calibri" w:hAnsi="Arial" w:cs="Arial"/>
          <w:sz w:val="22"/>
          <w:szCs w:val="24"/>
        </w:rPr>
        <w:t xml:space="preserve"> and to advance health of Aboriginal and Torres Strait Islander peoples.  These processes will address key priority areas recognised by clinicians and patients and community and include: overweight, diabetes, heart and kidney health, and risks associated with chronic infection and inflammation. </w:t>
      </w:r>
    </w:p>
    <w:p w14:paraId="2C6F6494" w14:textId="77777777" w:rsidR="00076A87" w:rsidRPr="00076A87" w:rsidRDefault="00076A87" w:rsidP="00076A87">
      <w:pPr>
        <w:spacing w:after="0"/>
        <w:jc w:val="both"/>
        <w:rPr>
          <w:rFonts w:ascii="Arial" w:eastAsia="Calibri" w:hAnsi="Arial" w:cs="Arial"/>
          <w:sz w:val="24"/>
          <w:szCs w:val="24"/>
        </w:rPr>
      </w:pPr>
    </w:p>
    <w:p w14:paraId="48725589" w14:textId="77777777" w:rsidR="00076A87" w:rsidRPr="00076A87" w:rsidRDefault="00076A87" w:rsidP="00076A87">
      <w:pPr>
        <w:keepNext/>
        <w:keepLines/>
        <w:spacing w:after="0"/>
        <w:outlineLvl w:val="2"/>
        <w:rPr>
          <w:rFonts w:ascii="Arial" w:eastAsia="Times New Roman" w:hAnsi="Arial" w:cs="Arial"/>
          <w:bCs/>
          <w:i/>
          <w:sz w:val="24"/>
          <w:szCs w:val="24"/>
        </w:rPr>
      </w:pPr>
      <w:r w:rsidRPr="00076A87">
        <w:rPr>
          <w:rFonts w:ascii="Arial" w:eastAsia="Times New Roman" w:hAnsi="Arial" w:cs="Arial"/>
          <w:bCs/>
          <w:i/>
          <w:sz w:val="24"/>
          <w:szCs w:val="24"/>
        </w:rPr>
        <w:t>Proposed Funding Requirement</w:t>
      </w:r>
    </w:p>
    <w:p w14:paraId="65484574" w14:textId="77777777" w:rsidR="00076A87" w:rsidRPr="00076A87" w:rsidRDefault="00076A87" w:rsidP="00076A87">
      <w:pPr>
        <w:numPr>
          <w:ilvl w:val="0"/>
          <w:numId w:val="129"/>
        </w:numPr>
        <w:spacing w:after="0"/>
        <w:contextualSpacing/>
        <w:rPr>
          <w:rFonts w:ascii="Arial" w:eastAsia="Calibri" w:hAnsi="Arial" w:cs="Arial"/>
          <w:sz w:val="22"/>
          <w:szCs w:val="24"/>
        </w:rPr>
      </w:pPr>
      <w:r w:rsidRPr="00076A87">
        <w:rPr>
          <w:rFonts w:ascii="Arial" w:eastAsia="Calibri" w:hAnsi="Arial" w:cs="Arial"/>
          <w:sz w:val="22"/>
          <w:szCs w:val="24"/>
        </w:rPr>
        <w:t>Fund the development of a health curriculum developed in partnership with community, clinical leaders and adult learning specialists. The curriculum should be suitable for adult learners, people of variable education base and Indigenous learning strengths</w:t>
      </w:r>
    </w:p>
    <w:p w14:paraId="209D676E" w14:textId="77777777" w:rsidR="00076A87" w:rsidRPr="00076A87" w:rsidRDefault="00076A87" w:rsidP="00076A87">
      <w:pPr>
        <w:numPr>
          <w:ilvl w:val="0"/>
          <w:numId w:val="129"/>
        </w:numPr>
        <w:spacing w:after="0"/>
        <w:contextualSpacing/>
        <w:jc w:val="both"/>
        <w:rPr>
          <w:rFonts w:ascii="Arial" w:eastAsia="Calibri" w:hAnsi="Arial" w:cs="Arial"/>
          <w:sz w:val="22"/>
          <w:szCs w:val="24"/>
        </w:rPr>
      </w:pPr>
      <w:r w:rsidRPr="00076A87">
        <w:rPr>
          <w:rFonts w:ascii="Arial" w:eastAsia="Calibri" w:hAnsi="Arial" w:cs="Arial"/>
          <w:sz w:val="22"/>
          <w:szCs w:val="24"/>
        </w:rPr>
        <w:t xml:space="preserve">Funding to develop a mixed-media resource packages suitable for individual patient and family use, in group meetings and use with a clinician. Resource package will need to be modified for local learning and knowledge strengths </w:t>
      </w:r>
    </w:p>
    <w:p w14:paraId="5195BD34" w14:textId="77777777" w:rsidR="00076A87" w:rsidRPr="00076A87" w:rsidRDefault="00076A87" w:rsidP="00076A87">
      <w:pPr>
        <w:numPr>
          <w:ilvl w:val="0"/>
          <w:numId w:val="129"/>
        </w:numPr>
        <w:spacing w:after="0"/>
        <w:contextualSpacing/>
        <w:jc w:val="both"/>
        <w:rPr>
          <w:rFonts w:ascii="Arial" w:eastAsia="Calibri" w:hAnsi="Arial" w:cs="Arial"/>
          <w:sz w:val="22"/>
          <w:szCs w:val="24"/>
        </w:rPr>
      </w:pPr>
      <w:r w:rsidRPr="00076A87">
        <w:rPr>
          <w:rFonts w:ascii="Arial" w:eastAsia="Calibri" w:hAnsi="Arial" w:cs="Arial"/>
          <w:sz w:val="22"/>
          <w:szCs w:val="24"/>
        </w:rPr>
        <w:t xml:space="preserve">Funding knowledge exchange events, appropriately facilitated by an Indigenous person and incorporating technical experts from well-patients and clinicians. We believe there is value in upscaling Kidney Yarning Circles: Pathways to My Home and the group meetings we have hosted as part of Catching Some Air. </w:t>
      </w:r>
    </w:p>
    <w:p w14:paraId="78885059" w14:textId="77777777" w:rsidR="00076A87" w:rsidRPr="00076A87" w:rsidRDefault="00076A87" w:rsidP="00076A87">
      <w:pPr>
        <w:spacing w:after="0"/>
        <w:rPr>
          <w:rFonts w:ascii="Arial" w:eastAsia="Calibri" w:hAnsi="Arial" w:cs="Arial"/>
          <w:b/>
          <w:sz w:val="24"/>
          <w:szCs w:val="24"/>
          <w:highlight w:val="lightGray"/>
        </w:rPr>
      </w:pPr>
      <w:r w:rsidRPr="00076A87">
        <w:rPr>
          <w:rFonts w:ascii="Arial" w:eastAsia="Calibri" w:hAnsi="Arial" w:cs="Arial"/>
          <w:sz w:val="22"/>
          <w:szCs w:val="24"/>
        </w:rPr>
        <w:t>We believe the funding request align to Closing the Gap in Indigenous health funding</w:t>
      </w:r>
      <w:r w:rsidRPr="00076A87">
        <w:rPr>
          <w:rFonts w:ascii="Arial" w:eastAsia="Calibri" w:hAnsi="Arial" w:cs="Arial"/>
          <w:b/>
          <w:sz w:val="24"/>
          <w:szCs w:val="24"/>
          <w:highlight w:val="lightGray"/>
        </w:rPr>
        <w:br w:type="page"/>
      </w:r>
    </w:p>
    <w:p w14:paraId="207F6C15" w14:textId="77777777" w:rsidR="00076A87" w:rsidRPr="00076A87" w:rsidRDefault="00076A87" w:rsidP="00076A87">
      <w:pPr>
        <w:keepNext/>
        <w:keepLines/>
        <w:spacing w:before="240" w:after="0"/>
        <w:outlineLvl w:val="1"/>
        <w:rPr>
          <w:rFonts w:ascii="Arial" w:eastAsia="Times New Roman" w:hAnsi="Arial" w:cs="Arial"/>
          <w:b/>
          <w:bCs/>
          <w:color w:val="2F5496"/>
          <w:sz w:val="24"/>
          <w:szCs w:val="24"/>
        </w:rPr>
      </w:pPr>
      <w:bookmarkStart w:id="118" w:name="_Toc532805998"/>
      <w:r w:rsidRPr="00076A87">
        <w:rPr>
          <w:rFonts w:ascii="Arial" w:eastAsia="Times New Roman" w:hAnsi="Arial" w:cs="Arial"/>
          <w:b/>
          <w:bCs/>
          <w:color w:val="2F5496"/>
          <w:sz w:val="24"/>
          <w:szCs w:val="24"/>
        </w:rPr>
        <w:lastRenderedPageBreak/>
        <w:t>Item 3: Preventative Health Care</w:t>
      </w:r>
      <w:bookmarkEnd w:id="118"/>
      <w:r w:rsidRPr="00076A87">
        <w:rPr>
          <w:rFonts w:ascii="Arial" w:eastAsia="Times New Roman" w:hAnsi="Arial" w:cs="Arial"/>
          <w:b/>
          <w:bCs/>
          <w:color w:val="2F5496"/>
          <w:sz w:val="24"/>
          <w:szCs w:val="24"/>
        </w:rPr>
        <w:t xml:space="preserve"> </w:t>
      </w:r>
    </w:p>
    <w:p w14:paraId="53621DF2" w14:textId="77777777" w:rsidR="00076A87" w:rsidRPr="00076A87" w:rsidRDefault="00076A87" w:rsidP="00076A87">
      <w:pPr>
        <w:spacing w:after="0"/>
        <w:outlineLvl w:val="3"/>
        <w:rPr>
          <w:rFonts w:ascii="Arial" w:eastAsia="Calibri" w:hAnsi="Arial" w:cs="Arial"/>
          <w:b/>
          <w:i/>
          <w:color w:val="2F5496"/>
          <w:sz w:val="22"/>
          <w:szCs w:val="24"/>
        </w:rPr>
      </w:pPr>
    </w:p>
    <w:p w14:paraId="7623AF38" w14:textId="77777777" w:rsidR="00076A87" w:rsidRPr="00076A87" w:rsidRDefault="00076A87" w:rsidP="00076A87">
      <w:pPr>
        <w:keepNext/>
        <w:keepLines/>
        <w:spacing w:after="0"/>
        <w:outlineLvl w:val="2"/>
        <w:rPr>
          <w:rFonts w:ascii="Arial" w:eastAsia="Times New Roman" w:hAnsi="Arial" w:cs="Arial"/>
          <w:bCs/>
          <w:i/>
          <w:sz w:val="24"/>
          <w:szCs w:val="24"/>
        </w:rPr>
      </w:pPr>
      <w:r w:rsidRPr="00076A87">
        <w:rPr>
          <w:rFonts w:ascii="Arial" w:eastAsia="Times New Roman" w:hAnsi="Arial" w:cs="Arial"/>
          <w:bCs/>
          <w:i/>
          <w:sz w:val="24"/>
          <w:szCs w:val="24"/>
        </w:rPr>
        <w:t>The Issue</w:t>
      </w:r>
      <w:r w:rsidRPr="00076A87" w:rsidDel="00857C19">
        <w:rPr>
          <w:rFonts w:ascii="Arial" w:eastAsia="Times New Roman" w:hAnsi="Arial" w:cs="Arial"/>
          <w:bCs/>
          <w:i/>
          <w:sz w:val="24"/>
          <w:szCs w:val="24"/>
        </w:rPr>
        <w:t xml:space="preserve"> </w:t>
      </w:r>
    </w:p>
    <w:p w14:paraId="5205DD2C" w14:textId="77777777" w:rsidR="00076A87" w:rsidRPr="00076A87" w:rsidRDefault="00076A87" w:rsidP="00076A87">
      <w:pPr>
        <w:spacing w:after="0"/>
        <w:rPr>
          <w:rFonts w:ascii="Arial" w:eastAsia="Calibri" w:hAnsi="Arial" w:cs="Arial"/>
          <w:sz w:val="22"/>
          <w:szCs w:val="24"/>
        </w:rPr>
      </w:pPr>
      <w:r w:rsidRPr="00076A87">
        <w:rPr>
          <w:rFonts w:ascii="Arial" w:eastAsia="Calibri" w:hAnsi="Arial" w:cs="Arial"/>
          <w:sz w:val="22"/>
          <w:szCs w:val="24"/>
        </w:rPr>
        <w:t>There is no comprehensive preventive kidney health care model which is suitable for Aboriginal and Torres Strait Islander people living in rural and remote areas known to have high risk of diabetes and progressive CKD.</w:t>
      </w:r>
    </w:p>
    <w:p w14:paraId="4602B521" w14:textId="77777777" w:rsidR="00076A87" w:rsidRPr="00076A87" w:rsidRDefault="00076A87" w:rsidP="00076A87">
      <w:pPr>
        <w:spacing w:after="0"/>
        <w:rPr>
          <w:rFonts w:ascii="Arial" w:eastAsia="Calibri" w:hAnsi="Arial" w:cs="Arial"/>
          <w:sz w:val="24"/>
          <w:szCs w:val="24"/>
        </w:rPr>
      </w:pPr>
    </w:p>
    <w:p w14:paraId="70EB8C26" w14:textId="77777777" w:rsidR="00076A87" w:rsidRPr="00076A87" w:rsidRDefault="00076A87" w:rsidP="00076A87">
      <w:pPr>
        <w:keepNext/>
        <w:keepLines/>
        <w:spacing w:after="0"/>
        <w:outlineLvl w:val="2"/>
        <w:rPr>
          <w:rFonts w:ascii="Arial" w:eastAsia="Times New Roman" w:hAnsi="Arial" w:cs="Arial"/>
          <w:bCs/>
          <w:i/>
          <w:sz w:val="24"/>
          <w:szCs w:val="24"/>
        </w:rPr>
      </w:pPr>
      <w:r w:rsidRPr="00076A87">
        <w:rPr>
          <w:rFonts w:ascii="Arial" w:eastAsia="Times New Roman" w:hAnsi="Arial" w:cs="Arial"/>
          <w:bCs/>
          <w:i/>
          <w:sz w:val="24"/>
          <w:szCs w:val="24"/>
        </w:rPr>
        <w:t>The Impact</w:t>
      </w:r>
    </w:p>
    <w:p w14:paraId="176C93DB" w14:textId="77777777" w:rsidR="00076A87" w:rsidRPr="00076A87" w:rsidRDefault="00076A87" w:rsidP="00076A87">
      <w:pPr>
        <w:spacing w:after="0"/>
        <w:jc w:val="both"/>
        <w:rPr>
          <w:rFonts w:ascii="Arial" w:eastAsia="Calibri" w:hAnsi="Arial" w:cs="Arial"/>
          <w:sz w:val="22"/>
          <w:szCs w:val="24"/>
        </w:rPr>
      </w:pPr>
      <w:r w:rsidRPr="00076A87">
        <w:rPr>
          <w:rFonts w:ascii="Arial" w:eastAsia="Calibri" w:hAnsi="Arial" w:cs="Arial"/>
          <w:sz w:val="22"/>
          <w:szCs w:val="24"/>
        </w:rPr>
        <w:t xml:space="preserve">Undiagnosed and poorly controlled diabetes and progressive CKD contribute to excess end stage kidney disease (requiring dialysis), hospital care and excess mortality.  These largely preventable conditions have devastating impacts on individuals, families, communities and economies in Northern Australia. </w:t>
      </w:r>
    </w:p>
    <w:p w14:paraId="3B70EA63" w14:textId="77777777" w:rsidR="00076A87" w:rsidRPr="00076A87" w:rsidRDefault="00076A87" w:rsidP="00076A87">
      <w:pPr>
        <w:spacing w:after="0"/>
        <w:rPr>
          <w:rFonts w:ascii="Arial" w:eastAsia="Calibri" w:hAnsi="Arial" w:cs="Arial"/>
          <w:i/>
          <w:sz w:val="24"/>
          <w:szCs w:val="24"/>
        </w:rPr>
      </w:pPr>
    </w:p>
    <w:p w14:paraId="75DCA9C9" w14:textId="77777777" w:rsidR="00076A87" w:rsidRPr="00076A87" w:rsidRDefault="00076A87" w:rsidP="00076A87">
      <w:pPr>
        <w:keepNext/>
        <w:keepLines/>
        <w:spacing w:after="0"/>
        <w:outlineLvl w:val="2"/>
        <w:rPr>
          <w:rFonts w:ascii="Arial" w:eastAsia="Times New Roman" w:hAnsi="Arial" w:cs="Arial"/>
          <w:bCs/>
          <w:i/>
          <w:sz w:val="24"/>
          <w:szCs w:val="24"/>
        </w:rPr>
      </w:pPr>
      <w:r w:rsidRPr="00076A87">
        <w:rPr>
          <w:rFonts w:ascii="Arial" w:eastAsia="Times New Roman" w:hAnsi="Arial" w:cs="Arial"/>
          <w:bCs/>
          <w:i/>
          <w:sz w:val="24"/>
          <w:szCs w:val="24"/>
        </w:rPr>
        <w:t xml:space="preserve">The Proposed Solution </w:t>
      </w:r>
    </w:p>
    <w:p w14:paraId="2D6A6B59" w14:textId="77777777" w:rsidR="00076A87" w:rsidRPr="00076A87" w:rsidRDefault="00076A87" w:rsidP="00076A87">
      <w:pPr>
        <w:spacing w:after="0"/>
        <w:jc w:val="both"/>
        <w:rPr>
          <w:rFonts w:ascii="Arial" w:eastAsia="Calibri" w:hAnsi="Arial" w:cs="Arial"/>
          <w:sz w:val="22"/>
          <w:szCs w:val="24"/>
        </w:rPr>
      </w:pPr>
      <w:r w:rsidRPr="00076A87">
        <w:rPr>
          <w:rFonts w:ascii="Arial" w:eastAsia="Calibri" w:hAnsi="Arial" w:cs="Arial"/>
          <w:sz w:val="22"/>
          <w:szCs w:val="24"/>
        </w:rPr>
        <w:t xml:space="preserve">A preventive care model is required and must work for Aboriginal and Torres Strait Islander people living with and at risk of developing diabetes and CKD.  The model will require ground up design with adaptations from existing models (such as Deadly Choices), and requires funding of an Indigenous workforce in rural and remote communities. </w:t>
      </w:r>
    </w:p>
    <w:p w14:paraId="66A4FB63" w14:textId="77777777" w:rsidR="00076A87" w:rsidRPr="00076A87" w:rsidRDefault="00076A87" w:rsidP="00076A87">
      <w:pPr>
        <w:spacing w:after="0"/>
        <w:jc w:val="both"/>
        <w:rPr>
          <w:rFonts w:ascii="Arial" w:eastAsia="Calibri" w:hAnsi="Arial" w:cs="Arial"/>
          <w:sz w:val="22"/>
          <w:szCs w:val="24"/>
        </w:rPr>
      </w:pPr>
    </w:p>
    <w:p w14:paraId="624CFECC" w14:textId="77777777" w:rsidR="00076A87" w:rsidRPr="00076A87" w:rsidRDefault="00076A87" w:rsidP="00076A87">
      <w:pPr>
        <w:spacing w:after="0"/>
        <w:jc w:val="both"/>
        <w:rPr>
          <w:rFonts w:ascii="Arial" w:eastAsia="Calibri" w:hAnsi="Arial" w:cs="Arial"/>
          <w:sz w:val="22"/>
          <w:szCs w:val="24"/>
        </w:rPr>
      </w:pPr>
      <w:r w:rsidRPr="00076A87">
        <w:rPr>
          <w:rFonts w:ascii="Arial" w:eastAsia="Calibri" w:hAnsi="Arial" w:cs="Arial"/>
          <w:sz w:val="22"/>
          <w:szCs w:val="24"/>
        </w:rPr>
        <w:t xml:space="preserve">Community based health prevention workers will comprise this innovative workforce, which will be locally recruited and trained. Their training expertise will include health promotion/prevention/health education. They will be linked into regional, state/territory wide and commonwealth hubs. </w:t>
      </w:r>
    </w:p>
    <w:p w14:paraId="3ED7BF49" w14:textId="77777777" w:rsidR="00076A87" w:rsidRPr="00076A87" w:rsidRDefault="00076A87" w:rsidP="00076A87">
      <w:pPr>
        <w:spacing w:after="0"/>
        <w:jc w:val="both"/>
        <w:rPr>
          <w:rFonts w:ascii="Arial" w:eastAsia="Calibri" w:hAnsi="Arial" w:cs="Arial"/>
          <w:sz w:val="22"/>
          <w:szCs w:val="24"/>
        </w:rPr>
      </w:pPr>
    </w:p>
    <w:p w14:paraId="75D231ED" w14:textId="77777777" w:rsidR="00076A87" w:rsidRPr="00076A87" w:rsidRDefault="00076A87" w:rsidP="00076A87">
      <w:pPr>
        <w:spacing w:after="0"/>
        <w:rPr>
          <w:rFonts w:ascii="Arial" w:eastAsia="Calibri" w:hAnsi="Arial" w:cs="Arial"/>
          <w:sz w:val="22"/>
          <w:szCs w:val="24"/>
        </w:rPr>
      </w:pPr>
      <w:r w:rsidRPr="00076A87">
        <w:rPr>
          <w:rFonts w:ascii="Arial" w:eastAsia="Calibri" w:hAnsi="Arial" w:cs="Arial"/>
          <w:sz w:val="22"/>
          <w:szCs w:val="24"/>
        </w:rPr>
        <w:t xml:space="preserve">Commonwealth and Territory/State and Local governments and Aboriginal Community Control sectors must have a partnership agreement with renal patients within local communities/regional areas to discuss options for funding. </w:t>
      </w:r>
    </w:p>
    <w:p w14:paraId="1BD24C35" w14:textId="77777777" w:rsidR="00076A87" w:rsidRPr="00076A87" w:rsidRDefault="00076A87" w:rsidP="00076A87">
      <w:pPr>
        <w:spacing w:after="0"/>
        <w:jc w:val="both"/>
        <w:rPr>
          <w:rFonts w:ascii="Arial" w:eastAsia="Calibri" w:hAnsi="Arial" w:cs="Arial"/>
          <w:sz w:val="24"/>
          <w:szCs w:val="24"/>
        </w:rPr>
      </w:pPr>
    </w:p>
    <w:p w14:paraId="6DC25183" w14:textId="77777777" w:rsidR="00076A87" w:rsidRPr="00076A87" w:rsidRDefault="00076A87" w:rsidP="00076A87">
      <w:pPr>
        <w:keepNext/>
        <w:keepLines/>
        <w:spacing w:after="0"/>
        <w:outlineLvl w:val="2"/>
        <w:rPr>
          <w:rFonts w:ascii="Arial" w:eastAsia="Times New Roman" w:hAnsi="Arial" w:cs="Arial"/>
          <w:bCs/>
          <w:i/>
          <w:sz w:val="24"/>
          <w:szCs w:val="24"/>
        </w:rPr>
      </w:pPr>
      <w:r w:rsidRPr="00076A87">
        <w:rPr>
          <w:rFonts w:ascii="Arial" w:eastAsia="Times New Roman" w:hAnsi="Arial" w:cs="Arial"/>
          <w:bCs/>
          <w:i/>
          <w:sz w:val="24"/>
          <w:szCs w:val="24"/>
        </w:rPr>
        <w:t>Proposed funding requirement</w:t>
      </w:r>
    </w:p>
    <w:p w14:paraId="52BDFAA3" w14:textId="77777777" w:rsidR="00076A87" w:rsidRPr="00076A87" w:rsidRDefault="00076A87" w:rsidP="00076A87">
      <w:pPr>
        <w:numPr>
          <w:ilvl w:val="0"/>
          <w:numId w:val="128"/>
        </w:numPr>
        <w:spacing w:after="0"/>
        <w:contextualSpacing/>
        <w:rPr>
          <w:rFonts w:ascii="Arial" w:eastAsia="Calibri" w:hAnsi="Arial" w:cs="Arial"/>
          <w:sz w:val="22"/>
          <w:szCs w:val="24"/>
        </w:rPr>
      </w:pPr>
      <w:r w:rsidRPr="00076A87">
        <w:rPr>
          <w:rFonts w:ascii="Arial" w:eastAsia="Calibri" w:hAnsi="Arial" w:cs="Arial"/>
          <w:sz w:val="22"/>
          <w:szCs w:val="24"/>
        </w:rPr>
        <w:t>Financial support to expand the Deadly Choices health promotion program nationally, with emphasis on Indigenous employment</w:t>
      </w:r>
    </w:p>
    <w:p w14:paraId="5D45165B" w14:textId="77777777" w:rsidR="00076A87" w:rsidRPr="00076A87" w:rsidRDefault="00076A87" w:rsidP="00076A87">
      <w:pPr>
        <w:numPr>
          <w:ilvl w:val="0"/>
          <w:numId w:val="128"/>
        </w:numPr>
        <w:spacing w:after="0"/>
        <w:contextualSpacing/>
        <w:rPr>
          <w:rFonts w:ascii="Arial" w:eastAsia="Calibri" w:hAnsi="Arial" w:cs="Arial"/>
          <w:sz w:val="22"/>
          <w:szCs w:val="24"/>
        </w:rPr>
      </w:pPr>
      <w:r w:rsidRPr="00076A87">
        <w:rPr>
          <w:rFonts w:ascii="Arial" w:eastAsia="Calibri" w:hAnsi="Arial" w:cs="Arial"/>
          <w:sz w:val="22"/>
          <w:szCs w:val="24"/>
        </w:rPr>
        <w:t>Financial support to implement and evaluate the impact on kidney health maintenance and reduced CKD progression of an Indigenous renal health curriculum within the Deadly Choices program</w:t>
      </w:r>
    </w:p>
    <w:p w14:paraId="3E77846A" w14:textId="77777777" w:rsidR="00076A87" w:rsidRPr="00076A87" w:rsidRDefault="00076A87" w:rsidP="00076A87">
      <w:pPr>
        <w:numPr>
          <w:ilvl w:val="0"/>
          <w:numId w:val="128"/>
        </w:numPr>
        <w:spacing w:after="0"/>
        <w:contextualSpacing/>
        <w:rPr>
          <w:rFonts w:ascii="Arial" w:eastAsia="Calibri" w:hAnsi="Arial" w:cs="Arial"/>
          <w:sz w:val="22"/>
          <w:szCs w:val="24"/>
        </w:rPr>
      </w:pPr>
      <w:r w:rsidRPr="00076A87">
        <w:rPr>
          <w:rFonts w:ascii="Arial" w:eastAsia="Calibri" w:hAnsi="Arial" w:cs="Arial"/>
          <w:sz w:val="22"/>
          <w:szCs w:val="24"/>
        </w:rPr>
        <w:t>Funding to support primary health care staff training and competency in renal health</w:t>
      </w:r>
    </w:p>
    <w:p w14:paraId="0A1FAACE" w14:textId="77777777" w:rsidR="00076A87" w:rsidRPr="00076A87" w:rsidRDefault="00076A87" w:rsidP="00076A87">
      <w:pPr>
        <w:spacing w:after="0"/>
        <w:rPr>
          <w:rFonts w:ascii="Arial" w:eastAsia="Calibri" w:hAnsi="Arial" w:cs="Arial"/>
          <w:sz w:val="24"/>
          <w:szCs w:val="24"/>
        </w:rPr>
      </w:pPr>
    </w:p>
    <w:p w14:paraId="7BE86192" w14:textId="77777777" w:rsidR="00076A87" w:rsidRPr="00076A87" w:rsidRDefault="00076A87" w:rsidP="00076A87">
      <w:pPr>
        <w:rPr>
          <w:rFonts w:ascii="Arial" w:eastAsia="Calibri" w:hAnsi="Arial" w:cs="Arial"/>
          <w:b/>
          <w:sz w:val="24"/>
          <w:szCs w:val="24"/>
        </w:rPr>
      </w:pPr>
      <w:r w:rsidRPr="00076A87">
        <w:rPr>
          <w:rFonts w:ascii="Arial" w:eastAsia="Calibri" w:hAnsi="Arial" w:cs="Arial"/>
          <w:b/>
          <w:sz w:val="24"/>
          <w:szCs w:val="24"/>
        </w:rPr>
        <w:br w:type="page"/>
      </w:r>
    </w:p>
    <w:p w14:paraId="1CF41BD9" w14:textId="77777777" w:rsidR="00076A87" w:rsidRPr="00076A87" w:rsidRDefault="00076A87" w:rsidP="00076A87">
      <w:pPr>
        <w:keepNext/>
        <w:keepLines/>
        <w:spacing w:before="240" w:after="0"/>
        <w:outlineLvl w:val="1"/>
        <w:rPr>
          <w:rFonts w:ascii="Arial" w:eastAsia="Times New Roman" w:hAnsi="Arial" w:cs="Arial"/>
          <w:b/>
          <w:bCs/>
          <w:color w:val="2F5496"/>
          <w:sz w:val="24"/>
          <w:szCs w:val="24"/>
        </w:rPr>
      </w:pPr>
      <w:bookmarkStart w:id="119" w:name="_Toc532805999"/>
      <w:r w:rsidRPr="00076A87">
        <w:rPr>
          <w:rFonts w:ascii="Arial" w:eastAsia="Times New Roman" w:hAnsi="Arial" w:cs="Arial"/>
          <w:b/>
          <w:bCs/>
          <w:color w:val="2F5496"/>
          <w:sz w:val="24"/>
          <w:szCs w:val="24"/>
        </w:rPr>
        <w:lastRenderedPageBreak/>
        <w:t>Item 4: Sustainable Workforce</w:t>
      </w:r>
      <w:bookmarkEnd w:id="119"/>
      <w:r w:rsidRPr="00076A87">
        <w:rPr>
          <w:rFonts w:ascii="Arial" w:eastAsia="Times New Roman" w:hAnsi="Arial" w:cs="Arial"/>
          <w:b/>
          <w:bCs/>
          <w:color w:val="2F5496"/>
          <w:sz w:val="24"/>
          <w:szCs w:val="24"/>
        </w:rPr>
        <w:t xml:space="preserve"> </w:t>
      </w:r>
    </w:p>
    <w:p w14:paraId="5BDD0668" w14:textId="77777777" w:rsidR="00076A87" w:rsidRPr="00076A87" w:rsidRDefault="00076A87" w:rsidP="00076A87">
      <w:pPr>
        <w:spacing w:after="0"/>
        <w:outlineLvl w:val="3"/>
        <w:rPr>
          <w:rFonts w:ascii="Arial" w:eastAsia="Calibri" w:hAnsi="Arial" w:cs="Arial"/>
          <w:b/>
          <w:i/>
          <w:color w:val="2F5496"/>
          <w:sz w:val="22"/>
          <w:szCs w:val="24"/>
        </w:rPr>
      </w:pPr>
    </w:p>
    <w:p w14:paraId="494BB4EC" w14:textId="77777777" w:rsidR="00076A87" w:rsidRPr="00076A87" w:rsidRDefault="00076A87" w:rsidP="00076A87">
      <w:pPr>
        <w:keepNext/>
        <w:keepLines/>
        <w:spacing w:after="0"/>
        <w:outlineLvl w:val="2"/>
        <w:rPr>
          <w:rFonts w:ascii="Arial" w:eastAsia="Times New Roman" w:hAnsi="Arial" w:cs="Arial"/>
          <w:bCs/>
          <w:i/>
          <w:sz w:val="24"/>
          <w:szCs w:val="24"/>
        </w:rPr>
      </w:pPr>
      <w:r w:rsidRPr="00076A87">
        <w:rPr>
          <w:rFonts w:ascii="Arial" w:eastAsia="Times New Roman" w:hAnsi="Arial" w:cs="Arial"/>
          <w:bCs/>
          <w:i/>
          <w:sz w:val="24"/>
          <w:szCs w:val="24"/>
        </w:rPr>
        <w:t xml:space="preserve">The Issue </w:t>
      </w:r>
    </w:p>
    <w:p w14:paraId="7868A636" w14:textId="77777777" w:rsidR="00076A87" w:rsidRPr="00076A87" w:rsidRDefault="00076A87" w:rsidP="00076A87">
      <w:pPr>
        <w:spacing w:after="0"/>
        <w:rPr>
          <w:rFonts w:ascii="Arial" w:eastAsia="Calibri" w:hAnsi="Arial" w:cs="Arial"/>
          <w:sz w:val="22"/>
          <w:szCs w:val="24"/>
        </w:rPr>
      </w:pPr>
      <w:r w:rsidRPr="00076A87">
        <w:rPr>
          <w:rFonts w:ascii="Arial" w:eastAsia="Calibri" w:hAnsi="Arial" w:cs="Arial"/>
          <w:sz w:val="22"/>
          <w:szCs w:val="24"/>
        </w:rPr>
        <w:t xml:space="preserve">The current renal workforce across metropolitan, urban, regional, rural, remote and very remote communities is predominantly comprised of non-Indigenous staff.  In rural and remote </w:t>
      </w:r>
      <w:proofErr w:type="gramStart"/>
      <w:r w:rsidRPr="00076A87">
        <w:rPr>
          <w:rFonts w:ascii="Arial" w:eastAsia="Calibri" w:hAnsi="Arial" w:cs="Arial"/>
          <w:sz w:val="22"/>
          <w:szCs w:val="24"/>
        </w:rPr>
        <w:t>communities</w:t>
      </w:r>
      <w:proofErr w:type="gramEnd"/>
      <w:r w:rsidRPr="00076A87">
        <w:rPr>
          <w:rFonts w:ascii="Arial" w:eastAsia="Calibri" w:hAnsi="Arial" w:cs="Arial"/>
          <w:sz w:val="22"/>
          <w:szCs w:val="24"/>
        </w:rPr>
        <w:t xml:space="preserve"> the skill mix is concentrated around generalist clinical skills.</w:t>
      </w:r>
    </w:p>
    <w:p w14:paraId="61BD55B5" w14:textId="77777777" w:rsidR="00076A87" w:rsidRPr="00076A87" w:rsidRDefault="00076A87" w:rsidP="00076A87">
      <w:pPr>
        <w:spacing w:after="0"/>
        <w:rPr>
          <w:rFonts w:ascii="Arial" w:eastAsia="Calibri" w:hAnsi="Arial" w:cs="Arial"/>
          <w:sz w:val="24"/>
          <w:szCs w:val="24"/>
        </w:rPr>
      </w:pPr>
    </w:p>
    <w:p w14:paraId="378DF6C4" w14:textId="77777777" w:rsidR="00076A87" w:rsidRPr="00076A87" w:rsidRDefault="00076A87" w:rsidP="00076A87">
      <w:pPr>
        <w:keepNext/>
        <w:keepLines/>
        <w:spacing w:after="0"/>
        <w:outlineLvl w:val="2"/>
        <w:rPr>
          <w:rFonts w:ascii="Arial" w:eastAsia="Times New Roman" w:hAnsi="Arial" w:cs="Arial"/>
          <w:bCs/>
          <w:i/>
          <w:sz w:val="24"/>
          <w:szCs w:val="24"/>
        </w:rPr>
      </w:pPr>
      <w:r w:rsidRPr="00076A87">
        <w:rPr>
          <w:rFonts w:ascii="Arial" w:eastAsia="Times New Roman" w:hAnsi="Arial" w:cs="Arial"/>
          <w:bCs/>
          <w:i/>
          <w:sz w:val="24"/>
          <w:szCs w:val="24"/>
        </w:rPr>
        <w:t>The Impact</w:t>
      </w:r>
    </w:p>
    <w:p w14:paraId="5C409A43" w14:textId="77777777" w:rsidR="00076A87" w:rsidRPr="00076A87" w:rsidRDefault="00076A87" w:rsidP="00076A87">
      <w:pPr>
        <w:spacing w:after="0"/>
        <w:rPr>
          <w:rFonts w:ascii="Arial" w:eastAsia="Calibri" w:hAnsi="Arial" w:cs="Arial"/>
          <w:sz w:val="22"/>
          <w:szCs w:val="24"/>
        </w:rPr>
      </w:pPr>
      <w:r w:rsidRPr="00076A87">
        <w:rPr>
          <w:rFonts w:ascii="Arial" w:eastAsia="Calibri" w:hAnsi="Arial" w:cs="Arial"/>
          <w:sz w:val="22"/>
          <w:szCs w:val="24"/>
        </w:rPr>
        <w:t xml:space="preserve">Aboriginal and Torres Strait Islander patients living with diabetes and kidney disease require highly accessible and safe health care.  Clients report fear and mistrust of health systems oriented to non-Indigenous populations. Fear impedes health access and confidence. </w:t>
      </w:r>
    </w:p>
    <w:p w14:paraId="356AED1C" w14:textId="77777777" w:rsidR="00076A87" w:rsidRPr="00076A87" w:rsidRDefault="00076A87" w:rsidP="00076A87">
      <w:pPr>
        <w:spacing w:after="0"/>
        <w:rPr>
          <w:rFonts w:ascii="Arial" w:eastAsia="Calibri" w:hAnsi="Arial" w:cs="Arial"/>
          <w:sz w:val="22"/>
          <w:szCs w:val="24"/>
        </w:rPr>
      </w:pPr>
    </w:p>
    <w:p w14:paraId="62170CCF" w14:textId="77777777" w:rsidR="00076A87" w:rsidRPr="00076A87" w:rsidRDefault="00076A87" w:rsidP="00076A87">
      <w:pPr>
        <w:spacing w:after="0"/>
        <w:rPr>
          <w:rFonts w:ascii="Arial" w:eastAsia="Calibri" w:hAnsi="Arial" w:cs="Arial"/>
          <w:sz w:val="22"/>
          <w:szCs w:val="24"/>
        </w:rPr>
      </w:pPr>
      <w:r w:rsidRPr="00076A87">
        <w:rPr>
          <w:rFonts w:ascii="Arial" w:eastAsia="Calibri" w:hAnsi="Arial" w:cs="Arial"/>
          <w:sz w:val="22"/>
          <w:szCs w:val="24"/>
        </w:rPr>
        <w:t xml:space="preserve">The present workforce models in rural and remote communities suffer from chronic understaffing, recruitment challenges following retirement or high staff turnover, and a reliance on fly-in temporary staff.  These factors significantly impact on the quality and continuity of care and trust for patients, carers and communities, and lead to poorer health outcomes. </w:t>
      </w:r>
    </w:p>
    <w:p w14:paraId="29533F89" w14:textId="77777777" w:rsidR="00076A87" w:rsidRPr="00076A87" w:rsidRDefault="00076A87" w:rsidP="00076A87">
      <w:pPr>
        <w:spacing w:after="0"/>
        <w:rPr>
          <w:rFonts w:ascii="Arial" w:eastAsia="Calibri" w:hAnsi="Arial" w:cs="Arial"/>
          <w:sz w:val="22"/>
          <w:szCs w:val="24"/>
        </w:rPr>
      </w:pPr>
    </w:p>
    <w:p w14:paraId="79B9388B" w14:textId="77777777" w:rsidR="00076A87" w:rsidRPr="00076A87" w:rsidRDefault="00076A87" w:rsidP="00076A87">
      <w:pPr>
        <w:keepNext/>
        <w:keepLines/>
        <w:spacing w:after="0"/>
        <w:outlineLvl w:val="2"/>
        <w:rPr>
          <w:rFonts w:ascii="Arial" w:eastAsia="Times New Roman" w:hAnsi="Arial" w:cs="Arial"/>
          <w:bCs/>
          <w:i/>
          <w:sz w:val="24"/>
          <w:szCs w:val="24"/>
        </w:rPr>
      </w:pPr>
      <w:r w:rsidRPr="00076A87">
        <w:rPr>
          <w:rFonts w:ascii="Arial" w:eastAsia="Times New Roman" w:hAnsi="Arial" w:cs="Arial"/>
          <w:bCs/>
          <w:i/>
          <w:sz w:val="24"/>
          <w:szCs w:val="24"/>
        </w:rPr>
        <w:t>The Proposed Solution</w:t>
      </w:r>
    </w:p>
    <w:p w14:paraId="51BB1B2A" w14:textId="77777777" w:rsidR="00076A87" w:rsidRPr="00076A87" w:rsidRDefault="00076A87" w:rsidP="00076A87">
      <w:pPr>
        <w:spacing w:after="0"/>
        <w:rPr>
          <w:rFonts w:ascii="Arial" w:eastAsia="Calibri" w:hAnsi="Arial" w:cs="Arial"/>
          <w:sz w:val="22"/>
          <w:szCs w:val="24"/>
        </w:rPr>
      </w:pPr>
      <w:r w:rsidRPr="00076A87">
        <w:rPr>
          <w:rFonts w:ascii="Arial" w:eastAsia="Calibri" w:hAnsi="Arial" w:cs="Arial"/>
          <w:sz w:val="22"/>
          <w:szCs w:val="24"/>
        </w:rPr>
        <w:t xml:space="preserve">Strategic activities to increase the Indigenous health workforce in rural and remote areas are required, and should include:  </w:t>
      </w:r>
    </w:p>
    <w:p w14:paraId="120DFF0A" w14:textId="77777777" w:rsidR="00076A87" w:rsidRPr="00076A87" w:rsidRDefault="00076A87" w:rsidP="00076A87">
      <w:pPr>
        <w:numPr>
          <w:ilvl w:val="0"/>
          <w:numId w:val="125"/>
        </w:numPr>
        <w:spacing w:after="0"/>
        <w:contextualSpacing/>
        <w:rPr>
          <w:rFonts w:ascii="Arial" w:eastAsia="Calibri" w:hAnsi="Arial" w:cs="Arial"/>
          <w:sz w:val="22"/>
          <w:szCs w:val="24"/>
        </w:rPr>
      </w:pPr>
      <w:r w:rsidRPr="00076A87">
        <w:rPr>
          <w:rFonts w:ascii="Arial" w:eastAsia="Calibri" w:hAnsi="Arial" w:cs="Arial"/>
          <w:sz w:val="22"/>
          <w:szCs w:val="24"/>
        </w:rPr>
        <w:t xml:space="preserve">An Indigenous-led multidisciplinary team model of care which invests in building the professional capacity of the </w:t>
      </w:r>
      <w:proofErr w:type="gramStart"/>
      <w:r w:rsidRPr="00076A87">
        <w:rPr>
          <w:rFonts w:ascii="Arial" w:eastAsia="Calibri" w:hAnsi="Arial" w:cs="Arial"/>
          <w:sz w:val="22"/>
          <w:szCs w:val="24"/>
        </w:rPr>
        <w:t>community based</w:t>
      </w:r>
      <w:proofErr w:type="gramEnd"/>
      <w:r w:rsidRPr="00076A87">
        <w:rPr>
          <w:rFonts w:ascii="Arial" w:eastAsia="Calibri" w:hAnsi="Arial" w:cs="Arial"/>
          <w:sz w:val="22"/>
          <w:szCs w:val="24"/>
        </w:rPr>
        <w:t xml:space="preserve"> workforce and the primary health care sector.  </w:t>
      </w:r>
    </w:p>
    <w:p w14:paraId="3DFDE1DF" w14:textId="77777777" w:rsidR="00076A87" w:rsidRPr="00076A87" w:rsidRDefault="00076A87" w:rsidP="00076A87">
      <w:pPr>
        <w:numPr>
          <w:ilvl w:val="0"/>
          <w:numId w:val="125"/>
        </w:numPr>
        <w:spacing w:after="0"/>
        <w:contextualSpacing/>
        <w:rPr>
          <w:rFonts w:ascii="Arial" w:eastAsia="Calibri" w:hAnsi="Arial" w:cs="Arial"/>
          <w:sz w:val="22"/>
          <w:szCs w:val="24"/>
        </w:rPr>
      </w:pPr>
      <w:r w:rsidRPr="00076A87">
        <w:rPr>
          <w:rFonts w:ascii="Arial" w:eastAsia="Calibri" w:hAnsi="Arial" w:cs="Arial"/>
          <w:sz w:val="22"/>
          <w:szCs w:val="24"/>
        </w:rPr>
        <w:t xml:space="preserve">Training opportunities for local people as carer assistants for people with advanced co-morbid conditions and disability.  </w:t>
      </w:r>
    </w:p>
    <w:p w14:paraId="4FCF0D8A" w14:textId="77777777" w:rsidR="00076A87" w:rsidRPr="00076A87" w:rsidRDefault="00076A87" w:rsidP="00076A87">
      <w:pPr>
        <w:numPr>
          <w:ilvl w:val="0"/>
          <w:numId w:val="125"/>
        </w:numPr>
        <w:spacing w:after="0"/>
        <w:contextualSpacing/>
        <w:rPr>
          <w:rFonts w:ascii="Arial" w:eastAsia="Calibri" w:hAnsi="Arial" w:cs="Arial"/>
          <w:sz w:val="22"/>
          <w:szCs w:val="24"/>
        </w:rPr>
      </w:pPr>
      <w:r w:rsidRPr="00076A87">
        <w:rPr>
          <w:rFonts w:ascii="Arial" w:eastAsia="Calibri" w:hAnsi="Arial" w:cs="Arial"/>
          <w:sz w:val="22"/>
          <w:szCs w:val="24"/>
        </w:rPr>
        <w:t xml:space="preserve">Training program development to support local Indigenous people to access employment as health workers, practitioners and nurses within the MBS 13105 item for assisted dialysis in very remote Australia.  </w:t>
      </w:r>
    </w:p>
    <w:p w14:paraId="554745B1" w14:textId="77777777" w:rsidR="00076A87" w:rsidRPr="00076A87" w:rsidRDefault="00076A87" w:rsidP="00076A87">
      <w:pPr>
        <w:numPr>
          <w:ilvl w:val="0"/>
          <w:numId w:val="125"/>
        </w:numPr>
        <w:spacing w:after="0"/>
        <w:contextualSpacing/>
        <w:rPr>
          <w:rFonts w:ascii="Arial" w:eastAsia="Calibri" w:hAnsi="Arial" w:cs="Arial"/>
          <w:sz w:val="22"/>
          <w:szCs w:val="24"/>
        </w:rPr>
      </w:pPr>
      <w:r w:rsidRPr="00076A87">
        <w:rPr>
          <w:rFonts w:ascii="Arial" w:eastAsia="Calibri" w:hAnsi="Arial" w:cs="Arial"/>
          <w:sz w:val="22"/>
          <w:szCs w:val="24"/>
        </w:rPr>
        <w:t>Local community infrastructure to host health promotion and health maintenance activities</w:t>
      </w:r>
    </w:p>
    <w:p w14:paraId="2A4979FC" w14:textId="77777777" w:rsidR="00076A87" w:rsidRPr="00076A87" w:rsidRDefault="00076A87" w:rsidP="00076A87">
      <w:pPr>
        <w:numPr>
          <w:ilvl w:val="0"/>
          <w:numId w:val="125"/>
        </w:numPr>
        <w:spacing w:after="0"/>
        <w:contextualSpacing/>
        <w:rPr>
          <w:rFonts w:ascii="Arial" w:eastAsia="Calibri" w:hAnsi="Arial" w:cs="Arial"/>
          <w:sz w:val="22"/>
          <w:szCs w:val="24"/>
        </w:rPr>
      </w:pPr>
      <w:r w:rsidRPr="00076A87">
        <w:rPr>
          <w:rFonts w:ascii="Arial" w:eastAsia="Calibri" w:hAnsi="Arial" w:cs="Arial"/>
          <w:sz w:val="22"/>
          <w:szCs w:val="24"/>
        </w:rPr>
        <w:t>Accommodation for the new workforce</w:t>
      </w:r>
    </w:p>
    <w:p w14:paraId="5FD9747D" w14:textId="77777777" w:rsidR="00076A87" w:rsidRPr="00076A87" w:rsidRDefault="00076A87" w:rsidP="00076A87">
      <w:pPr>
        <w:numPr>
          <w:ilvl w:val="0"/>
          <w:numId w:val="125"/>
        </w:numPr>
        <w:spacing w:after="0"/>
        <w:contextualSpacing/>
        <w:rPr>
          <w:rFonts w:ascii="Arial" w:eastAsia="Calibri" w:hAnsi="Arial" w:cs="Arial"/>
          <w:sz w:val="22"/>
          <w:szCs w:val="24"/>
        </w:rPr>
      </w:pPr>
      <w:r w:rsidRPr="00076A87">
        <w:rPr>
          <w:rFonts w:ascii="Arial" w:eastAsia="Calibri" w:hAnsi="Arial" w:cs="Arial"/>
          <w:sz w:val="22"/>
          <w:szCs w:val="24"/>
        </w:rPr>
        <w:t xml:space="preserve">Affordable and reliable transport infrastructure to enable professional capability enhancement and networking with renal services </w:t>
      </w:r>
    </w:p>
    <w:p w14:paraId="3456C53D" w14:textId="77777777" w:rsidR="00076A87" w:rsidRPr="00076A87" w:rsidRDefault="00076A87" w:rsidP="00076A87">
      <w:pPr>
        <w:spacing w:after="0"/>
        <w:rPr>
          <w:rFonts w:ascii="Arial" w:eastAsia="Calibri" w:hAnsi="Arial" w:cs="Arial"/>
          <w:sz w:val="22"/>
          <w:szCs w:val="24"/>
        </w:rPr>
      </w:pPr>
    </w:p>
    <w:p w14:paraId="7FD9893A" w14:textId="77777777" w:rsidR="00076A87" w:rsidRPr="00076A87" w:rsidRDefault="00076A87" w:rsidP="00076A87">
      <w:pPr>
        <w:keepNext/>
        <w:keepLines/>
        <w:spacing w:after="0"/>
        <w:outlineLvl w:val="2"/>
        <w:rPr>
          <w:rFonts w:ascii="Arial" w:eastAsia="Times New Roman" w:hAnsi="Arial" w:cs="Arial"/>
          <w:bCs/>
          <w:i/>
          <w:sz w:val="24"/>
          <w:szCs w:val="24"/>
        </w:rPr>
      </w:pPr>
      <w:r w:rsidRPr="00076A87">
        <w:rPr>
          <w:rFonts w:ascii="Arial" w:eastAsia="Times New Roman" w:hAnsi="Arial" w:cs="Arial"/>
          <w:bCs/>
          <w:i/>
          <w:sz w:val="24"/>
          <w:szCs w:val="24"/>
        </w:rPr>
        <w:t>Proposed Funding Requirement</w:t>
      </w:r>
    </w:p>
    <w:p w14:paraId="57726EA1" w14:textId="77777777" w:rsidR="00076A87" w:rsidRPr="00076A87" w:rsidRDefault="00076A87" w:rsidP="00076A87">
      <w:pPr>
        <w:numPr>
          <w:ilvl w:val="0"/>
          <w:numId w:val="134"/>
        </w:numPr>
        <w:spacing w:after="0"/>
        <w:contextualSpacing/>
        <w:rPr>
          <w:rFonts w:ascii="Arial" w:eastAsia="Calibri" w:hAnsi="Arial" w:cs="Arial"/>
          <w:sz w:val="22"/>
          <w:szCs w:val="24"/>
        </w:rPr>
      </w:pPr>
      <w:r w:rsidRPr="00076A87">
        <w:rPr>
          <w:rFonts w:ascii="Arial" w:eastAsia="Calibri" w:hAnsi="Arial" w:cs="Arial"/>
          <w:sz w:val="22"/>
          <w:szCs w:val="24"/>
        </w:rPr>
        <w:t>Funding to support development, implementation and evaluation of the impact of Indigenous-led work units</w:t>
      </w:r>
    </w:p>
    <w:p w14:paraId="5C0AFA5E" w14:textId="77777777" w:rsidR="00076A87" w:rsidRPr="00076A87" w:rsidRDefault="00076A87" w:rsidP="00076A87">
      <w:pPr>
        <w:numPr>
          <w:ilvl w:val="0"/>
          <w:numId w:val="134"/>
        </w:numPr>
        <w:spacing w:after="0"/>
        <w:contextualSpacing/>
        <w:rPr>
          <w:rFonts w:ascii="Arial" w:eastAsia="Calibri" w:hAnsi="Arial" w:cs="Arial"/>
          <w:sz w:val="22"/>
          <w:szCs w:val="24"/>
        </w:rPr>
      </w:pPr>
      <w:r w:rsidRPr="00076A87">
        <w:rPr>
          <w:rFonts w:ascii="Arial" w:eastAsia="Calibri" w:hAnsi="Arial" w:cs="Arial"/>
          <w:sz w:val="22"/>
          <w:szCs w:val="24"/>
        </w:rPr>
        <w:t>Funding training pathways and programs for community members to be trained and employed within the workforce</w:t>
      </w:r>
    </w:p>
    <w:p w14:paraId="2C33C6DC" w14:textId="77777777" w:rsidR="00076A87" w:rsidRPr="00076A87" w:rsidRDefault="00076A87" w:rsidP="00076A87">
      <w:pPr>
        <w:numPr>
          <w:ilvl w:val="0"/>
          <w:numId w:val="134"/>
        </w:numPr>
        <w:spacing w:after="0"/>
        <w:contextualSpacing/>
        <w:rPr>
          <w:rFonts w:ascii="Arial" w:eastAsia="Calibri" w:hAnsi="Arial" w:cs="Arial"/>
          <w:sz w:val="22"/>
          <w:szCs w:val="24"/>
        </w:rPr>
      </w:pPr>
      <w:r w:rsidRPr="00076A87">
        <w:rPr>
          <w:rFonts w:ascii="Arial" w:eastAsia="Calibri" w:hAnsi="Arial" w:cs="Arial"/>
          <w:sz w:val="22"/>
          <w:szCs w:val="24"/>
        </w:rPr>
        <w:t>Funding capital investment in rural and remote communities to host health promotion activities, and safe and affordable housing for Indigenous workforce</w:t>
      </w:r>
    </w:p>
    <w:p w14:paraId="5960B02D" w14:textId="77777777" w:rsidR="00076A87" w:rsidRPr="00076A87" w:rsidRDefault="00076A87" w:rsidP="00076A87">
      <w:pPr>
        <w:spacing w:after="0"/>
        <w:rPr>
          <w:rFonts w:ascii="Arial" w:eastAsia="Calibri" w:hAnsi="Arial" w:cs="Arial"/>
          <w:sz w:val="22"/>
          <w:szCs w:val="24"/>
        </w:rPr>
      </w:pPr>
    </w:p>
    <w:p w14:paraId="6D538869" w14:textId="77777777" w:rsidR="00076A87" w:rsidRPr="00076A87" w:rsidRDefault="00076A87" w:rsidP="00076A87">
      <w:pPr>
        <w:spacing w:after="0"/>
        <w:rPr>
          <w:rFonts w:ascii="Arial" w:eastAsia="Calibri" w:hAnsi="Arial" w:cs="Arial"/>
          <w:sz w:val="22"/>
          <w:szCs w:val="24"/>
        </w:rPr>
      </w:pPr>
      <w:r w:rsidRPr="00076A87">
        <w:rPr>
          <w:rFonts w:ascii="Arial" w:eastAsia="Calibri" w:hAnsi="Arial" w:cs="Arial"/>
          <w:sz w:val="22"/>
          <w:szCs w:val="24"/>
        </w:rPr>
        <w:t xml:space="preserve">These funding requirements are aligned to the National Aboriginal and Torres Strait Islander Health Worker Association plan, National Strategic Framework for Chronic conditions, Local Government Association, State and Territory workforce. </w:t>
      </w:r>
    </w:p>
    <w:p w14:paraId="38A50AB9" w14:textId="77777777" w:rsidR="00076A87" w:rsidRPr="00076A87" w:rsidRDefault="00076A87" w:rsidP="00076A87">
      <w:pPr>
        <w:spacing w:after="0"/>
        <w:rPr>
          <w:rFonts w:ascii="Arial" w:eastAsia="Calibri" w:hAnsi="Arial" w:cs="Arial"/>
          <w:sz w:val="24"/>
          <w:szCs w:val="24"/>
        </w:rPr>
      </w:pPr>
    </w:p>
    <w:p w14:paraId="2E99284F" w14:textId="77777777" w:rsidR="00076A87" w:rsidRPr="00076A87" w:rsidRDefault="00076A87" w:rsidP="00076A87">
      <w:pPr>
        <w:rPr>
          <w:rFonts w:ascii="Arial" w:eastAsia="Calibri" w:hAnsi="Arial" w:cs="Arial"/>
          <w:i/>
          <w:sz w:val="24"/>
          <w:szCs w:val="24"/>
        </w:rPr>
      </w:pPr>
      <w:bookmarkStart w:id="120" w:name="_Toc532806000"/>
      <w:r w:rsidRPr="00076A87">
        <w:rPr>
          <w:rFonts w:ascii="Calibri" w:eastAsia="Calibri" w:hAnsi="Calibri" w:cs="Times New Roman"/>
          <w:sz w:val="22"/>
        </w:rPr>
        <w:br w:type="page"/>
      </w:r>
    </w:p>
    <w:p w14:paraId="44AC3504" w14:textId="77777777" w:rsidR="00076A87" w:rsidRPr="00076A87" w:rsidRDefault="00076A87" w:rsidP="00076A87">
      <w:pPr>
        <w:spacing w:after="0"/>
        <w:outlineLvl w:val="3"/>
        <w:rPr>
          <w:rFonts w:ascii="Arial" w:eastAsia="Calibri" w:hAnsi="Arial" w:cs="Arial"/>
          <w:b/>
          <w:i/>
          <w:color w:val="2F5496"/>
          <w:sz w:val="22"/>
          <w:szCs w:val="24"/>
        </w:rPr>
      </w:pPr>
      <w:r w:rsidRPr="00076A87">
        <w:rPr>
          <w:rFonts w:ascii="Arial" w:eastAsia="Calibri" w:hAnsi="Arial" w:cs="Arial"/>
          <w:b/>
          <w:i/>
          <w:color w:val="2F5496"/>
          <w:sz w:val="22"/>
          <w:szCs w:val="24"/>
        </w:rPr>
        <w:lastRenderedPageBreak/>
        <w:t>Abbreviations</w:t>
      </w:r>
      <w:bookmarkEnd w:id="120"/>
    </w:p>
    <w:p w14:paraId="1D7ABDE3" w14:textId="77777777" w:rsidR="00076A87" w:rsidRPr="00076A87" w:rsidRDefault="00076A87" w:rsidP="00076A87">
      <w:pPr>
        <w:spacing w:after="0"/>
        <w:ind w:left="1440" w:hanging="1440"/>
        <w:rPr>
          <w:rFonts w:ascii="Arial" w:eastAsia="Calibri" w:hAnsi="Arial" w:cs="Arial"/>
          <w:sz w:val="22"/>
          <w:szCs w:val="24"/>
        </w:rPr>
      </w:pPr>
      <w:r w:rsidRPr="00076A87">
        <w:rPr>
          <w:rFonts w:ascii="Arial" w:eastAsia="Calibri" w:hAnsi="Arial" w:cs="Arial"/>
          <w:sz w:val="22"/>
          <w:szCs w:val="24"/>
        </w:rPr>
        <w:t>C-AIR</w:t>
      </w:r>
      <w:r w:rsidRPr="00076A87">
        <w:rPr>
          <w:rFonts w:ascii="Arial" w:eastAsia="Calibri" w:hAnsi="Arial" w:cs="Arial"/>
          <w:sz w:val="22"/>
          <w:szCs w:val="24"/>
        </w:rPr>
        <w:tab/>
        <w:t>Catching Some Air- Asserting Aboriginal and Torres Strait Islander Information Rights in Renal Disease</w:t>
      </w:r>
    </w:p>
    <w:p w14:paraId="08D3625E" w14:textId="77777777" w:rsidR="00076A87" w:rsidRPr="00076A87" w:rsidRDefault="00076A87" w:rsidP="00076A87">
      <w:pPr>
        <w:spacing w:after="0"/>
        <w:rPr>
          <w:rFonts w:ascii="Arial" w:eastAsia="Calibri" w:hAnsi="Arial" w:cs="Arial"/>
          <w:sz w:val="22"/>
          <w:szCs w:val="24"/>
        </w:rPr>
      </w:pPr>
      <w:r w:rsidRPr="00076A87">
        <w:rPr>
          <w:rFonts w:ascii="Arial" w:eastAsia="Calibri" w:hAnsi="Arial" w:cs="Arial"/>
          <w:sz w:val="22"/>
          <w:szCs w:val="24"/>
        </w:rPr>
        <w:t>CKD</w:t>
      </w:r>
      <w:r w:rsidRPr="00076A87">
        <w:rPr>
          <w:rFonts w:ascii="Arial" w:eastAsia="Calibri" w:hAnsi="Arial" w:cs="Arial"/>
          <w:sz w:val="22"/>
          <w:szCs w:val="24"/>
        </w:rPr>
        <w:tab/>
      </w:r>
      <w:r w:rsidRPr="00076A87">
        <w:rPr>
          <w:rFonts w:ascii="Arial" w:eastAsia="Calibri" w:hAnsi="Arial" w:cs="Arial"/>
          <w:sz w:val="22"/>
          <w:szCs w:val="24"/>
        </w:rPr>
        <w:tab/>
        <w:t>Chronic Kidney Disease</w:t>
      </w:r>
    </w:p>
    <w:p w14:paraId="30716CC4" w14:textId="77777777" w:rsidR="00076A87" w:rsidRPr="00076A87" w:rsidRDefault="00076A87" w:rsidP="00076A87">
      <w:pPr>
        <w:spacing w:after="0"/>
        <w:rPr>
          <w:rFonts w:ascii="Arial" w:eastAsia="Calibri" w:hAnsi="Arial" w:cs="Arial"/>
          <w:sz w:val="22"/>
          <w:szCs w:val="24"/>
        </w:rPr>
      </w:pPr>
      <w:r w:rsidRPr="00076A87">
        <w:rPr>
          <w:rFonts w:ascii="Arial" w:eastAsia="Calibri" w:hAnsi="Arial" w:cs="Arial"/>
          <w:sz w:val="22"/>
          <w:szCs w:val="24"/>
        </w:rPr>
        <w:t>MBS</w:t>
      </w:r>
      <w:r w:rsidRPr="00076A87">
        <w:rPr>
          <w:rFonts w:ascii="Arial" w:eastAsia="Calibri" w:hAnsi="Arial" w:cs="Arial"/>
          <w:sz w:val="22"/>
          <w:szCs w:val="24"/>
        </w:rPr>
        <w:tab/>
      </w:r>
      <w:r w:rsidRPr="00076A87">
        <w:rPr>
          <w:rFonts w:ascii="Arial" w:eastAsia="Calibri" w:hAnsi="Arial" w:cs="Arial"/>
          <w:sz w:val="22"/>
          <w:szCs w:val="24"/>
        </w:rPr>
        <w:tab/>
        <w:t>Medicare Benefit Schedule</w:t>
      </w:r>
    </w:p>
    <w:p w14:paraId="0A667306" w14:textId="77777777" w:rsidR="00076A87" w:rsidRPr="00076A87" w:rsidRDefault="00076A87" w:rsidP="00076A87">
      <w:pPr>
        <w:spacing w:after="0"/>
        <w:outlineLvl w:val="3"/>
        <w:rPr>
          <w:rFonts w:ascii="Arial" w:eastAsia="Calibri" w:hAnsi="Arial" w:cs="Arial"/>
          <w:b/>
          <w:i/>
          <w:color w:val="2F5496"/>
          <w:sz w:val="22"/>
          <w:szCs w:val="24"/>
        </w:rPr>
      </w:pPr>
      <w:bookmarkStart w:id="121" w:name="_Toc532806001"/>
    </w:p>
    <w:p w14:paraId="17575C2A" w14:textId="77777777" w:rsidR="00076A87" w:rsidRPr="00076A87" w:rsidRDefault="00076A87" w:rsidP="00076A87">
      <w:pPr>
        <w:spacing w:after="0"/>
        <w:outlineLvl w:val="3"/>
        <w:rPr>
          <w:rFonts w:ascii="Arial" w:eastAsia="Calibri" w:hAnsi="Arial" w:cs="Arial"/>
          <w:b/>
          <w:i/>
          <w:color w:val="2F5496"/>
          <w:sz w:val="22"/>
          <w:szCs w:val="24"/>
        </w:rPr>
      </w:pPr>
      <w:r w:rsidRPr="00076A87">
        <w:rPr>
          <w:rFonts w:ascii="Arial" w:eastAsia="Calibri" w:hAnsi="Arial" w:cs="Arial"/>
          <w:b/>
          <w:i/>
          <w:color w:val="2F5496"/>
          <w:sz w:val="22"/>
          <w:szCs w:val="24"/>
        </w:rPr>
        <w:t>References</w:t>
      </w:r>
      <w:bookmarkEnd w:id="121"/>
    </w:p>
    <w:p w14:paraId="0D776677" w14:textId="77777777" w:rsidR="00076A87" w:rsidRPr="00076A87" w:rsidRDefault="00076A87" w:rsidP="00076A87">
      <w:pPr>
        <w:numPr>
          <w:ilvl w:val="0"/>
          <w:numId w:val="132"/>
        </w:numPr>
        <w:spacing w:after="0" w:line="240" w:lineRule="auto"/>
        <w:ind w:left="567" w:hanging="501"/>
        <w:rPr>
          <w:rFonts w:ascii="Arial" w:eastAsia="Calibri" w:hAnsi="Arial" w:cs="Arial"/>
          <w:noProof/>
          <w:lang w:val="en-US"/>
        </w:rPr>
      </w:pPr>
      <w:r w:rsidRPr="00076A87">
        <w:rPr>
          <w:rFonts w:ascii="Arial" w:eastAsia="Calibri" w:hAnsi="Arial" w:cs="Arial"/>
          <w:noProof/>
          <w:sz w:val="22"/>
          <w:lang w:val="en-US"/>
        </w:rPr>
        <w:fldChar w:fldCharType="begin"/>
      </w:r>
      <w:r w:rsidRPr="00076A87">
        <w:rPr>
          <w:rFonts w:ascii="Arial" w:eastAsia="Calibri" w:hAnsi="Arial" w:cs="Arial"/>
          <w:noProof/>
          <w:sz w:val="22"/>
          <w:lang w:val="en-US"/>
        </w:rPr>
        <w:instrText xml:space="preserve"> ADDIN EN.REFLIST </w:instrText>
      </w:r>
      <w:r w:rsidRPr="00076A87">
        <w:rPr>
          <w:rFonts w:ascii="Arial" w:eastAsia="Calibri" w:hAnsi="Arial" w:cs="Arial"/>
          <w:noProof/>
          <w:sz w:val="22"/>
          <w:lang w:val="en-US"/>
        </w:rPr>
        <w:fldChar w:fldCharType="separate"/>
      </w:r>
      <w:bookmarkStart w:id="122" w:name="_ENREF_1"/>
      <w:r w:rsidRPr="00076A87">
        <w:rPr>
          <w:rFonts w:ascii="Arial" w:eastAsia="Calibri" w:hAnsi="Arial" w:cs="Arial"/>
          <w:noProof/>
          <w:lang w:val="en-US"/>
        </w:rPr>
        <w:t>ABS. Australian Aboriginal and Torres Strait Islander Health Survey: Biomedical Results, 2012-13. 2014.</w:t>
      </w:r>
      <w:bookmarkEnd w:id="122"/>
    </w:p>
    <w:p w14:paraId="38A2A757" w14:textId="77777777" w:rsidR="00076A87" w:rsidRPr="00076A87" w:rsidRDefault="00076A87" w:rsidP="00076A87">
      <w:pPr>
        <w:numPr>
          <w:ilvl w:val="0"/>
          <w:numId w:val="132"/>
        </w:numPr>
        <w:spacing w:after="0" w:line="240" w:lineRule="auto"/>
        <w:ind w:left="567" w:hanging="501"/>
        <w:rPr>
          <w:rFonts w:ascii="Arial" w:eastAsia="Calibri" w:hAnsi="Arial" w:cs="Arial"/>
          <w:noProof/>
          <w:lang w:val="en-US"/>
        </w:rPr>
      </w:pPr>
      <w:bookmarkStart w:id="123" w:name="_ENREF_2"/>
      <w:r w:rsidRPr="00076A87">
        <w:rPr>
          <w:rFonts w:ascii="Arial" w:eastAsia="Calibri" w:hAnsi="Arial" w:cs="Arial"/>
          <w:noProof/>
          <w:lang w:val="en-US"/>
        </w:rPr>
        <w:t>Leonard D, McDermott R, O'Dea K, Rowley KG, Pensio P, Sambo E, et al. Obesity, diabetes and associated cardiovascular risk factors among Torres Strait Islander people. Australian and New Zealand Journal of Public Health. 2002;26:144-9.</w:t>
      </w:r>
      <w:bookmarkEnd w:id="123"/>
    </w:p>
    <w:p w14:paraId="52FA92B7" w14:textId="77777777" w:rsidR="00076A87" w:rsidRPr="00076A87" w:rsidRDefault="00076A87" w:rsidP="00076A87">
      <w:pPr>
        <w:numPr>
          <w:ilvl w:val="0"/>
          <w:numId w:val="132"/>
        </w:numPr>
        <w:spacing w:after="0" w:line="240" w:lineRule="auto"/>
        <w:ind w:left="567" w:hanging="501"/>
        <w:rPr>
          <w:rFonts w:ascii="Arial" w:eastAsia="Calibri" w:hAnsi="Arial" w:cs="Arial"/>
          <w:noProof/>
          <w:lang w:val="en-US"/>
        </w:rPr>
      </w:pPr>
      <w:bookmarkStart w:id="124" w:name="_ENREF_3"/>
      <w:r w:rsidRPr="00076A87">
        <w:rPr>
          <w:rFonts w:ascii="Arial" w:eastAsia="Calibri" w:hAnsi="Arial" w:cs="Arial"/>
          <w:noProof/>
          <w:lang w:val="en-US"/>
        </w:rPr>
        <w:t>McDonald S, Maguire G, Duarte N, Wang XL, Hoy W. C-reactive protein, cardiovascular risk, and renal disease in a remote Australian Aboriginal community. Clinical Science. 2004;106:121-8.</w:t>
      </w:r>
      <w:bookmarkEnd w:id="124"/>
    </w:p>
    <w:p w14:paraId="71DB55B6" w14:textId="77777777" w:rsidR="00076A87" w:rsidRPr="00076A87" w:rsidRDefault="00076A87" w:rsidP="00076A87">
      <w:pPr>
        <w:numPr>
          <w:ilvl w:val="0"/>
          <w:numId w:val="132"/>
        </w:numPr>
        <w:spacing w:after="0" w:line="240" w:lineRule="auto"/>
        <w:ind w:left="567" w:hanging="501"/>
        <w:rPr>
          <w:rFonts w:ascii="Arial" w:eastAsia="Calibri" w:hAnsi="Arial" w:cs="Arial"/>
          <w:noProof/>
          <w:lang w:val="en-US"/>
        </w:rPr>
      </w:pPr>
      <w:bookmarkStart w:id="125" w:name="_ENREF_4"/>
      <w:r w:rsidRPr="00076A87">
        <w:rPr>
          <w:rFonts w:ascii="Arial" w:eastAsia="Calibri" w:hAnsi="Arial" w:cs="Arial"/>
          <w:noProof/>
          <w:lang w:val="en-US"/>
        </w:rPr>
        <w:t>Hoy WE, Wang Z, vanBuynder P, Baker PRA, Mathews JD. The natural history of renal disease in Australian Aborigines. Part 1. Changes in albuminuria and glomerular filtration rate over time. Kidney International. 2001;60:243-8.</w:t>
      </w:r>
      <w:bookmarkEnd w:id="125"/>
    </w:p>
    <w:p w14:paraId="06742227" w14:textId="77777777" w:rsidR="00076A87" w:rsidRPr="00076A87" w:rsidRDefault="00076A87" w:rsidP="00076A87">
      <w:pPr>
        <w:numPr>
          <w:ilvl w:val="0"/>
          <w:numId w:val="132"/>
        </w:numPr>
        <w:spacing w:after="0" w:line="240" w:lineRule="auto"/>
        <w:ind w:left="567" w:hanging="501"/>
        <w:rPr>
          <w:rFonts w:ascii="Arial" w:eastAsia="Calibri" w:hAnsi="Arial" w:cs="Arial"/>
          <w:noProof/>
          <w:lang w:val="en-US"/>
        </w:rPr>
      </w:pPr>
      <w:bookmarkStart w:id="126" w:name="_ENREF_5"/>
      <w:r w:rsidRPr="00076A87">
        <w:rPr>
          <w:rFonts w:ascii="Arial" w:eastAsia="Calibri" w:hAnsi="Arial" w:cs="Arial"/>
          <w:noProof/>
          <w:lang w:val="en-US"/>
        </w:rPr>
        <w:t>Chaturvedi S, Boyd R, Krause V. Acute Post-Streptococcal Glomerulonephritis in the Northern Territory of Australia: A Review of Data from 2009 to 2016 and Comparison with the Literature. The American Journal of Tropical Medicine and Hygiene. 2018;99:1643-8.</w:t>
      </w:r>
      <w:bookmarkEnd w:id="126"/>
    </w:p>
    <w:p w14:paraId="304EEF89" w14:textId="77777777" w:rsidR="00076A87" w:rsidRPr="00076A87" w:rsidRDefault="00076A87" w:rsidP="00076A87">
      <w:pPr>
        <w:numPr>
          <w:ilvl w:val="0"/>
          <w:numId w:val="132"/>
        </w:numPr>
        <w:spacing w:after="0" w:line="240" w:lineRule="auto"/>
        <w:ind w:left="567" w:hanging="501"/>
        <w:rPr>
          <w:rFonts w:ascii="Arial" w:eastAsia="Calibri" w:hAnsi="Arial" w:cs="Arial"/>
          <w:noProof/>
          <w:lang w:val="en-US"/>
        </w:rPr>
      </w:pPr>
      <w:bookmarkStart w:id="127" w:name="_ENREF_6"/>
      <w:r w:rsidRPr="00076A87">
        <w:rPr>
          <w:rFonts w:ascii="Arial" w:eastAsia="Calibri" w:hAnsi="Arial" w:cs="Arial"/>
          <w:noProof/>
          <w:lang w:val="en-US"/>
        </w:rPr>
        <w:t>Barr ELM, Barzi F, Hughes JT, Jerums G, Hoy WE, O’Dea K, et al. High Baseline Levels of Tumor Necrosis Factor Receptor 1 Are Associated With Progression of Kidney Disease in Indigenous Australians With Diabetes: The eGFR Follow-up Study. Diabetes Care. 2018.</w:t>
      </w:r>
      <w:bookmarkEnd w:id="127"/>
    </w:p>
    <w:p w14:paraId="5F482B8A" w14:textId="77777777" w:rsidR="00076A87" w:rsidRPr="00076A87" w:rsidRDefault="00076A87" w:rsidP="00076A87">
      <w:pPr>
        <w:numPr>
          <w:ilvl w:val="0"/>
          <w:numId w:val="132"/>
        </w:numPr>
        <w:spacing w:after="0" w:line="240" w:lineRule="auto"/>
        <w:ind w:left="567" w:hanging="501"/>
        <w:rPr>
          <w:rFonts w:ascii="Arial" w:eastAsia="Calibri" w:hAnsi="Arial" w:cs="Arial"/>
          <w:noProof/>
          <w:lang w:val="en-US"/>
        </w:rPr>
      </w:pPr>
      <w:bookmarkStart w:id="128" w:name="_ENREF_7"/>
      <w:r w:rsidRPr="00076A87">
        <w:rPr>
          <w:rFonts w:ascii="Arial" w:eastAsia="Calibri" w:hAnsi="Arial" w:cs="Arial"/>
          <w:noProof/>
          <w:lang w:val="en-US"/>
        </w:rPr>
        <w:t>Hughes JT, Maple-Brown LJ, Thomas M, Lawton PD, Sinha A, Cass A, et al. Cross-sectional associations of albuminuria among Aboriginal and Torres Strait Islander adults: the eGFR Study. Nephrology. 2018;23:37-45.</w:t>
      </w:r>
      <w:bookmarkEnd w:id="128"/>
    </w:p>
    <w:p w14:paraId="6EBB45FD" w14:textId="77777777" w:rsidR="00076A87" w:rsidRPr="00076A87" w:rsidRDefault="00076A87" w:rsidP="00076A87">
      <w:pPr>
        <w:numPr>
          <w:ilvl w:val="0"/>
          <w:numId w:val="132"/>
        </w:numPr>
        <w:spacing w:after="0" w:line="240" w:lineRule="auto"/>
        <w:ind w:left="567" w:hanging="501"/>
        <w:rPr>
          <w:rFonts w:ascii="Arial" w:eastAsia="Calibri" w:hAnsi="Arial" w:cs="Arial"/>
          <w:noProof/>
          <w:lang w:val="en-US"/>
        </w:rPr>
      </w:pPr>
      <w:bookmarkStart w:id="129" w:name="_ENREF_8"/>
      <w:r w:rsidRPr="00076A87">
        <w:rPr>
          <w:rFonts w:ascii="Arial" w:eastAsia="Calibri" w:hAnsi="Arial" w:cs="Arial"/>
          <w:noProof/>
          <w:lang w:val="en-US"/>
        </w:rPr>
        <w:t>Ritte RE, Lawton P, Hughes JT, Barzi F, Brown A, Mills P, et al. Chronic kidney disease and socio-economic status: a cross sectional study. Ethnicity &amp; Health. 2017:1-17.</w:t>
      </w:r>
      <w:bookmarkEnd w:id="129"/>
    </w:p>
    <w:p w14:paraId="2178FA97" w14:textId="77777777" w:rsidR="00076A87" w:rsidRPr="00076A87" w:rsidRDefault="00076A87" w:rsidP="00076A87">
      <w:pPr>
        <w:numPr>
          <w:ilvl w:val="0"/>
          <w:numId w:val="132"/>
        </w:numPr>
        <w:spacing w:after="0" w:line="240" w:lineRule="auto"/>
        <w:ind w:left="567" w:hanging="501"/>
        <w:rPr>
          <w:rFonts w:ascii="Arial" w:eastAsia="Calibri" w:hAnsi="Arial" w:cs="Arial"/>
          <w:noProof/>
          <w:lang w:val="en-US"/>
        </w:rPr>
      </w:pPr>
      <w:bookmarkStart w:id="130" w:name="_ENREF_9"/>
      <w:r w:rsidRPr="00076A87">
        <w:rPr>
          <w:rFonts w:ascii="Arial" w:eastAsia="Calibri" w:hAnsi="Arial" w:cs="Arial"/>
          <w:noProof/>
          <w:lang w:val="en-US"/>
        </w:rPr>
        <w:t>JT Hughes, O Aye-Min, SW Majoni, BJ Currie, H Hall, R Kirkham. Delayed resolution of an extensive dermatophyte infection: client and clinician perceptions of treatment response in an adult dependent on haemodialysis. (2017), Posters. Nephrology, 22: 51–92. doi:10.1111/nep.13105.</w:t>
      </w:r>
      <w:bookmarkEnd w:id="130"/>
    </w:p>
    <w:p w14:paraId="39323A1D" w14:textId="77777777" w:rsidR="00076A87" w:rsidRPr="00076A87" w:rsidRDefault="00076A87" w:rsidP="00076A87">
      <w:pPr>
        <w:numPr>
          <w:ilvl w:val="0"/>
          <w:numId w:val="132"/>
        </w:numPr>
        <w:spacing w:after="0" w:line="240" w:lineRule="auto"/>
        <w:ind w:left="567" w:hanging="501"/>
        <w:rPr>
          <w:rFonts w:ascii="Arial" w:eastAsia="Calibri" w:hAnsi="Arial" w:cs="Arial"/>
          <w:noProof/>
          <w:lang w:val="en-US"/>
        </w:rPr>
      </w:pPr>
      <w:bookmarkStart w:id="131" w:name="_ENREF_10"/>
      <w:r w:rsidRPr="00076A87">
        <w:rPr>
          <w:rFonts w:ascii="Arial" w:eastAsia="Calibri" w:hAnsi="Arial" w:cs="Arial"/>
          <w:noProof/>
          <w:lang w:val="en-US"/>
        </w:rPr>
        <w:t>Hughes J, Majoni S, Barzi F, Signal S, Kapojos J, Abeyaratne A, et al. Characteristics of clients at incident haemodialysis treatment: a retrospective audit in a northern Australian hospital. Nephrology. 2017;22:78.</w:t>
      </w:r>
      <w:bookmarkEnd w:id="131"/>
    </w:p>
    <w:p w14:paraId="56EC3A68" w14:textId="77777777" w:rsidR="00076A87" w:rsidRPr="00076A87" w:rsidRDefault="00076A87" w:rsidP="00076A87">
      <w:pPr>
        <w:numPr>
          <w:ilvl w:val="0"/>
          <w:numId w:val="132"/>
        </w:numPr>
        <w:spacing w:after="0" w:line="240" w:lineRule="auto"/>
        <w:ind w:left="567" w:hanging="501"/>
        <w:rPr>
          <w:rFonts w:ascii="Arial" w:eastAsia="Calibri" w:hAnsi="Arial" w:cs="Arial"/>
          <w:noProof/>
          <w:lang w:val="en-US"/>
        </w:rPr>
      </w:pPr>
      <w:bookmarkStart w:id="132" w:name="_ENREF_11"/>
      <w:r w:rsidRPr="00076A87">
        <w:rPr>
          <w:rFonts w:ascii="Arial" w:eastAsia="Calibri" w:hAnsi="Arial" w:cs="Arial"/>
          <w:noProof/>
          <w:lang w:val="en-US"/>
        </w:rPr>
        <w:t>Holwell A, Cherian S, Barzi F, Brady S, Hughes J. Rapid progression of chronic kidney disease in five years prior to haemodialysis initiation in Central Australia. The Renal Society of Australasia Journal. 2017;13:5-8.</w:t>
      </w:r>
      <w:bookmarkEnd w:id="132"/>
    </w:p>
    <w:p w14:paraId="3F8999BF" w14:textId="77777777" w:rsidR="00076A87" w:rsidRPr="00076A87" w:rsidRDefault="00076A87" w:rsidP="00076A87">
      <w:pPr>
        <w:numPr>
          <w:ilvl w:val="0"/>
          <w:numId w:val="132"/>
        </w:numPr>
        <w:spacing w:after="0" w:line="240" w:lineRule="auto"/>
        <w:ind w:left="567" w:hanging="501"/>
        <w:rPr>
          <w:rFonts w:ascii="Arial" w:eastAsia="Calibri" w:hAnsi="Arial" w:cs="Arial"/>
          <w:noProof/>
          <w:lang w:val="en-US"/>
        </w:rPr>
      </w:pPr>
      <w:bookmarkStart w:id="133" w:name="_ENREF_12"/>
      <w:r w:rsidRPr="00076A87">
        <w:rPr>
          <w:rFonts w:ascii="Arial" w:eastAsia="Calibri" w:hAnsi="Arial" w:cs="Arial"/>
          <w:noProof/>
          <w:lang w:val="en-US"/>
        </w:rPr>
        <w:t>Hughes J, Mick-Ramsamy L, Mills P, Ross L, Kelly J. Summary Report, Darwin, Catching Some Air- Asserting Aboriginal and Torres Strait Islander Information Rights in Renal Disease. Darwin: Menzies School of Health Research, 2018.</w:t>
      </w:r>
      <w:bookmarkEnd w:id="133"/>
    </w:p>
    <w:p w14:paraId="1CDC18CB" w14:textId="77777777" w:rsidR="00076A87" w:rsidRPr="00076A87" w:rsidRDefault="00076A87" w:rsidP="00076A87">
      <w:pPr>
        <w:numPr>
          <w:ilvl w:val="0"/>
          <w:numId w:val="132"/>
        </w:numPr>
        <w:spacing w:after="0" w:line="240" w:lineRule="auto"/>
        <w:ind w:left="567" w:hanging="501"/>
        <w:rPr>
          <w:rFonts w:ascii="Arial" w:eastAsia="Calibri" w:hAnsi="Arial" w:cs="Arial"/>
          <w:noProof/>
          <w:lang w:val="en-US"/>
        </w:rPr>
      </w:pPr>
      <w:bookmarkStart w:id="134" w:name="_ENREF_13"/>
      <w:r w:rsidRPr="00076A87">
        <w:rPr>
          <w:rFonts w:ascii="Arial" w:eastAsia="Calibri" w:hAnsi="Arial" w:cs="Arial"/>
          <w:noProof/>
          <w:lang w:val="en-US"/>
        </w:rPr>
        <w:t>Hughes J, Kelly J, Mick-Ramsamy L, Mills P. Summary Report, Thursday Island, Catching Some Air- Asserting Aboriginal and Torres Strait Islander Information Rights in Renal Disease. . Darwin: Menzies School of Health Research, 2018 August 2018. Report No.</w:t>
      </w:r>
      <w:bookmarkEnd w:id="134"/>
    </w:p>
    <w:p w14:paraId="42AFE682" w14:textId="77777777" w:rsidR="00076A87" w:rsidRPr="00076A87" w:rsidRDefault="00076A87" w:rsidP="00076A87">
      <w:pPr>
        <w:numPr>
          <w:ilvl w:val="0"/>
          <w:numId w:val="132"/>
        </w:numPr>
        <w:spacing w:after="0" w:line="240" w:lineRule="auto"/>
        <w:ind w:left="567" w:hanging="501"/>
        <w:rPr>
          <w:rFonts w:ascii="Arial" w:eastAsia="Calibri" w:hAnsi="Arial" w:cs="Arial"/>
          <w:noProof/>
          <w:lang w:val="en-US"/>
        </w:rPr>
      </w:pPr>
      <w:bookmarkStart w:id="135" w:name="_ENREF_14"/>
      <w:r w:rsidRPr="00076A87">
        <w:rPr>
          <w:rFonts w:ascii="Arial" w:eastAsia="Calibri" w:hAnsi="Arial" w:cs="Arial"/>
          <w:noProof/>
          <w:lang w:val="en-US"/>
        </w:rPr>
        <w:t>Hughes J, Dembski L, Kerrigan V, Majoni SW, Lawton PD, Cass A. Gathering Perspectives - Finding Solutions for Chronic and End Stage Kidney Disease. Nephrology. 2018;23:5-13.</w:t>
      </w:r>
      <w:bookmarkEnd w:id="135"/>
    </w:p>
    <w:p w14:paraId="712ADCFE" w14:textId="77777777" w:rsidR="00076A87" w:rsidRPr="00076A87" w:rsidRDefault="00076A87" w:rsidP="00076A87">
      <w:pPr>
        <w:numPr>
          <w:ilvl w:val="0"/>
          <w:numId w:val="132"/>
        </w:numPr>
        <w:spacing w:after="0" w:line="240" w:lineRule="auto"/>
        <w:ind w:left="567" w:hanging="501"/>
        <w:rPr>
          <w:rFonts w:ascii="Arial" w:eastAsia="Calibri" w:hAnsi="Arial" w:cs="Arial"/>
          <w:noProof/>
          <w:lang w:val="en-US"/>
        </w:rPr>
      </w:pPr>
      <w:bookmarkStart w:id="136" w:name="_ENREF_15"/>
      <w:r w:rsidRPr="00076A87">
        <w:rPr>
          <w:rFonts w:ascii="Arial" w:eastAsia="Calibri" w:hAnsi="Arial" w:cs="Arial"/>
          <w:noProof/>
          <w:lang w:val="en-US"/>
        </w:rPr>
        <w:t>Mick-Ramsamy L, Ross L, Kelly J, Hughes J. Summary Report, Alice Springs, Catching Some Air- Asserting Aboriginal and Torres Strait Islander Information Rights in Renal Disease. Darwin: Menzies School of Health Research, 2018.</w:t>
      </w:r>
      <w:bookmarkEnd w:id="136"/>
    </w:p>
    <w:p w14:paraId="146CFF53" w14:textId="77777777" w:rsidR="00076A87" w:rsidRPr="00076A87" w:rsidRDefault="00076A87" w:rsidP="00076A87">
      <w:pPr>
        <w:numPr>
          <w:ilvl w:val="0"/>
          <w:numId w:val="132"/>
        </w:numPr>
        <w:spacing w:line="240" w:lineRule="auto"/>
        <w:ind w:left="567" w:hanging="501"/>
        <w:rPr>
          <w:rFonts w:ascii="Calibri" w:eastAsia="Calibri" w:hAnsi="Calibri" w:cs="Times New Roman"/>
          <w:noProof/>
          <w:sz w:val="22"/>
          <w:lang w:val="en-US"/>
        </w:rPr>
      </w:pPr>
      <w:bookmarkStart w:id="137" w:name="_ENREF_16"/>
      <w:r w:rsidRPr="00076A87">
        <w:rPr>
          <w:rFonts w:ascii="Arial" w:eastAsia="Calibri" w:hAnsi="Arial" w:cs="Arial"/>
          <w:noProof/>
          <w:lang w:val="en-US"/>
        </w:rPr>
        <w:t>Hughes J, Dembski L, Kerrigan V, Majoni S, Lawton P, Cass A. Indigenous Patient Voices: Gathering Perspectives Finding Solutions for Chronic and End Stage Kidney Disease, 2017 Symposium Report. Nephrology 2018;23:4-12.</w:t>
      </w:r>
      <w:bookmarkEnd w:id="137"/>
    </w:p>
    <w:p w14:paraId="348BE127" w14:textId="77777777" w:rsidR="00076A87" w:rsidRPr="00076A87" w:rsidRDefault="00076A87" w:rsidP="00076A87">
      <w:pPr>
        <w:spacing w:after="0"/>
        <w:ind w:left="567" w:hanging="501"/>
        <w:rPr>
          <w:rFonts w:ascii="Calibri" w:eastAsia="Calibri" w:hAnsi="Calibri" w:cs="Times New Roman"/>
          <w:sz w:val="22"/>
        </w:rPr>
      </w:pPr>
      <w:r w:rsidRPr="00076A87">
        <w:rPr>
          <w:rFonts w:ascii="Arial" w:eastAsia="Calibri" w:hAnsi="Arial" w:cs="Arial"/>
          <w:sz w:val="22"/>
        </w:rPr>
        <w:fldChar w:fldCharType="end"/>
      </w:r>
    </w:p>
    <w:p w14:paraId="0475EBE2" w14:textId="02EEB826" w:rsidR="00C05F37" w:rsidRPr="00782640" w:rsidRDefault="00C05F37" w:rsidP="00782640">
      <w:pPr>
        <w:rPr>
          <w:rFonts w:asciiTheme="majorHAnsi" w:hAnsiTheme="majorHAnsi" w:cstheme="minorHAnsi"/>
          <w:b/>
          <w:color w:val="FF0000"/>
          <w:sz w:val="32"/>
          <w:szCs w:val="32"/>
        </w:rPr>
      </w:pPr>
    </w:p>
    <w:sectPr w:rsidR="00C05F37" w:rsidRPr="00782640" w:rsidSect="00A41391">
      <w:footerReference w:type="default" r:id="rId106"/>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15D308" w14:textId="77777777" w:rsidR="00A41391" w:rsidRDefault="00A41391" w:rsidP="00641296">
      <w:pPr>
        <w:spacing w:after="0" w:line="240" w:lineRule="auto"/>
      </w:pPr>
      <w:r>
        <w:separator/>
      </w:r>
    </w:p>
  </w:endnote>
  <w:endnote w:type="continuationSeparator" w:id="0">
    <w:p w14:paraId="4BE91F07" w14:textId="77777777" w:rsidR="00A41391" w:rsidRDefault="00A41391" w:rsidP="00641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mp;quot">
    <w:altName w:val="Cambria"/>
    <w:panose1 w:val="00000000000000000000"/>
    <w:charset w:val="00"/>
    <w:family w:val="roman"/>
    <w:notTrueType/>
    <w:pitch w:val="default"/>
  </w:font>
  <w:font w:name="Adelle Sans ExtraBold">
    <w:altName w:val="Calibri"/>
    <w:charset w:val="00"/>
    <w:family w:val="auto"/>
    <w:pitch w:val="variable"/>
    <w:sig w:usb0="80000087" w:usb1="0000004B" w:usb2="00000000" w:usb3="00000000" w:csb0="00000083" w:csb1="00000000"/>
  </w:font>
  <w:font w:name="Adelle Sans Bold">
    <w:altName w:val="Cambria Math"/>
    <w:panose1 w:val="02000503000000020004"/>
    <w:charset w:val="00"/>
    <w:family w:val="auto"/>
    <w:pitch w:val="variable"/>
    <w:sig w:usb0="80000087" w:usb1="0000004B" w:usb2="00000000" w:usb3="00000000" w:csb0="00000083" w:csb1="00000000"/>
  </w:font>
  <w:font w:name="Adelle Sans Light">
    <w:altName w:val="Calibri"/>
    <w:panose1 w:val="02000503000000020004"/>
    <w:charset w:val="00"/>
    <w:family w:val="auto"/>
    <w:pitch w:val="variable"/>
    <w:sig w:usb0="80000087" w:usb1="0000004B" w:usb2="00000000" w:usb3="00000000" w:csb0="00000083" w:csb1="00000000"/>
  </w:font>
  <w:font w:name="Adelle Sans">
    <w:panose1 w:val="02000503000000020004"/>
    <w:charset w:val="00"/>
    <w:family w:val="modern"/>
    <w:notTrueType/>
    <w:pitch w:val="variable"/>
    <w:sig w:usb0="80000087" w:usb1="0000004B" w:usb2="00000000" w:usb3="00000000" w:csb0="00000083" w:csb1="00000000"/>
  </w:font>
  <w:font w:name="Adelle Sans SemiBold">
    <w:altName w:val="Calibri"/>
    <w:charset w:val="00"/>
    <w:family w:val="auto"/>
    <w:pitch w:val="variable"/>
    <w:sig w:usb0="80000087" w:usb1="0000004B" w:usb2="00000000" w:usb3="00000000" w:csb0="0000008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21331963"/>
      <w:docPartObj>
        <w:docPartGallery w:val="Page Numbers (Bottom of Page)"/>
        <w:docPartUnique/>
      </w:docPartObj>
    </w:sdtPr>
    <w:sdtEndPr>
      <w:rPr>
        <w:rStyle w:val="PageNumber"/>
      </w:rPr>
    </w:sdtEndPr>
    <w:sdtContent>
      <w:p w14:paraId="728DFEBF" w14:textId="6C0E9409" w:rsidR="00A41391" w:rsidRDefault="00A41391" w:rsidP="005370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420247604"/>
      <w:docPartObj>
        <w:docPartGallery w:val="Page Numbers (Bottom of Page)"/>
        <w:docPartUnique/>
      </w:docPartObj>
    </w:sdtPr>
    <w:sdtEndPr>
      <w:rPr>
        <w:rStyle w:val="PageNumber"/>
      </w:rPr>
    </w:sdtEndPr>
    <w:sdtContent>
      <w:p w14:paraId="5DF5D572" w14:textId="156802C8" w:rsidR="00A41391" w:rsidRDefault="00A41391" w:rsidP="00010716">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1CD78" w14:textId="77777777" w:rsidR="00A41391" w:rsidRDefault="00A41391" w:rsidP="000107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29037168"/>
      <w:docPartObj>
        <w:docPartGallery w:val="Page Numbers (Bottom of Page)"/>
        <w:docPartUnique/>
      </w:docPartObj>
    </w:sdtPr>
    <w:sdtEndPr>
      <w:rPr>
        <w:rStyle w:val="PageNumber"/>
        <w:sz w:val="16"/>
        <w:szCs w:val="16"/>
      </w:rPr>
    </w:sdtEndPr>
    <w:sdtContent>
      <w:p w14:paraId="3376FA17" w14:textId="3A843F5E" w:rsidR="00A41391" w:rsidRPr="00010716" w:rsidRDefault="00A41391" w:rsidP="0053704D">
        <w:pPr>
          <w:pStyle w:val="Footer"/>
          <w:framePr w:wrap="none" w:vAnchor="text" w:hAnchor="margin" w:xAlign="right" w:y="1"/>
          <w:rPr>
            <w:rStyle w:val="PageNumber"/>
            <w:sz w:val="16"/>
            <w:szCs w:val="16"/>
          </w:rPr>
        </w:pPr>
        <w:r w:rsidRPr="00010716">
          <w:rPr>
            <w:rStyle w:val="PageNumber"/>
            <w:sz w:val="16"/>
            <w:szCs w:val="16"/>
          </w:rPr>
          <w:fldChar w:fldCharType="begin"/>
        </w:r>
        <w:r w:rsidRPr="00010716">
          <w:rPr>
            <w:rStyle w:val="PageNumber"/>
            <w:sz w:val="16"/>
            <w:szCs w:val="16"/>
          </w:rPr>
          <w:instrText xml:space="preserve"> PAGE </w:instrText>
        </w:r>
        <w:r w:rsidRPr="00010716">
          <w:rPr>
            <w:rStyle w:val="PageNumber"/>
            <w:sz w:val="16"/>
            <w:szCs w:val="16"/>
          </w:rPr>
          <w:fldChar w:fldCharType="separate"/>
        </w:r>
        <w:r>
          <w:rPr>
            <w:rStyle w:val="PageNumber"/>
            <w:noProof/>
            <w:sz w:val="16"/>
            <w:szCs w:val="16"/>
          </w:rPr>
          <w:t>20</w:t>
        </w:r>
        <w:r w:rsidRPr="00010716">
          <w:rPr>
            <w:rStyle w:val="PageNumber"/>
            <w:sz w:val="16"/>
            <w:szCs w:val="16"/>
          </w:rPr>
          <w:fldChar w:fldCharType="end"/>
        </w:r>
      </w:p>
    </w:sdtContent>
  </w:sdt>
  <w:p w14:paraId="296F49D2" w14:textId="48673E3F" w:rsidR="00A41391" w:rsidRPr="00010716" w:rsidRDefault="00A41391" w:rsidP="00010716">
    <w:pPr>
      <w:ind w:right="360"/>
      <w:jc w:val="right"/>
      <w:rPr>
        <w:sz w:val="16"/>
        <w:szCs w:val="16"/>
      </w:rPr>
    </w:pPr>
    <w:r w:rsidRPr="00010716">
      <w:rPr>
        <w:sz w:val="16"/>
        <w:szCs w:val="16"/>
      </w:rPr>
      <w:t>Consultation Summary: A compendium to the National Strategic Action Plan for Kidney Disease</w:t>
    </w:r>
    <w:r>
      <w:rPr>
        <w:sz w:val="16"/>
        <w:szCs w:val="16"/>
      </w:rPr>
      <w:t xml:space="preserve">       |</w:t>
    </w:r>
  </w:p>
  <w:p w14:paraId="7AEEE8A2" w14:textId="77777777" w:rsidR="00A41391" w:rsidRPr="00010716" w:rsidRDefault="00A41391">
    <w:pPr>
      <w:pStyle w:val="Footer"/>
      <w:rPr>
        <w:color w:val="000000" w:themeColor="text1"/>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772A8" w14:textId="70E467DC" w:rsidR="00A41391" w:rsidRDefault="00A41391" w:rsidP="0055104B">
    <w:pPr>
      <w:pStyle w:val="Footer"/>
      <w:jc w:val="center"/>
    </w:pPr>
  </w:p>
  <w:p w14:paraId="6DC66734" w14:textId="77777777" w:rsidR="00A41391" w:rsidRDefault="00A413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2228971"/>
      <w:docPartObj>
        <w:docPartGallery w:val="Page Numbers (Bottom of Page)"/>
        <w:docPartUnique/>
      </w:docPartObj>
    </w:sdtPr>
    <w:sdtEndPr>
      <w:rPr>
        <w:noProof/>
      </w:rPr>
    </w:sdtEndPr>
    <w:sdtContent>
      <w:p w14:paraId="07DD7326" w14:textId="77777777" w:rsidR="00A41391" w:rsidRDefault="00A41391">
        <w:pPr>
          <w:pStyle w:val="Footer"/>
          <w:jc w:val="right"/>
        </w:pPr>
        <w:r>
          <w:fldChar w:fldCharType="begin"/>
        </w:r>
        <w:r>
          <w:instrText xml:space="preserve"> PAGE   \* MERGEFORMAT </w:instrText>
        </w:r>
        <w:r>
          <w:fldChar w:fldCharType="separate"/>
        </w:r>
        <w:r>
          <w:rPr>
            <w:noProof/>
          </w:rPr>
          <w:t>i</w:t>
        </w:r>
        <w:r>
          <w:rPr>
            <w:noProof/>
          </w:rPr>
          <w:fldChar w:fldCharType="end"/>
        </w:r>
      </w:p>
    </w:sdtContent>
  </w:sdt>
  <w:p w14:paraId="55971DBE" w14:textId="77777777" w:rsidR="00A41391" w:rsidRDefault="00A4139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9591302"/>
      <w:docPartObj>
        <w:docPartGallery w:val="Page Numbers (Bottom of Page)"/>
        <w:docPartUnique/>
      </w:docPartObj>
    </w:sdtPr>
    <w:sdtEndPr>
      <w:rPr>
        <w:noProof/>
      </w:rPr>
    </w:sdtEndPr>
    <w:sdtContent>
      <w:p w14:paraId="27A7302E" w14:textId="77777777" w:rsidR="00A41391" w:rsidRDefault="00A41391">
        <w:pPr>
          <w:pStyle w:val="Footer"/>
          <w:jc w:val="right"/>
        </w:pPr>
        <w:r>
          <w:fldChar w:fldCharType="begin"/>
        </w:r>
        <w:r>
          <w:instrText xml:space="preserve"> PAGE   \* MERGEFORMAT </w:instrText>
        </w:r>
        <w:r>
          <w:fldChar w:fldCharType="separate"/>
        </w:r>
        <w:r>
          <w:rPr>
            <w:noProof/>
          </w:rPr>
          <w:t>iv</w:t>
        </w:r>
        <w:r>
          <w:rPr>
            <w:noProof/>
          </w:rPr>
          <w:fldChar w:fldCharType="end"/>
        </w:r>
      </w:p>
    </w:sdtContent>
  </w:sdt>
  <w:p w14:paraId="53F028B4" w14:textId="77777777" w:rsidR="00A41391" w:rsidRDefault="00A4139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5EF1B" w14:textId="6C8ACCCA" w:rsidR="00A41391" w:rsidRDefault="00A41391">
    <w:pPr>
      <w:pStyle w:val="Footer"/>
      <w:jc w:val="right"/>
    </w:pPr>
  </w:p>
  <w:p w14:paraId="1732DC8B" w14:textId="77777777" w:rsidR="00A41391" w:rsidRDefault="00A4139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8464410"/>
      <w:docPartObj>
        <w:docPartGallery w:val="Page Numbers (Bottom of Page)"/>
        <w:docPartUnique/>
      </w:docPartObj>
    </w:sdtPr>
    <w:sdtEndPr>
      <w:rPr>
        <w:noProof/>
        <w:color w:val="000000" w:themeColor="text1"/>
      </w:rPr>
    </w:sdtEndPr>
    <w:sdtContent>
      <w:p w14:paraId="40C98236" w14:textId="77777777" w:rsidR="00A41391" w:rsidRPr="00FD09A7" w:rsidRDefault="00A41391">
        <w:pPr>
          <w:pStyle w:val="Footer"/>
          <w:jc w:val="right"/>
          <w:rPr>
            <w:color w:val="FF0000"/>
          </w:rPr>
        </w:pPr>
        <w:r w:rsidRPr="00E1017A">
          <w:rPr>
            <w:color w:val="000000" w:themeColor="text1"/>
          </w:rPr>
          <w:fldChar w:fldCharType="begin"/>
        </w:r>
        <w:r w:rsidRPr="00E1017A">
          <w:rPr>
            <w:color w:val="000000" w:themeColor="text1"/>
          </w:rPr>
          <w:instrText xml:space="preserve"> PAGE   \* MERGEFORMAT </w:instrText>
        </w:r>
        <w:r w:rsidRPr="00E1017A">
          <w:rPr>
            <w:color w:val="000000" w:themeColor="text1"/>
          </w:rPr>
          <w:fldChar w:fldCharType="separate"/>
        </w:r>
        <w:r w:rsidRPr="00E1017A">
          <w:rPr>
            <w:noProof/>
            <w:color w:val="000000" w:themeColor="text1"/>
          </w:rPr>
          <w:t>46</w:t>
        </w:r>
        <w:r w:rsidRPr="00E1017A">
          <w:rPr>
            <w:noProof/>
            <w:color w:val="000000" w:themeColor="text1"/>
          </w:rPr>
          <w:fldChar w:fldCharType="end"/>
        </w:r>
      </w:p>
    </w:sdtContent>
  </w:sdt>
  <w:p w14:paraId="0D952A43" w14:textId="77777777" w:rsidR="00A41391" w:rsidRDefault="00A4139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11DC3" w14:textId="77777777" w:rsidR="00A41391" w:rsidRDefault="00A41391" w:rsidP="00A41391">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1204841"/>
      <w:docPartObj>
        <w:docPartGallery w:val="Page Numbers (Bottom of Page)"/>
        <w:docPartUnique/>
      </w:docPartObj>
    </w:sdtPr>
    <w:sdtEndPr>
      <w:rPr>
        <w:noProof/>
      </w:rPr>
    </w:sdtEndPr>
    <w:sdtContent>
      <w:p w14:paraId="3FFE69BD" w14:textId="77777777" w:rsidR="00A41391" w:rsidRDefault="00A41391">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3726A8" w14:textId="77777777" w:rsidR="00A41391" w:rsidRDefault="00A41391" w:rsidP="00641296">
      <w:pPr>
        <w:spacing w:after="0" w:line="240" w:lineRule="auto"/>
      </w:pPr>
      <w:r>
        <w:separator/>
      </w:r>
    </w:p>
  </w:footnote>
  <w:footnote w:type="continuationSeparator" w:id="0">
    <w:p w14:paraId="79326F3D" w14:textId="77777777" w:rsidR="00A41391" w:rsidRDefault="00A41391" w:rsidP="006412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E02D4" w14:textId="77777777" w:rsidR="00A41391" w:rsidRDefault="00A413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CE144AA4"/>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C700DD6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D939B5"/>
    <w:multiLevelType w:val="hybridMultilevel"/>
    <w:tmpl w:val="2D30120A"/>
    <w:lvl w:ilvl="0" w:tplc="497C8564">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01567DA6"/>
    <w:multiLevelType w:val="hybridMultilevel"/>
    <w:tmpl w:val="9892A440"/>
    <w:lvl w:ilvl="0" w:tplc="779E63E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9241AC"/>
    <w:multiLevelType w:val="multilevel"/>
    <w:tmpl w:val="052250FC"/>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3517CCF"/>
    <w:multiLevelType w:val="hybridMultilevel"/>
    <w:tmpl w:val="B94C2FA4"/>
    <w:lvl w:ilvl="0" w:tplc="895879AA">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FC552B"/>
    <w:multiLevelType w:val="hybridMultilevel"/>
    <w:tmpl w:val="D7AA1040"/>
    <w:lvl w:ilvl="0" w:tplc="FC54A470">
      <w:start w:val="1"/>
      <w:numFmt w:val="decimal"/>
      <w:lvlText w:val="%1."/>
      <w:lvlJc w:val="left"/>
      <w:pPr>
        <w:ind w:left="357" w:hanging="35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7C249EB"/>
    <w:multiLevelType w:val="hybridMultilevel"/>
    <w:tmpl w:val="E1A07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59232B"/>
    <w:multiLevelType w:val="hybridMultilevel"/>
    <w:tmpl w:val="AA12EAA8"/>
    <w:lvl w:ilvl="0" w:tplc="04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A7720B5"/>
    <w:multiLevelType w:val="hybridMultilevel"/>
    <w:tmpl w:val="D632E790"/>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0ADE1E4D"/>
    <w:multiLevelType w:val="hybridMultilevel"/>
    <w:tmpl w:val="FC82AE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B7670D7"/>
    <w:multiLevelType w:val="hybridMultilevel"/>
    <w:tmpl w:val="F0B4A932"/>
    <w:lvl w:ilvl="0" w:tplc="B61260E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443CB9"/>
    <w:multiLevelType w:val="hybridMultilevel"/>
    <w:tmpl w:val="8FA88DC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360810"/>
    <w:multiLevelType w:val="hybridMultilevel"/>
    <w:tmpl w:val="D8C82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971ABE"/>
    <w:multiLevelType w:val="hybridMultilevel"/>
    <w:tmpl w:val="5B3A4A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E6D1C37"/>
    <w:multiLevelType w:val="hybridMultilevel"/>
    <w:tmpl w:val="419EC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06A6C63"/>
    <w:multiLevelType w:val="hybridMultilevel"/>
    <w:tmpl w:val="BD68F716"/>
    <w:lvl w:ilvl="0" w:tplc="FC54A470">
      <w:start w:val="1"/>
      <w:numFmt w:val="decim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3B3162"/>
    <w:multiLevelType w:val="hybridMultilevel"/>
    <w:tmpl w:val="5C746130"/>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1D25EFA"/>
    <w:multiLevelType w:val="hybridMultilevel"/>
    <w:tmpl w:val="2D30120A"/>
    <w:lvl w:ilvl="0" w:tplc="497C8564">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15162540"/>
    <w:multiLevelType w:val="hybridMultilevel"/>
    <w:tmpl w:val="5E6CA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A7A6B3B"/>
    <w:multiLevelType w:val="hybridMultilevel"/>
    <w:tmpl w:val="1A266E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AE50427"/>
    <w:multiLevelType w:val="hybridMultilevel"/>
    <w:tmpl w:val="033C8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B7E57FF"/>
    <w:multiLevelType w:val="hybridMultilevel"/>
    <w:tmpl w:val="71C2BC4C"/>
    <w:lvl w:ilvl="0" w:tplc="2D126176">
      <w:start w:val="3"/>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B8329A0"/>
    <w:multiLevelType w:val="hybridMultilevel"/>
    <w:tmpl w:val="ED30D204"/>
    <w:lvl w:ilvl="0" w:tplc="A704D9D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BAE266E"/>
    <w:multiLevelType w:val="hybridMultilevel"/>
    <w:tmpl w:val="D1CC3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D575781"/>
    <w:multiLevelType w:val="hybridMultilevel"/>
    <w:tmpl w:val="72803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E322282"/>
    <w:multiLevelType w:val="hybridMultilevel"/>
    <w:tmpl w:val="373EC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E8E55BF"/>
    <w:multiLevelType w:val="hybridMultilevel"/>
    <w:tmpl w:val="8A5C7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E974DAF"/>
    <w:multiLevelType w:val="hybridMultilevel"/>
    <w:tmpl w:val="0400B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F6D5786"/>
    <w:multiLevelType w:val="hybridMultilevel"/>
    <w:tmpl w:val="11B6E4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0726897"/>
    <w:multiLevelType w:val="hybridMultilevel"/>
    <w:tmpl w:val="4B8E10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2597564"/>
    <w:multiLevelType w:val="hybridMultilevel"/>
    <w:tmpl w:val="A4E8F980"/>
    <w:lvl w:ilvl="0" w:tplc="B7943994">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3342C2B"/>
    <w:multiLevelType w:val="hybridMultilevel"/>
    <w:tmpl w:val="D69A554C"/>
    <w:lvl w:ilvl="0" w:tplc="5D9ED49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3AC2A8A"/>
    <w:multiLevelType w:val="hybridMultilevel"/>
    <w:tmpl w:val="74567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4267C51"/>
    <w:multiLevelType w:val="hybridMultilevel"/>
    <w:tmpl w:val="36F6F064"/>
    <w:lvl w:ilvl="0" w:tplc="53DC9950">
      <w:numFmt w:val="bullet"/>
      <w:lvlText w:val=""/>
      <w:lvlJc w:val="left"/>
      <w:pPr>
        <w:ind w:left="360" w:hanging="360"/>
      </w:pPr>
      <w:rPr>
        <w:rFonts w:ascii="Symbol" w:eastAsiaTheme="minorHAnsi" w:hAnsi="Symbol" w:cstheme="minorBidi" w:hint="default"/>
        <w:b w: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68E473C"/>
    <w:multiLevelType w:val="hybridMultilevel"/>
    <w:tmpl w:val="640EF1EE"/>
    <w:lvl w:ilvl="0" w:tplc="8EFE12E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7047A2E"/>
    <w:multiLevelType w:val="hybridMultilevel"/>
    <w:tmpl w:val="0BB8E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7AB065D"/>
    <w:multiLevelType w:val="hybridMultilevel"/>
    <w:tmpl w:val="B560B3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28573966"/>
    <w:multiLevelType w:val="hybridMultilevel"/>
    <w:tmpl w:val="98B4B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8A02ECC"/>
    <w:multiLevelType w:val="hybridMultilevel"/>
    <w:tmpl w:val="B73AA06A"/>
    <w:lvl w:ilvl="0" w:tplc="04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28C2627A"/>
    <w:multiLevelType w:val="hybridMultilevel"/>
    <w:tmpl w:val="5C1E7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8EF2613"/>
    <w:multiLevelType w:val="hybridMultilevel"/>
    <w:tmpl w:val="CBD2AEE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B291068"/>
    <w:multiLevelType w:val="hybridMultilevel"/>
    <w:tmpl w:val="36082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E82DC9"/>
    <w:multiLevelType w:val="hybridMultilevel"/>
    <w:tmpl w:val="4F9479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E84402E"/>
    <w:multiLevelType w:val="hybridMultilevel"/>
    <w:tmpl w:val="A70E61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2FD94FAE"/>
    <w:multiLevelType w:val="hybridMultilevel"/>
    <w:tmpl w:val="1E9CC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0027910"/>
    <w:multiLevelType w:val="hybridMultilevel"/>
    <w:tmpl w:val="92287B4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00E4C5C"/>
    <w:multiLevelType w:val="hybridMultilevel"/>
    <w:tmpl w:val="562EB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0240505"/>
    <w:multiLevelType w:val="hybridMultilevel"/>
    <w:tmpl w:val="2D30120A"/>
    <w:lvl w:ilvl="0" w:tplc="497C8564">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9" w15:restartNumberingAfterBreak="0">
    <w:nsid w:val="30AA183D"/>
    <w:multiLevelType w:val="hybridMultilevel"/>
    <w:tmpl w:val="04663834"/>
    <w:lvl w:ilvl="0" w:tplc="E4D8B4A0">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35C087D"/>
    <w:multiLevelType w:val="hybridMultilevel"/>
    <w:tmpl w:val="9E220E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361D3F59"/>
    <w:multiLevelType w:val="hybridMultilevel"/>
    <w:tmpl w:val="129E7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68553D9"/>
    <w:multiLevelType w:val="hybridMultilevel"/>
    <w:tmpl w:val="F09644A2"/>
    <w:lvl w:ilvl="0" w:tplc="DA441542">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9825F55"/>
    <w:multiLevelType w:val="hybridMultilevel"/>
    <w:tmpl w:val="15F6C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9966180"/>
    <w:multiLevelType w:val="hybridMultilevel"/>
    <w:tmpl w:val="5CEC2A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3A2728A5"/>
    <w:multiLevelType w:val="hybridMultilevel"/>
    <w:tmpl w:val="EE34081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3AB3241B"/>
    <w:multiLevelType w:val="hybridMultilevel"/>
    <w:tmpl w:val="8AB82F44"/>
    <w:lvl w:ilvl="0" w:tplc="0C090011">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3C1D64E5"/>
    <w:multiLevelType w:val="hybridMultilevel"/>
    <w:tmpl w:val="EAC2A9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CA40FBF"/>
    <w:multiLevelType w:val="hybridMultilevel"/>
    <w:tmpl w:val="AC92D9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3D0F37BD"/>
    <w:multiLevelType w:val="hybridMultilevel"/>
    <w:tmpl w:val="A70C208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15:restartNumberingAfterBreak="0">
    <w:nsid w:val="40B35A7D"/>
    <w:multiLevelType w:val="hybridMultilevel"/>
    <w:tmpl w:val="ED30D204"/>
    <w:lvl w:ilvl="0" w:tplc="A704D9D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40E43A52"/>
    <w:multiLevelType w:val="hybridMultilevel"/>
    <w:tmpl w:val="CE60CB2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0EE380E"/>
    <w:multiLevelType w:val="hybridMultilevel"/>
    <w:tmpl w:val="4CC476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41EE0F01"/>
    <w:multiLevelType w:val="hybridMultilevel"/>
    <w:tmpl w:val="4D680B80"/>
    <w:lvl w:ilvl="0" w:tplc="A6D81E2E">
      <w:start w:val="1"/>
      <w:numFmt w:val="decimal"/>
      <w:lvlText w:val="%1."/>
      <w:lvlJc w:val="left"/>
      <w:pPr>
        <w:ind w:left="357" w:hanging="35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2894C97"/>
    <w:multiLevelType w:val="hybridMultilevel"/>
    <w:tmpl w:val="F48A1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3FF6227"/>
    <w:multiLevelType w:val="hybridMultilevel"/>
    <w:tmpl w:val="9578B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40121D9"/>
    <w:multiLevelType w:val="hybridMultilevel"/>
    <w:tmpl w:val="F1FA841A"/>
    <w:lvl w:ilvl="0" w:tplc="375C4F0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40F332F"/>
    <w:multiLevelType w:val="hybridMultilevel"/>
    <w:tmpl w:val="89AADC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451917C2"/>
    <w:multiLevelType w:val="hybridMultilevel"/>
    <w:tmpl w:val="71705E6C"/>
    <w:lvl w:ilvl="0" w:tplc="04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9" w15:restartNumberingAfterBreak="0">
    <w:nsid w:val="46225A31"/>
    <w:multiLevelType w:val="hybridMultilevel"/>
    <w:tmpl w:val="ABA0A6B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47A42190"/>
    <w:multiLevelType w:val="hybridMultilevel"/>
    <w:tmpl w:val="716822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48465F49"/>
    <w:multiLevelType w:val="hybridMultilevel"/>
    <w:tmpl w:val="EE34081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15:restartNumberingAfterBreak="0">
    <w:nsid w:val="48703CAF"/>
    <w:multiLevelType w:val="hybridMultilevel"/>
    <w:tmpl w:val="1766E3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49737C05"/>
    <w:multiLevelType w:val="hybridMultilevel"/>
    <w:tmpl w:val="4CCC86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9AE51BA"/>
    <w:multiLevelType w:val="hybridMultilevel"/>
    <w:tmpl w:val="0CB24D9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5" w15:restartNumberingAfterBreak="0">
    <w:nsid w:val="4A736B45"/>
    <w:multiLevelType w:val="hybridMultilevel"/>
    <w:tmpl w:val="3D94AE2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6" w15:restartNumberingAfterBreak="0">
    <w:nsid w:val="4B7B7516"/>
    <w:multiLevelType w:val="hybridMultilevel"/>
    <w:tmpl w:val="4306A3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C57766E"/>
    <w:multiLevelType w:val="hybridMultilevel"/>
    <w:tmpl w:val="3F286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CBF7404"/>
    <w:multiLevelType w:val="hybridMultilevel"/>
    <w:tmpl w:val="4A74DC92"/>
    <w:lvl w:ilvl="0" w:tplc="C520D99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E8624E2"/>
    <w:multiLevelType w:val="hybridMultilevel"/>
    <w:tmpl w:val="873A48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4FFB1FFF"/>
    <w:multiLevelType w:val="hybridMultilevel"/>
    <w:tmpl w:val="45424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1323438"/>
    <w:multiLevelType w:val="hybridMultilevel"/>
    <w:tmpl w:val="9AB80E0C"/>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2" w15:restartNumberingAfterBreak="0">
    <w:nsid w:val="53010B6C"/>
    <w:multiLevelType w:val="hybridMultilevel"/>
    <w:tmpl w:val="EE34081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3" w15:restartNumberingAfterBreak="0">
    <w:nsid w:val="5384390A"/>
    <w:multiLevelType w:val="hybridMultilevel"/>
    <w:tmpl w:val="7E7E1E9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543B145D"/>
    <w:multiLevelType w:val="hybridMultilevel"/>
    <w:tmpl w:val="B5644E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569C5DBE"/>
    <w:multiLevelType w:val="hybridMultilevel"/>
    <w:tmpl w:val="CAD2856E"/>
    <w:lvl w:ilvl="0" w:tplc="04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6" w15:restartNumberingAfterBreak="0">
    <w:nsid w:val="56CC1BD2"/>
    <w:multiLevelType w:val="hybridMultilevel"/>
    <w:tmpl w:val="E780D4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58493A7A"/>
    <w:multiLevelType w:val="hybridMultilevel"/>
    <w:tmpl w:val="4B9025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5B075DAC"/>
    <w:multiLevelType w:val="hybridMultilevel"/>
    <w:tmpl w:val="873A48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5CCD6270"/>
    <w:multiLevelType w:val="hybridMultilevel"/>
    <w:tmpl w:val="4496963A"/>
    <w:lvl w:ilvl="0" w:tplc="CF324F2C">
      <w:start w:val="1"/>
      <w:numFmt w:val="lowerLetter"/>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0" w15:restartNumberingAfterBreak="0">
    <w:nsid w:val="5F4A51BB"/>
    <w:multiLevelType w:val="hybridMultilevel"/>
    <w:tmpl w:val="F4D883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5FAF19B1"/>
    <w:multiLevelType w:val="hybridMultilevel"/>
    <w:tmpl w:val="B616D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0E8679C"/>
    <w:multiLevelType w:val="hybridMultilevel"/>
    <w:tmpl w:val="2A44DB98"/>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93" w15:restartNumberingAfterBreak="0">
    <w:nsid w:val="61705186"/>
    <w:multiLevelType w:val="hybridMultilevel"/>
    <w:tmpl w:val="95E26834"/>
    <w:lvl w:ilvl="0" w:tplc="0C09000F">
      <w:start w:val="1"/>
      <w:numFmt w:val="decimal"/>
      <w:lvlText w:val="%1."/>
      <w:lvlJc w:val="left"/>
      <w:pPr>
        <w:ind w:left="720" w:hanging="360"/>
      </w:pPr>
    </w:lvl>
    <w:lvl w:ilvl="1" w:tplc="FE7C9666">
      <w:numFmt w:val="bullet"/>
      <w:lvlText w:val="-"/>
      <w:lvlJc w:val="left"/>
      <w:pPr>
        <w:ind w:left="1440" w:hanging="360"/>
      </w:pPr>
      <w:rPr>
        <w:rFonts w:ascii="Calibri Light" w:eastAsiaTheme="majorEastAsia" w:hAnsi="Calibri Light" w:cstheme="majorBid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61E273EF"/>
    <w:multiLevelType w:val="hybridMultilevel"/>
    <w:tmpl w:val="B0CE61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61F0750F"/>
    <w:multiLevelType w:val="hybridMultilevel"/>
    <w:tmpl w:val="0CB24716"/>
    <w:lvl w:ilvl="0" w:tplc="3CBA3F4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6" w15:restartNumberingAfterBreak="0">
    <w:nsid w:val="65B51706"/>
    <w:multiLevelType w:val="hybridMultilevel"/>
    <w:tmpl w:val="CA629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6FB6E93"/>
    <w:multiLevelType w:val="hybridMultilevel"/>
    <w:tmpl w:val="849E18A6"/>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6776678B"/>
    <w:multiLevelType w:val="multilevel"/>
    <w:tmpl w:val="36220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7BE339E"/>
    <w:multiLevelType w:val="hybridMultilevel"/>
    <w:tmpl w:val="C414C0FE"/>
    <w:lvl w:ilvl="0" w:tplc="4A46BEC2">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7CB1216"/>
    <w:multiLevelType w:val="hybridMultilevel"/>
    <w:tmpl w:val="A70C208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1" w15:restartNumberingAfterBreak="0">
    <w:nsid w:val="682B02D1"/>
    <w:multiLevelType w:val="hybridMultilevel"/>
    <w:tmpl w:val="39EEAD30"/>
    <w:lvl w:ilvl="0" w:tplc="39E8C50E">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685E3DB3"/>
    <w:multiLevelType w:val="hybridMultilevel"/>
    <w:tmpl w:val="2D30120A"/>
    <w:lvl w:ilvl="0" w:tplc="497C8564">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3" w15:restartNumberingAfterBreak="0">
    <w:nsid w:val="696768A7"/>
    <w:multiLevelType w:val="hybridMultilevel"/>
    <w:tmpl w:val="2D30120A"/>
    <w:lvl w:ilvl="0" w:tplc="497C8564">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4" w15:restartNumberingAfterBreak="0">
    <w:nsid w:val="69B50A24"/>
    <w:multiLevelType w:val="hybridMultilevel"/>
    <w:tmpl w:val="ABA0A6B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5" w15:restartNumberingAfterBreak="0">
    <w:nsid w:val="6A8705F6"/>
    <w:multiLevelType w:val="hybridMultilevel"/>
    <w:tmpl w:val="BC602D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6B154808"/>
    <w:multiLevelType w:val="hybridMultilevel"/>
    <w:tmpl w:val="1DD004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6B3F2DE7"/>
    <w:multiLevelType w:val="hybridMultilevel"/>
    <w:tmpl w:val="BF022814"/>
    <w:lvl w:ilvl="0" w:tplc="6972A372">
      <w:start w:val="3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6BA44BB8"/>
    <w:multiLevelType w:val="hybridMultilevel"/>
    <w:tmpl w:val="28AEF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DB62BA0"/>
    <w:multiLevelType w:val="hybridMultilevel"/>
    <w:tmpl w:val="A0DCA5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6E145559"/>
    <w:multiLevelType w:val="hybridMultilevel"/>
    <w:tmpl w:val="0C240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07E5E64"/>
    <w:multiLevelType w:val="hybridMultilevel"/>
    <w:tmpl w:val="BEC2CA1E"/>
    <w:lvl w:ilvl="0" w:tplc="CAB41A84">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0A9407A"/>
    <w:multiLevelType w:val="hybridMultilevel"/>
    <w:tmpl w:val="71BA714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3" w15:restartNumberingAfterBreak="0">
    <w:nsid w:val="71687124"/>
    <w:multiLevelType w:val="hybridMultilevel"/>
    <w:tmpl w:val="FFBEC03A"/>
    <w:lvl w:ilvl="0" w:tplc="1986AD1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4" w15:restartNumberingAfterBreak="0">
    <w:nsid w:val="719940F8"/>
    <w:multiLevelType w:val="hybridMultilevel"/>
    <w:tmpl w:val="35D6C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2253D4B"/>
    <w:multiLevelType w:val="hybridMultilevel"/>
    <w:tmpl w:val="2EBEB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72C8287F"/>
    <w:multiLevelType w:val="hybridMultilevel"/>
    <w:tmpl w:val="885EFC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74470C77"/>
    <w:multiLevelType w:val="hybridMultilevel"/>
    <w:tmpl w:val="8FA88DC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755C2C2D"/>
    <w:multiLevelType w:val="hybridMultilevel"/>
    <w:tmpl w:val="D738F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5E47E98"/>
    <w:multiLevelType w:val="hybridMultilevel"/>
    <w:tmpl w:val="1034D5EC"/>
    <w:lvl w:ilvl="0" w:tplc="B0948FE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76945367"/>
    <w:multiLevelType w:val="hybridMultilevel"/>
    <w:tmpl w:val="EE34081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1" w15:restartNumberingAfterBreak="0">
    <w:nsid w:val="76AB3F02"/>
    <w:multiLevelType w:val="hybridMultilevel"/>
    <w:tmpl w:val="ED30D204"/>
    <w:lvl w:ilvl="0" w:tplc="A704D9D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771F2D47"/>
    <w:multiLevelType w:val="hybridMultilevel"/>
    <w:tmpl w:val="DCC4C7BE"/>
    <w:lvl w:ilvl="0" w:tplc="4634BDE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77706657"/>
    <w:multiLevelType w:val="hybridMultilevel"/>
    <w:tmpl w:val="D1B0DDA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4" w15:restartNumberingAfterBreak="0">
    <w:nsid w:val="78A81D8B"/>
    <w:multiLevelType w:val="hybridMultilevel"/>
    <w:tmpl w:val="113EE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7948085A"/>
    <w:multiLevelType w:val="hybridMultilevel"/>
    <w:tmpl w:val="44A02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7AAD1E83"/>
    <w:multiLevelType w:val="hybridMultilevel"/>
    <w:tmpl w:val="60808C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7C564B2C"/>
    <w:multiLevelType w:val="hybridMultilevel"/>
    <w:tmpl w:val="3E20E0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7DF91479"/>
    <w:multiLevelType w:val="hybridMultilevel"/>
    <w:tmpl w:val="81A891A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9" w15:restartNumberingAfterBreak="0">
    <w:nsid w:val="7E890EDF"/>
    <w:multiLevelType w:val="hybridMultilevel"/>
    <w:tmpl w:val="77A45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7EFF42E3"/>
    <w:multiLevelType w:val="hybridMultilevel"/>
    <w:tmpl w:val="797CE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7F49646B"/>
    <w:multiLevelType w:val="hybridMultilevel"/>
    <w:tmpl w:val="315E3964"/>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32" w15:restartNumberingAfterBreak="0">
    <w:nsid w:val="7F5F2F18"/>
    <w:multiLevelType w:val="hybridMultilevel"/>
    <w:tmpl w:val="B9822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7F9425EC"/>
    <w:multiLevelType w:val="hybridMultilevel"/>
    <w:tmpl w:val="6D5A8C26"/>
    <w:lvl w:ilvl="0" w:tplc="F4A88428">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7F967669"/>
    <w:multiLevelType w:val="hybridMultilevel"/>
    <w:tmpl w:val="C41ACE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9"/>
  </w:num>
  <w:num w:numId="2">
    <w:abstractNumId w:val="100"/>
  </w:num>
  <w:num w:numId="3">
    <w:abstractNumId w:val="32"/>
  </w:num>
  <w:num w:numId="4">
    <w:abstractNumId w:val="123"/>
  </w:num>
  <w:num w:numId="5">
    <w:abstractNumId w:val="69"/>
  </w:num>
  <w:num w:numId="6">
    <w:abstractNumId w:val="104"/>
  </w:num>
  <w:num w:numId="7">
    <w:abstractNumId w:val="29"/>
  </w:num>
  <w:num w:numId="8">
    <w:abstractNumId w:val="134"/>
  </w:num>
  <w:num w:numId="9">
    <w:abstractNumId w:val="109"/>
  </w:num>
  <w:num w:numId="10">
    <w:abstractNumId w:val="116"/>
  </w:num>
  <w:num w:numId="11">
    <w:abstractNumId w:val="20"/>
  </w:num>
  <w:num w:numId="12">
    <w:abstractNumId w:val="67"/>
  </w:num>
  <w:num w:numId="13">
    <w:abstractNumId w:val="62"/>
  </w:num>
  <w:num w:numId="14">
    <w:abstractNumId w:val="43"/>
  </w:num>
  <w:num w:numId="15">
    <w:abstractNumId w:val="30"/>
  </w:num>
  <w:num w:numId="16">
    <w:abstractNumId w:val="74"/>
  </w:num>
  <w:num w:numId="17">
    <w:abstractNumId w:val="8"/>
  </w:num>
  <w:num w:numId="18">
    <w:abstractNumId w:val="58"/>
  </w:num>
  <w:num w:numId="19">
    <w:abstractNumId w:val="17"/>
  </w:num>
  <w:num w:numId="20">
    <w:abstractNumId w:val="63"/>
  </w:num>
  <w:num w:numId="21">
    <w:abstractNumId w:val="44"/>
  </w:num>
  <w:num w:numId="22">
    <w:abstractNumId w:val="94"/>
  </w:num>
  <w:num w:numId="23">
    <w:abstractNumId w:val="115"/>
  </w:num>
  <w:num w:numId="24">
    <w:abstractNumId w:val="0"/>
  </w:num>
  <w:num w:numId="25">
    <w:abstractNumId w:val="1"/>
  </w:num>
  <w:num w:numId="26">
    <w:abstractNumId w:val="31"/>
  </w:num>
  <w:num w:numId="27">
    <w:abstractNumId w:val="5"/>
  </w:num>
  <w:num w:numId="28">
    <w:abstractNumId w:val="6"/>
  </w:num>
  <w:num w:numId="29">
    <w:abstractNumId w:val="52"/>
  </w:num>
  <w:num w:numId="30">
    <w:abstractNumId w:val="46"/>
  </w:num>
  <w:num w:numId="31">
    <w:abstractNumId w:val="114"/>
  </w:num>
  <w:num w:numId="32">
    <w:abstractNumId w:val="76"/>
  </w:num>
  <w:num w:numId="33">
    <w:abstractNumId w:val="118"/>
  </w:num>
  <w:num w:numId="34">
    <w:abstractNumId w:val="56"/>
  </w:num>
  <w:num w:numId="35">
    <w:abstractNumId w:val="133"/>
  </w:num>
  <w:num w:numId="36">
    <w:abstractNumId w:val="85"/>
  </w:num>
  <w:num w:numId="37">
    <w:abstractNumId w:val="61"/>
  </w:num>
  <w:num w:numId="38">
    <w:abstractNumId w:val="65"/>
  </w:num>
  <w:num w:numId="39">
    <w:abstractNumId w:val="99"/>
  </w:num>
  <w:num w:numId="40">
    <w:abstractNumId w:val="92"/>
  </w:num>
  <w:num w:numId="41">
    <w:abstractNumId w:val="131"/>
  </w:num>
  <w:num w:numId="42">
    <w:abstractNumId w:val="108"/>
  </w:num>
  <w:num w:numId="43">
    <w:abstractNumId w:val="38"/>
  </w:num>
  <w:num w:numId="44">
    <w:abstractNumId w:val="83"/>
  </w:num>
  <w:num w:numId="45">
    <w:abstractNumId w:val="35"/>
  </w:num>
  <w:num w:numId="46">
    <w:abstractNumId w:val="64"/>
  </w:num>
  <w:num w:numId="47">
    <w:abstractNumId w:val="42"/>
  </w:num>
  <w:num w:numId="48">
    <w:abstractNumId w:val="13"/>
  </w:num>
  <w:num w:numId="49">
    <w:abstractNumId w:val="66"/>
  </w:num>
  <w:num w:numId="50">
    <w:abstractNumId w:val="90"/>
  </w:num>
  <w:num w:numId="51">
    <w:abstractNumId w:val="26"/>
  </w:num>
  <w:num w:numId="52">
    <w:abstractNumId w:val="28"/>
  </w:num>
  <w:num w:numId="53">
    <w:abstractNumId w:val="78"/>
  </w:num>
  <w:num w:numId="54">
    <w:abstractNumId w:val="12"/>
  </w:num>
  <w:num w:numId="55">
    <w:abstractNumId w:val="18"/>
  </w:num>
  <w:num w:numId="56">
    <w:abstractNumId w:val="11"/>
  </w:num>
  <w:num w:numId="57">
    <w:abstractNumId w:val="23"/>
  </w:num>
  <w:num w:numId="58">
    <w:abstractNumId w:val="121"/>
  </w:num>
  <w:num w:numId="59">
    <w:abstractNumId w:val="103"/>
  </w:num>
  <w:num w:numId="60">
    <w:abstractNumId w:val="117"/>
  </w:num>
  <w:num w:numId="61">
    <w:abstractNumId w:val="102"/>
  </w:num>
  <w:num w:numId="62">
    <w:abstractNumId w:val="60"/>
  </w:num>
  <w:num w:numId="63">
    <w:abstractNumId w:val="2"/>
  </w:num>
  <w:num w:numId="64">
    <w:abstractNumId w:val="48"/>
  </w:num>
  <w:num w:numId="65">
    <w:abstractNumId w:val="93"/>
  </w:num>
  <w:num w:numId="66">
    <w:abstractNumId w:val="49"/>
  </w:num>
  <w:num w:numId="67">
    <w:abstractNumId w:val="68"/>
  </w:num>
  <w:num w:numId="68">
    <w:abstractNumId w:val="22"/>
  </w:num>
  <w:num w:numId="69">
    <w:abstractNumId w:val="79"/>
  </w:num>
  <w:num w:numId="70">
    <w:abstractNumId w:val="101"/>
  </w:num>
  <w:num w:numId="71">
    <w:abstractNumId w:val="95"/>
  </w:num>
  <w:num w:numId="72">
    <w:abstractNumId w:val="34"/>
  </w:num>
  <w:num w:numId="73">
    <w:abstractNumId w:val="119"/>
  </w:num>
  <w:num w:numId="74">
    <w:abstractNumId w:val="88"/>
  </w:num>
  <w:num w:numId="75">
    <w:abstractNumId w:val="112"/>
  </w:num>
  <w:num w:numId="76">
    <w:abstractNumId w:val="9"/>
  </w:num>
  <w:num w:numId="77">
    <w:abstractNumId w:val="122"/>
  </w:num>
  <w:num w:numId="78">
    <w:abstractNumId w:val="111"/>
  </w:num>
  <w:num w:numId="79">
    <w:abstractNumId w:val="107"/>
  </w:num>
  <w:num w:numId="80">
    <w:abstractNumId w:val="39"/>
  </w:num>
  <w:num w:numId="81">
    <w:abstractNumId w:val="87"/>
  </w:num>
  <w:num w:numId="82">
    <w:abstractNumId w:val="41"/>
  </w:num>
  <w:num w:numId="83">
    <w:abstractNumId w:val="97"/>
  </w:num>
  <w:num w:numId="84">
    <w:abstractNumId w:val="113"/>
  </w:num>
  <w:num w:numId="85">
    <w:abstractNumId w:val="89"/>
  </w:num>
  <w:num w:numId="86">
    <w:abstractNumId w:val="3"/>
  </w:num>
  <w:num w:numId="87">
    <w:abstractNumId w:val="75"/>
  </w:num>
  <w:num w:numId="88">
    <w:abstractNumId w:val="105"/>
  </w:num>
  <w:num w:numId="89">
    <w:abstractNumId w:val="16"/>
  </w:num>
  <w:num w:numId="90">
    <w:abstractNumId w:val="57"/>
  </w:num>
  <w:num w:numId="91">
    <w:abstractNumId w:val="82"/>
  </w:num>
  <w:num w:numId="92">
    <w:abstractNumId w:val="55"/>
  </w:num>
  <w:num w:numId="93">
    <w:abstractNumId w:val="71"/>
  </w:num>
  <w:num w:numId="94">
    <w:abstractNumId w:val="73"/>
  </w:num>
  <w:num w:numId="95">
    <w:abstractNumId w:val="126"/>
  </w:num>
  <w:num w:numId="96">
    <w:abstractNumId w:val="7"/>
  </w:num>
  <w:num w:numId="97">
    <w:abstractNumId w:val="53"/>
  </w:num>
  <w:num w:numId="98">
    <w:abstractNumId w:val="110"/>
  </w:num>
  <w:num w:numId="99">
    <w:abstractNumId w:val="25"/>
  </w:num>
  <w:num w:numId="100">
    <w:abstractNumId w:val="77"/>
  </w:num>
  <w:num w:numId="101">
    <w:abstractNumId w:val="47"/>
  </w:num>
  <w:num w:numId="102">
    <w:abstractNumId w:val="40"/>
  </w:num>
  <w:num w:numId="103">
    <w:abstractNumId w:val="19"/>
  </w:num>
  <w:num w:numId="104">
    <w:abstractNumId w:val="33"/>
  </w:num>
  <w:num w:numId="105">
    <w:abstractNumId w:val="27"/>
  </w:num>
  <w:num w:numId="106">
    <w:abstractNumId w:val="129"/>
  </w:num>
  <w:num w:numId="107">
    <w:abstractNumId w:val="54"/>
  </w:num>
  <w:num w:numId="108">
    <w:abstractNumId w:val="70"/>
  </w:num>
  <w:num w:numId="109">
    <w:abstractNumId w:val="98"/>
  </w:num>
  <w:num w:numId="110">
    <w:abstractNumId w:val="4"/>
  </w:num>
  <w:num w:numId="111">
    <w:abstractNumId w:val="37"/>
  </w:num>
  <w:num w:numId="112">
    <w:abstractNumId w:val="21"/>
  </w:num>
  <w:num w:numId="113">
    <w:abstractNumId w:val="14"/>
  </w:num>
  <w:num w:numId="114">
    <w:abstractNumId w:val="51"/>
  </w:num>
  <w:num w:numId="115">
    <w:abstractNumId w:val="125"/>
  </w:num>
  <w:num w:numId="116">
    <w:abstractNumId w:val="15"/>
  </w:num>
  <w:num w:numId="117">
    <w:abstractNumId w:val="130"/>
  </w:num>
  <w:num w:numId="118">
    <w:abstractNumId w:val="96"/>
  </w:num>
  <w:num w:numId="119">
    <w:abstractNumId w:val="80"/>
  </w:num>
  <w:num w:numId="120">
    <w:abstractNumId w:val="45"/>
  </w:num>
  <w:num w:numId="121">
    <w:abstractNumId w:val="91"/>
  </w:num>
  <w:num w:numId="122">
    <w:abstractNumId w:val="36"/>
  </w:num>
  <w:num w:numId="123">
    <w:abstractNumId w:val="128"/>
  </w:num>
  <w:num w:numId="124">
    <w:abstractNumId w:val="10"/>
  </w:num>
  <w:num w:numId="125">
    <w:abstractNumId w:val="132"/>
  </w:num>
  <w:num w:numId="126">
    <w:abstractNumId w:val="81"/>
  </w:num>
  <w:num w:numId="127">
    <w:abstractNumId w:val="72"/>
  </w:num>
  <w:num w:numId="128">
    <w:abstractNumId w:val="127"/>
  </w:num>
  <w:num w:numId="129">
    <w:abstractNumId w:val="50"/>
  </w:num>
  <w:num w:numId="130">
    <w:abstractNumId w:val="24"/>
  </w:num>
  <w:num w:numId="131">
    <w:abstractNumId w:val="124"/>
  </w:num>
  <w:num w:numId="132">
    <w:abstractNumId w:val="84"/>
  </w:num>
  <w:num w:numId="133">
    <w:abstractNumId w:val="86"/>
  </w:num>
  <w:num w:numId="134">
    <w:abstractNumId w:val="106"/>
  </w:num>
  <w:num w:numId="135">
    <w:abstractNumId w:val="120"/>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6145">
      <o:colormenu v:ext="edit" fillcolor="none [321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7C2"/>
    <w:rsid w:val="00000EDB"/>
    <w:rsid w:val="0000114E"/>
    <w:rsid w:val="00006731"/>
    <w:rsid w:val="00010716"/>
    <w:rsid w:val="00014738"/>
    <w:rsid w:val="00014CA3"/>
    <w:rsid w:val="000309BC"/>
    <w:rsid w:val="00036FFC"/>
    <w:rsid w:val="00051AFD"/>
    <w:rsid w:val="00057A53"/>
    <w:rsid w:val="00070626"/>
    <w:rsid w:val="000707B2"/>
    <w:rsid w:val="00076A87"/>
    <w:rsid w:val="00083C9A"/>
    <w:rsid w:val="00087814"/>
    <w:rsid w:val="000902E7"/>
    <w:rsid w:val="0009647A"/>
    <w:rsid w:val="000B3B1C"/>
    <w:rsid w:val="000C7FF2"/>
    <w:rsid w:val="000E5D1E"/>
    <w:rsid w:val="000E6D9C"/>
    <w:rsid w:val="000F0235"/>
    <w:rsid w:val="000F40F9"/>
    <w:rsid w:val="001036B0"/>
    <w:rsid w:val="0010384B"/>
    <w:rsid w:val="00112205"/>
    <w:rsid w:val="0011240E"/>
    <w:rsid w:val="00120C23"/>
    <w:rsid w:val="00130FD7"/>
    <w:rsid w:val="00132BED"/>
    <w:rsid w:val="00146782"/>
    <w:rsid w:val="0015096E"/>
    <w:rsid w:val="00154330"/>
    <w:rsid w:val="0015500F"/>
    <w:rsid w:val="00165057"/>
    <w:rsid w:val="00165BC8"/>
    <w:rsid w:val="0016723C"/>
    <w:rsid w:val="001B0E66"/>
    <w:rsid w:val="001B25F4"/>
    <w:rsid w:val="001B608B"/>
    <w:rsid w:val="001C2541"/>
    <w:rsid w:val="001C5BEA"/>
    <w:rsid w:val="001E588C"/>
    <w:rsid w:val="001F0065"/>
    <w:rsid w:val="001F6499"/>
    <w:rsid w:val="001F7D30"/>
    <w:rsid w:val="001F7E85"/>
    <w:rsid w:val="002015CA"/>
    <w:rsid w:val="00202FA2"/>
    <w:rsid w:val="0020765A"/>
    <w:rsid w:val="002109F0"/>
    <w:rsid w:val="002219F3"/>
    <w:rsid w:val="002236EE"/>
    <w:rsid w:val="00233324"/>
    <w:rsid w:val="002362D6"/>
    <w:rsid w:val="00271069"/>
    <w:rsid w:val="0028213C"/>
    <w:rsid w:val="00286D3D"/>
    <w:rsid w:val="00287B00"/>
    <w:rsid w:val="00291CFA"/>
    <w:rsid w:val="0029474A"/>
    <w:rsid w:val="002A4D06"/>
    <w:rsid w:val="002B1CEB"/>
    <w:rsid w:val="002B7132"/>
    <w:rsid w:val="002C34B2"/>
    <w:rsid w:val="002C3899"/>
    <w:rsid w:val="002C6934"/>
    <w:rsid w:val="002D3B49"/>
    <w:rsid w:val="002E06B7"/>
    <w:rsid w:val="002E0CD7"/>
    <w:rsid w:val="002E66CD"/>
    <w:rsid w:val="002F7387"/>
    <w:rsid w:val="002F7456"/>
    <w:rsid w:val="003072A0"/>
    <w:rsid w:val="003144C8"/>
    <w:rsid w:val="00325AAB"/>
    <w:rsid w:val="00326031"/>
    <w:rsid w:val="00344911"/>
    <w:rsid w:val="00356971"/>
    <w:rsid w:val="00363685"/>
    <w:rsid w:val="00371D94"/>
    <w:rsid w:val="0037488F"/>
    <w:rsid w:val="00380A28"/>
    <w:rsid w:val="003824D5"/>
    <w:rsid w:val="003928D2"/>
    <w:rsid w:val="003A2F3E"/>
    <w:rsid w:val="003A6F75"/>
    <w:rsid w:val="003B46F9"/>
    <w:rsid w:val="003C58A3"/>
    <w:rsid w:val="003D276B"/>
    <w:rsid w:val="003D458B"/>
    <w:rsid w:val="003D634F"/>
    <w:rsid w:val="003E2976"/>
    <w:rsid w:val="003E69DD"/>
    <w:rsid w:val="003F08F4"/>
    <w:rsid w:val="003F2E0A"/>
    <w:rsid w:val="003F7028"/>
    <w:rsid w:val="00406160"/>
    <w:rsid w:val="00413E67"/>
    <w:rsid w:val="004203EE"/>
    <w:rsid w:val="00421304"/>
    <w:rsid w:val="004303A2"/>
    <w:rsid w:val="00434D31"/>
    <w:rsid w:val="00442CD5"/>
    <w:rsid w:val="00446F0F"/>
    <w:rsid w:val="00455522"/>
    <w:rsid w:val="00486422"/>
    <w:rsid w:val="00490126"/>
    <w:rsid w:val="0049473C"/>
    <w:rsid w:val="00497744"/>
    <w:rsid w:val="004A7238"/>
    <w:rsid w:val="004C2C8C"/>
    <w:rsid w:val="004D09E7"/>
    <w:rsid w:val="004D1164"/>
    <w:rsid w:val="004D56DF"/>
    <w:rsid w:val="004E2E6F"/>
    <w:rsid w:val="004F77DB"/>
    <w:rsid w:val="00530CA1"/>
    <w:rsid w:val="0053704D"/>
    <w:rsid w:val="005401DB"/>
    <w:rsid w:val="00541BA8"/>
    <w:rsid w:val="0055104B"/>
    <w:rsid w:val="00554B5F"/>
    <w:rsid w:val="00566673"/>
    <w:rsid w:val="00570A29"/>
    <w:rsid w:val="00571ABC"/>
    <w:rsid w:val="00573809"/>
    <w:rsid w:val="00580E71"/>
    <w:rsid w:val="00585E8B"/>
    <w:rsid w:val="00591C28"/>
    <w:rsid w:val="005A718B"/>
    <w:rsid w:val="005B3F9F"/>
    <w:rsid w:val="005B6A70"/>
    <w:rsid w:val="005D082D"/>
    <w:rsid w:val="005D160B"/>
    <w:rsid w:val="005E2F20"/>
    <w:rsid w:val="0060449F"/>
    <w:rsid w:val="006057DF"/>
    <w:rsid w:val="00616666"/>
    <w:rsid w:val="00623AD5"/>
    <w:rsid w:val="00641296"/>
    <w:rsid w:val="006548C8"/>
    <w:rsid w:val="00656860"/>
    <w:rsid w:val="006734F5"/>
    <w:rsid w:val="006901B9"/>
    <w:rsid w:val="00697E5B"/>
    <w:rsid w:val="006A1B26"/>
    <w:rsid w:val="006B0B0B"/>
    <w:rsid w:val="006B38A7"/>
    <w:rsid w:val="006B3E91"/>
    <w:rsid w:val="006C47C2"/>
    <w:rsid w:val="006C55EA"/>
    <w:rsid w:val="006D2144"/>
    <w:rsid w:val="006D377D"/>
    <w:rsid w:val="006E1444"/>
    <w:rsid w:val="006E201C"/>
    <w:rsid w:val="00710602"/>
    <w:rsid w:val="007139BF"/>
    <w:rsid w:val="0071478D"/>
    <w:rsid w:val="00727C60"/>
    <w:rsid w:val="00733F35"/>
    <w:rsid w:val="007346E4"/>
    <w:rsid w:val="00755D67"/>
    <w:rsid w:val="0076611D"/>
    <w:rsid w:val="00772295"/>
    <w:rsid w:val="0077420B"/>
    <w:rsid w:val="00774FDE"/>
    <w:rsid w:val="00782640"/>
    <w:rsid w:val="00793452"/>
    <w:rsid w:val="00795707"/>
    <w:rsid w:val="007A2A7C"/>
    <w:rsid w:val="007D1674"/>
    <w:rsid w:val="007D6052"/>
    <w:rsid w:val="007F1314"/>
    <w:rsid w:val="00812D33"/>
    <w:rsid w:val="00831DE0"/>
    <w:rsid w:val="008348F6"/>
    <w:rsid w:val="00840747"/>
    <w:rsid w:val="0084682F"/>
    <w:rsid w:val="0084789D"/>
    <w:rsid w:val="00852E3A"/>
    <w:rsid w:val="008611CB"/>
    <w:rsid w:val="0086144D"/>
    <w:rsid w:val="008646CB"/>
    <w:rsid w:val="008757BF"/>
    <w:rsid w:val="00886070"/>
    <w:rsid w:val="0089064E"/>
    <w:rsid w:val="008938A8"/>
    <w:rsid w:val="008C22C0"/>
    <w:rsid w:val="008C2EA4"/>
    <w:rsid w:val="008C3A51"/>
    <w:rsid w:val="008C5B71"/>
    <w:rsid w:val="008F0F59"/>
    <w:rsid w:val="00900592"/>
    <w:rsid w:val="0091048E"/>
    <w:rsid w:val="00912E4B"/>
    <w:rsid w:val="00917039"/>
    <w:rsid w:val="00920286"/>
    <w:rsid w:val="00925249"/>
    <w:rsid w:val="00930B2B"/>
    <w:rsid w:val="009321F2"/>
    <w:rsid w:val="0093551C"/>
    <w:rsid w:val="00937639"/>
    <w:rsid w:val="0094289C"/>
    <w:rsid w:val="00954571"/>
    <w:rsid w:val="00964299"/>
    <w:rsid w:val="00966141"/>
    <w:rsid w:val="009A5F8C"/>
    <w:rsid w:val="009B2280"/>
    <w:rsid w:val="009D683D"/>
    <w:rsid w:val="009F208B"/>
    <w:rsid w:val="009F24E5"/>
    <w:rsid w:val="009F442A"/>
    <w:rsid w:val="009F4C66"/>
    <w:rsid w:val="00A02B36"/>
    <w:rsid w:val="00A061FE"/>
    <w:rsid w:val="00A11697"/>
    <w:rsid w:val="00A30182"/>
    <w:rsid w:val="00A31AA9"/>
    <w:rsid w:val="00A41391"/>
    <w:rsid w:val="00A56986"/>
    <w:rsid w:val="00A647F3"/>
    <w:rsid w:val="00A82B4A"/>
    <w:rsid w:val="00A94D5E"/>
    <w:rsid w:val="00A96CCE"/>
    <w:rsid w:val="00AB0366"/>
    <w:rsid w:val="00AC52C8"/>
    <w:rsid w:val="00AC5CB0"/>
    <w:rsid w:val="00AC67E6"/>
    <w:rsid w:val="00AD6268"/>
    <w:rsid w:val="00AE383C"/>
    <w:rsid w:val="00B03236"/>
    <w:rsid w:val="00B10E13"/>
    <w:rsid w:val="00B12511"/>
    <w:rsid w:val="00B22588"/>
    <w:rsid w:val="00B269CD"/>
    <w:rsid w:val="00B31315"/>
    <w:rsid w:val="00B472A5"/>
    <w:rsid w:val="00B54EB8"/>
    <w:rsid w:val="00B650B9"/>
    <w:rsid w:val="00B65134"/>
    <w:rsid w:val="00B84347"/>
    <w:rsid w:val="00B8510B"/>
    <w:rsid w:val="00BA050E"/>
    <w:rsid w:val="00BB0903"/>
    <w:rsid w:val="00BB195A"/>
    <w:rsid w:val="00BB2F98"/>
    <w:rsid w:val="00BB67D7"/>
    <w:rsid w:val="00BC7745"/>
    <w:rsid w:val="00BD064E"/>
    <w:rsid w:val="00BD2F84"/>
    <w:rsid w:val="00BF622A"/>
    <w:rsid w:val="00C05EA3"/>
    <w:rsid w:val="00C05F37"/>
    <w:rsid w:val="00C21050"/>
    <w:rsid w:val="00C2109B"/>
    <w:rsid w:val="00C47734"/>
    <w:rsid w:val="00C5150E"/>
    <w:rsid w:val="00C54AF4"/>
    <w:rsid w:val="00C55025"/>
    <w:rsid w:val="00C608B3"/>
    <w:rsid w:val="00C82DEE"/>
    <w:rsid w:val="00C90EEA"/>
    <w:rsid w:val="00CA323C"/>
    <w:rsid w:val="00CA45BE"/>
    <w:rsid w:val="00CC1F69"/>
    <w:rsid w:val="00CD32E4"/>
    <w:rsid w:val="00CE2A42"/>
    <w:rsid w:val="00CE3831"/>
    <w:rsid w:val="00CF2E5A"/>
    <w:rsid w:val="00D14E1A"/>
    <w:rsid w:val="00D32AD3"/>
    <w:rsid w:val="00D50D16"/>
    <w:rsid w:val="00D516FF"/>
    <w:rsid w:val="00D73CB0"/>
    <w:rsid w:val="00D95C3D"/>
    <w:rsid w:val="00DB5F9E"/>
    <w:rsid w:val="00DC6A3D"/>
    <w:rsid w:val="00DE3452"/>
    <w:rsid w:val="00DF0977"/>
    <w:rsid w:val="00DF39BC"/>
    <w:rsid w:val="00DF50C4"/>
    <w:rsid w:val="00DF5DCC"/>
    <w:rsid w:val="00E034A8"/>
    <w:rsid w:val="00E1017A"/>
    <w:rsid w:val="00E17DF5"/>
    <w:rsid w:val="00E33258"/>
    <w:rsid w:val="00E34026"/>
    <w:rsid w:val="00E34DEA"/>
    <w:rsid w:val="00E44C4D"/>
    <w:rsid w:val="00E476A1"/>
    <w:rsid w:val="00E5014C"/>
    <w:rsid w:val="00E61A90"/>
    <w:rsid w:val="00E65053"/>
    <w:rsid w:val="00E65E9E"/>
    <w:rsid w:val="00E75354"/>
    <w:rsid w:val="00E77E1D"/>
    <w:rsid w:val="00E8063C"/>
    <w:rsid w:val="00E858A1"/>
    <w:rsid w:val="00E906CA"/>
    <w:rsid w:val="00EA279B"/>
    <w:rsid w:val="00EB7668"/>
    <w:rsid w:val="00EC13D4"/>
    <w:rsid w:val="00EC1A9D"/>
    <w:rsid w:val="00EC7110"/>
    <w:rsid w:val="00ED25D0"/>
    <w:rsid w:val="00ED51C1"/>
    <w:rsid w:val="00EE0B01"/>
    <w:rsid w:val="00EF3C8C"/>
    <w:rsid w:val="00F15CDC"/>
    <w:rsid w:val="00F23AFB"/>
    <w:rsid w:val="00F32253"/>
    <w:rsid w:val="00F3280B"/>
    <w:rsid w:val="00F34FC3"/>
    <w:rsid w:val="00F44082"/>
    <w:rsid w:val="00F57BAB"/>
    <w:rsid w:val="00F62F83"/>
    <w:rsid w:val="00F6765C"/>
    <w:rsid w:val="00F81CD3"/>
    <w:rsid w:val="00F85B84"/>
    <w:rsid w:val="00F91461"/>
    <w:rsid w:val="00F934C4"/>
    <w:rsid w:val="00FA2937"/>
    <w:rsid w:val="00FA79E9"/>
    <w:rsid w:val="00FB147D"/>
    <w:rsid w:val="00FB2BA2"/>
    <w:rsid w:val="00FD2C52"/>
    <w:rsid w:val="00FD585A"/>
    <w:rsid w:val="00FD6224"/>
    <w:rsid w:val="00FF26FE"/>
    <w:rsid w:val="00FF604D"/>
    <w:rsid w:val="00FF7BA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enu v:ext="edit" fillcolor="none [3213]"/>
    </o:shapedefaults>
    <o:shapelayout v:ext="edit">
      <o:idmap v:ext="edit" data="1"/>
    </o:shapelayout>
  </w:shapeDefaults>
  <w:decimalSymbol w:val="."/>
  <w:listSeparator w:val=","/>
  <w14:docId w14:val="0AE63294"/>
  <w15:docId w15:val="{4E56146E-9C46-499C-979D-1A683552F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5053"/>
    <w:rPr>
      <w:sz w:val="20"/>
    </w:rPr>
  </w:style>
  <w:style w:type="paragraph" w:styleId="Heading1">
    <w:name w:val="heading 1"/>
    <w:basedOn w:val="Normal"/>
    <w:next w:val="Normal"/>
    <w:link w:val="Heading1Char"/>
    <w:uiPriority w:val="9"/>
    <w:qFormat/>
    <w:rsid w:val="006C47C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C47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11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0114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2015CA"/>
    <w:pPr>
      <w:keepNext/>
      <w:keepLines/>
      <w:spacing w:before="40" w:after="0"/>
      <w:ind w:left="1008" w:hanging="1008"/>
      <w:outlineLvl w:val="4"/>
    </w:pPr>
    <w:rPr>
      <w:rFonts w:asciiTheme="majorHAnsi" w:eastAsiaTheme="majorEastAsia" w:hAnsiTheme="majorHAnsi" w:cstheme="majorBidi"/>
      <w:color w:val="2E74B5" w:themeColor="accent1" w:themeShade="BF"/>
      <w:sz w:val="22"/>
    </w:rPr>
  </w:style>
  <w:style w:type="paragraph" w:styleId="Heading6">
    <w:name w:val="heading 6"/>
    <w:basedOn w:val="Normal"/>
    <w:next w:val="Normal"/>
    <w:link w:val="Heading6Char"/>
    <w:uiPriority w:val="9"/>
    <w:semiHidden/>
    <w:unhideWhenUsed/>
    <w:qFormat/>
    <w:rsid w:val="002015CA"/>
    <w:pPr>
      <w:keepNext/>
      <w:keepLines/>
      <w:spacing w:before="40" w:after="0"/>
      <w:ind w:left="1152" w:hanging="1152"/>
      <w:outlineLvl w:val="5"/>
    </w:pPr>
    <w:rPr>
      <w:rFonts w:asciiTheme="majorHAnsi" w:eastAsiaTheme="majorEastAsia" w:hAnsiTheme="majorHAnsi" w:cstheme="majorBidi"/>
      <w:color w:val="1F4D78" w:themeColor="accent1" w:themeShade="7F"/>
      <w:sz w:val="22"/>
    </w:rPr>
  </w:style>
  <w:style w:type="paragraph" w:styleId="Heading7">
    <w:name w:val="heading 7"/>
    <w:basedOn w:val="Normal"/>
    <w:next w:val="Normal"/>
    <w:link w:val="Heading7Char"/>
    <w:uiPriority w:val="9"/>
    <w:semiHidden/>
    <w:unhideWhenUsed/>
    <w:qFormat/>
    <w:rsid w:val="002015CA"/>
    <w:pPr>
      <w:keepNext/>
      <w:keepLines/>
      <w:spacing w:before="40" w:after="0"/>
      <w:ind w:left="1296" w:hanging="1296"/>
      <w:outlineLvl w:val="6"/>
    </w:pPr>
    <w:rPr>
      <w:rFonts w:asciiTheme="majorHAnsi" w:eastAsiaTheme="majorEastAsia" w:hAnsiTheme="majorHAnsi" w:cstheme="majorBidi"/>
      <w:i/>
      <w:iCs/>
      <w:color w:val="1F4D78" w:themeColor="accent1" w:themeShade="7F"/>
      <w:sz w:val="22"/>
    </w:rPr>
  </w:style>
  <w:style w:type="paragraph" w:styleId="Heading8">
    <w:name w:val="heading 8"/>
    <w:basedOn w:val="Normal"/>
    <w:next w:val="Normal"/>
    <w:link w:val="Heading8Char"/>
    <w:uiPriority w:val="9"/>
    <w:semiHidden/>
    <w:unhideWhenUsed/>
    <w:qFormat/>
    <w:rsid w:val="002015CA"/>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015CA"/>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47C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C47C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0114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00114E"/>
    <w:rPr>
      <w:rFonts w:asciiTheme="majorHAnsi" w:eastAsiaTheme="majorEastAsia" w:hAnsiTheme="majorHAnsi" w:cstheme="majorBidi"/>
      <w:i/>
      <w:iCs/>
      <w:color w:val="2E74B5" w:themeColor="accent1" w:themeShade="BF"/>
    </w:rPr>
  </w:style>
  <w:style w:type="paragraph" w:styleId="ListParagraph">
    <w:name w:val="List Paragraph"/>
    <w:aliases w:val="Bullet"/>
    <w:basedOn w:val="Normal"/>
    <w:uiPriority w:val="34"/>
    <w:qFormat/>
    <w:rsid w:val="00FA79E9"/>
    <w:pPr>
      <w:ind w:left="720"/>
      <w:contextualSpacing/>
    </w:pPr>
  </w:style>
  <w:style w:type="paragraph" w:styleId="CommentText">
    <w:name w:val="annotation text"/>
    <w:basedOn w:val="Normal"/>
    <w:link w:val="CommentTextChar"/>
    <w:uiPriority w:val="99"/>
    <w:unhideWhenUsed/>
    <w:rsid w:val="008C22C0"/>
    <w:pPr>
      <w:spacing w:after="0" w:line="240" w:lineRule="auto"/>
    </w:pPr>
    <w:rPr>
      <w:rFonts w:ascii="Times New Roman" w:hAnsi="Times New Roman" w:cs="Times New Roman"/>
      <w:szCs w:val="20"/>
      <w:lang w:eastAsia="en-AU"/>
    </w:rPr>
  </w:style>
  <w:style w:type="character" w:customStyle="1" w:styleId="CommentTextChar">
    <w:name w:val="Comment Text Char"/>
    <w:basedOn w:val="DefaultParagraphFont"/>
    <w:link w:val="CommentText"/>
    <w:uiPriority w:val="99"/>
    <w:rsid w:val="008C22C0"/>
    <w:rPr>
      <w:rFonts w:ascii="Times New Roman" w:hAnsi="Times New Roman" w:cs="Times New Roman"/>
      <w:sz w:val="20"/>
      <w:szCs w:val="20"/>
      <w:lang w:eastAsia="en-AU"/>
    </w:rPr>
  </w:style>
  <w:style w:type="paragraph" w:customStyle="1" w:styleId="Default">
    <w:name w:val="Default"/>
    <w:rsid w:val="004F77DB"/>
    <w:pPr>
      <w:autoSpaceDE w:val="0"/>
      <w:autoSpaceDN w:val="0"/>
      <w:adjustRightInd w:val="0"/>
      <w:spacing w:after="0" w:line="240" w:lineRule="auto"/>
    </w:pPr>
    <w:rPr>
      <w:rFonts w:ascii="Century Gothic" w:hAnsi="Century Gothic" w:cs="Century Gothic"/>
      <w:color w:val="000000"/>
      <w:sz w:val="24"/>
      <w:szCs w:val="24"/>
    </w:rPr>
  </w:style>
  <w:style w:type="character" w:styleId="CommentReference">
    <w:name w:val="annotation reference"/>
    <w:basedOn w:val="DefaultParagraphFont"/>
    <w:uiPriority w:val="99"/>
    <w:semiHidden/>
    <w:unhideWhenUsed/>
    <w:rsid w:val="004F77DB"/>
    <w:rPr>
      <w:sz w:val="16"/>
      <w:szCs w:val="16"/>
    </w:rPr>
  </w:style>
  <w:style w:type="paragraph" w:styleId="NormalWeb">
    <w:name w:val="Normal (Web)"/>
    <w:basedOn w:val="Normal"/>
    <w:uiPriority w:val="99"/>
    <w:unhideWhenUsed/>
    <w:rsid w:val="00D50D16"/>
    <w:pPr>
      <w:spacing w:after="0" w:line="240" w:lineRule="auto"/>
    </w:pPr>
    <w:rPr>
      <w:rFonts w:ascii="Times New Roman" w:hAnsi="Times New Roman" w:cs="Times New Roman"/>
      <w:sz w:val="24"/>
      <w:szCs w:val="24"/>
      <w:lang w:eastAsia="en-AU"/>
    </w:rPr>
  </w:style>
  <w:style w:type="paragraph" w:customStyle="1" w:styleId="imprintuniqueid">
    <w:name w:val="imprintuniqueid"/>
    <w:basedOn w:val="Normal"/>
    <w:uiPriority w:val="99"/>
    <w:semiHidden/>
    <w:rsid w:val="00D50D16"/>
    <w:pPr>
      <w:spacing w:after="0" w:line="240" w:lineRule="auto"/>
    </w:pPr>
    <w:rPr>
      <w:rFonts w:ascii="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07062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0626"/>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91048E"/>
    <w:pPr>
      <w:spacing w:after="160"/>
    </w:pPr>
    <w:rPr>
      <w:rFonts w:ascii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91048E"/>
    <w:rPr>
      <w:rFonts w:ascii="Times New Roman" w:hAnsi="Times New Roman" w:cs="Times New Roman"/>
      <w:b/>
      <w:bCs/>
      <w:sz w:val="20"/>
      <w:szCs w:val="20"/>
      <w:lang w:eastAsia="en-AU"/>
    </w:rPr>
  </w:style>
  <w:style w:type="paragraph" w:styleId="Revision">
    <w:name w:val="Revision"/>
    <w:hidden/>
    <w:uiPriority w:val="99"/>
    <w:semiHidden/>
    <w:rsid w:val="0091048E"/>
    <w:pPr>
      <w:spacing w:after="0" w:line="240" w:lineRule="auto"/>
    </w:pPr>
  </w:style>
  <w:style w:type="paragraph" w:styleId="TOCHeading">
    <w:name w:val="TOC Heading"/>
    <w:basedOn w:val="Heading1"/>
    <w:next w:val="Normal"/>
    <w:uiPriority w:val="39"/>
    <w:unhideWhenUsed/>
    <w:qFormat/>
    <w:rsid w:val="004E2E6F"/>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4E2E6F"/>
    <w:pPr>
      <w:spacing w:before="120" w:after="0"/>
    </w:pPr>
    <w:rPr>
      <w:b/>
      <w:bCs/>
      <w:i/>
      <w:iCs/>
      <w:sz w:val="24"/>
      <w:szCs w:val="24"/>
    </w:rPr>
  </w:style>
  <w:style w:type="paragraph" w:styleId="TOC2">
    <w:name w:val="toc 2"/>
    <w:basedOn w:val="Normal"/>
    <w:next w:val="Normal"/>
    <w:autoRedefine/>
    <w:uiPriority w:val="39"/>
    <w:unhideWhenUsed/>
    <w:rsid w:val="00E34DEA"/>
    <w:pPr>
      <w:tabs>
        <w:tab w:val="right" w:leader="dot" w:pos="9016"/>
      </w:tabs>
      <w:spacing w:before="120" w:after="0" w:line="276" w:lineRule="auto"/>
      <w:ind w:left="170"/>
    </w:pPr>
    <w:rPr>
      <w:b/>
      <w:bCs/>
      <w:sz w:val="22"/>
    </w:rPr>
  </w:style>
  <w:style w:type="paragraph" w:styleId="TOC3">
    <w:name w:val="toc 3"/>
    <w:basedOn w:val="Normal"/>
    <w:next w:val="Normal"/>
    <w:autoRedefine/>
    <w:uiPriority w:val="39"/>
    <w:unhideWhenUsed/>
    <w:rsid w:val="004E2E6F"/>
    <w:pPr>
      <w:spacing w:after="0"/>
      <w:ind w:left="400"/>
    </w:pPr>
    <w:rPr>
      <w:szCs w:val="20"/>
    </w:rPr>
  </w:style>
  <w:style w:type="paragraph" w:styleId="TOC4">
    <w:name w:val="toc 4"/>
    <w:basedOn w:val="Normal"/>
    <w:next w:val="Normal"/>
    <w:autoRedefine/>
    <w:uiPriority w:val="39"/>
    <w:unhideWhenUsed/>
    <w:rsid w:val="004E2E6F"/>
    <w:pPr>
      <w:spacing w:after="0"/>
      <w:ind w:left="600"/>
    </w:pPr>
    <w:rPr>
      <w:szCs w:val="20"/>
    </w:rPr>
  </w:style>
  <w:style w:type="paragraph" w:styleId="TOC5">
    <w:name w:val="toc 5"/>
    <w:basedOn w:val="Normal"/>
    <w:next w:val="Normal"/>
    <w:autoRedefine/>
    <w:uiPriority w:val="39"/>
    <w:unhideWhenUsed/>
    <w:rsid w:val="004E2E6F"/>
    <w:pPr>
      <w:spacing w:after="0"/>
      <w:ind w:left="800"/>
    </w:pPr>
    <w:rPr>
      <w:szCs w:val="20"/>
    </w:rPr>
  </w:style>
  <w:style w:type="paragraph" w:styleId="TOC6">
    <w:name w:val="toc 6"/>
    <w:basedOn w:val="Normal"/>
    <w:next w:val="Normal"/>
    <w:autoRedefine/>
    <w:uiPriority w:val="39"/>
    <w:unhideWhenUsed/>
    <w:rsid w:val="004E2E6F"/>
    <w:pPr>
      <w:spacing w:after="0"/>
      <w:ind w:left="1000"/>
    </w:pPr>
    <w:rPr>
      <w:szCs w:val="20"/>
    </w:rPr>
  </w:style>
  <w:style w:type="paragraph" w:styleId="TOC7">
    <w:name w:val="toc 7"/>
    <w:basedOn w:val="Normal"/>
    <w:next w:val="Normal"/>
    <w:autoRedefine/>
    <w:uiPriority w:val="39"/>
    <w:unhideWhenUsed/>
    <w:rsid w:val="004E2E6F"/>
    <w:pPr>
      <w:spacing w:after="0"/>
      <w:ind w:left="1200"/>
    </w:pPr>
    <w:rPr>
      <w:szCs w:val="20"/>
    </w:rPr>
  </w:style>
  <w:style w:type="paragraph" w:styleId="TOC8">
    <w:name w:val="toc 8"/>
    <w:basedOn w:val="Normal"/>
    <w:next w:val="Normal"/>
    <w:autoRedefine/>
    <w:uiPriority w:val="39"/>
    <w:unhideWhenUsed/>
    <w:rsid w:val="004E2E6F"/>
    <w:pPr>
      <w:spacing w:after="0"/>
      <w:ind w:left="1400"/>
    </w:pPr>
    <w:rPr>
      <w:szCs w:val="20"/>
    </w:rPr>
  </w:style>
  <w:style w:type="paragraph" w:styleId="TOC9">
    <w:name w:val="toc 9"/>
    <w:basedOn w:val="Normal"/>
    <w:next w:val="Normal"/>
    <w:autoRedefine/>
    <w:uiPriority w:val="39"/>
    <w:unhideWhenUsed/>
    <w:rsid w:val="004E2E6F"/>
    <w:pPr>
      <w:spacing w:after="0"/>
      <w:ind w:left="1600"/>
    </w:pPr>
    <w:rPr>
      <w:szCs w:val="20"/>
    </w:rPr>
  </w:style>
  <w:style w:type="numbering" w:customStyle="1" w:styleId="NoList1">
    <w:name w:val="No List1"/>
    <w:next w:val="NoList"/>
    <w:uiPriority w:val="99"/>
    <w:semiHidden/>
    <w:unhideWhenUsed/>
    <w:rsid w:val="00CE3831"/>
  </w:style>
  <w:style w:type="table" w:styleId="TableGrid">
    <w:name w:val="Table Grid"/>
    <w:basedOn w:val="TableNormal"/>
    <w:uiPriority w:val="39"/>
    <w:rsid w:val="00CE3831"/>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uiPriority w:val="10"/>
    <w:qFormat/>
    <w:rsid w:val="00CE3831"/>
    <w:pPr>
      <w:spacing w:after="0" w:line="240" w:lineRule="auto"/>
      <w:contextualSpacing/>
    </w:pPr>
    <w:rPr>
      <w:rFonts w:ascii="Calibri" w:eastAsia="MS Gothic" w:hAnsi="Calibri" w:cs="Times New Roman"/>
      <w:spacing w:val="-10"/>
      <w:kern w:val="28"/>
      <w:sz w:val="56"/>
      <w:szCs w:val="56"/>
      <w:lang w:val="en-US"/>
    </w:rPr>
  </w:style>
  <w:style w:type="character" w:customStyle="1" w:styleId="TitleChar">
    <w:name w:val="Title Char"/>
    <w:basedOn w:val="DefaultParagraphFont"/>
    <w:link w:val="Title"/>
    <w:uiPriority w:val="10"/>
    <w:rsid w:val="00CE3831"/>
    <w:rPr>
      <w:rFonts w:ascii="Calibri" w:eastAsia="MS Gothic" w:hAnsi="Calibri" w:cs="Times New Roman"/>
      <w:spacing w:val="-10"/>
      <w:kern w:val="28"/>
      <w:sz w:val="56"/>
      <w:szCs w:val="56"/>
    </w:rPr>
  </w:style>
  <w:style w:type="paragraph" w:styleId="Header">
    <w:name w:val="header"/>
    <w:basedOn w:val="Normal"/>
    <w:link w:val="HeaderChar"/>
    <w:uiPriority w:val="99"/>
    <w:unhideWhenUsed/>
    <w:rsid w:val="00CE3831"/>
    <w:pPr>
      <w:tabs>
        <w:tab w:val="center" w:pos="4513"/>
        <w:tab w:val="right" w:pos="9026"/>
      </w:tabs>
      <w:spacing w:after="0" w:line="240" w:lineRule="auto"/>
    </w:pPr>
    <w:rPr>
      <w:rFonts w:eastAsia="MS Mincho"/>
      <w:sz w:val="24"/>
      <w:szCs w:val="24"/>
      <w:lang w:val="en-US"/>
    </w:rPr>
  </w:style>
  <w:style w:type="character" w:customStyle="1" w:styleId="HeaderChar">
    <w:name w:val="Header Char"/>
    <w:basedOn w:val="DefaultParagraphFont"/>
    <w:link w:val="Header"/>
    <w:uiPriority w:val="99"/>
    <w:rsid w:val="00CE3831"/>
    <w:rPr>
      <w:rFonts w:eastAsia="MS Mincho"/>
      <w:sz w:val="24"/>
      <w:szCs w:val="24"/>
      <w:lang w:val="en-US"/>
    </w:rPr>
  </w:style>
  <w:style w:type="paragraph" w:styleId="Footer">
    <w:name w:val="footer"/>
    <w:basedOn w:val="Normal"/>
    <w:link w:val="FooterChar"/>
    <w:uiPriority w:val="99"/>
    <w:unhideWhenUsed/>
    <w:rsid w:val="00CE3831"/>
    <w:pPr>
      <w:tabs>
        <w:tab w:val="center" w:pos="4513"/>
        <w:tab w:val="right" w:pos="9026"/>
      </w:tabs>
      <w:spacing w:after="0" w:line="240" w:lineRule="auto"/>
    </w:pPr>
    <w:rPr>
      <w:rFonts w:eastAsia="MS Mincho"/>
      <w:sz w:val="24"/>
      <w:szCs w:val="24"/>
      <w:lang w:val="en-US"/>
    </w:rPr>
  </w:style>
  <w:style w:type="character" w:customStyle="1" w:styleId="FooterChar">
    <w:name w:val="Footer Char"/>
    <w:basedOn w:val="DefaultParagraphFont"/>
    <w:link w:val="Footer"/>
    <w:uiPriority w:val="99"/>
    <w:rsid w:val="00CE3831"/>
    <w:rPr>
      <w:rFonts w:eastAsia="MS Mincho"/>
      <w:sz w:val="24"/>
      <w:szCs w:val="24"/>
      <w:lang w:val="en-US"/>
    </w:rPr>
  </w:style>
  <w:style w:type="table" w:customStyle="1" w:styleId="GridTable5Dark-Accent121">
    <w:name w:val="Grid Table 5 Dark - Accent 121"/>
    <w:basedOn w:val="TableNormal"/>
    <w:uiPriority w:val="50"/>
    <w:rsid w:val="00CE3831"/>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Title">
    <w:name w:val="Title"/>
    <w:basedOn w:val="Normal"/>
    <w:next w:val="Normal"/>
    <w:link w:val="TitleChar"/>
    <w:uiPriority w:val="10"/>
    <w:qFormat/>
    <w:rsid w:val="00CE3831"/>
    <w:pPr>
      <w:spacing w:after="0" w:line="240" w:lineRule="auto"/>
      <w:contextualSpacing/>
    </w:pPr>
    <w:rPr>
      <w:rFonts w:ascii="Calibri" w:eastAsia="MS Gothic" w:hAnsi="Calibri" w:cs="Times New Roman"/>
      <w:spacing w:val="-10"/>
      <w:kern w:val="28"/>
      <w:sz w:val="56"/>
      <w:szCs w:val="56"/>
    </w:rPr>
  </w:style>
  <w:style w:type="character" w:customStyle="1" w:styleId="TitleChar1">
    <w:name w:val="Title Char1"/>
    <w:basedOn w:val="DefaultParagraphFont"/>
    <w:uiPriority w:val="10"/>
    <w:rsid w:val="00CE3831"/>
    <w:rPr>
      <w:rFonts w:asciiTheme="majorHAnsi" w:eastAsiaTheme="majorEastAsia" w:hAnsiTheme="majorHAnsi" w:cstheme="majorBidi"/>
      <w:spacing w:val="-10"/>
      <w:kern w:val="28"/>
      <w:sz w:val="56"/>
      <w:szCs w:val="56"/>
    </w:rPr>
  </w:style>
  <w:style w:type="paragraph" w:customStyle="1" w:styleId="KidneyHeading">
    <w:name w:val="Kidney Heading"/>
    <w:basedOn w:val="Heading1"/>
    <w:qFormat/>
    <w:rsid w:val="00B31315"/>
    <w:pPr>
      <w:spacing w:line="240" w:lineRule="auto"/>
    </w:pPr>
    <w:rPr>
      <w:rFonts w:eastAsia="MS Mincho" w:cs="Arial"/>
      <w:b/>
      <w:color w:val="FF0000"/>
      <w:sz w:val="40"/>
      <w:szCs w:val="28"/>
      <w:lang w:val="en-US"/>
    </w:rPr>
  </w:style>
  <w:style w:type="paragraph" w:customStyle="1" w:styleId="Style1">
    <w:name w:val="Style1"/>
    <w:basedOn w:val="Heading1"/>
    <w:qFormat/>
    <w:rsid w:val="00E65053"/>
    <w:rPr>
      <w:rFonts w:asciiTheme="minorHAnsi" w:hAnsiTheme="minorHAnsi"/>
      <w:color w:val="FF0000"/>
      <w:sz w:val="40"/>
    </w:rPr>
  </w:style>
  <w:style w:type="paragraph" w:customStyle="1" w:styleId="Kidneysubheading">
    <w:name w:val="Kidney sub heading"/>
    <w:basedOn w:val="Normal"/>
    <w:qFormat/>
    <w:rsid w:val="00B31315"/>
    <w:pPr>
      <w:spacing w:after="0" w:line="240" w:lineRule="auto"/>
    </w:pPr>
    <w:rPr>
      <w:rFonts w:asciiTheme="majorHAnsi" w:eastAsia="MS Mincho" w:hAnsiTheme="majorHAnsi" w:cs="Arial"/>
      <w:b/>
      <w:color w:val="FF0000"/>
      <w:sz w:val="28"/>
      <w:szCs w:val="28"/>
      <w:lang w:val="en-US"/>
    </w:rPr>
  </w:style>
  <w:style w:type="paragraph" w:styleId="ListBullet">
    <w:name w:val="List Bullet"/>
    <w:basedOn w:val="Normal"/>
    <w:uiPriority w:val="99"/>
    <w:unhideWhenUsed/>
    <w:rsid w:val="00E65053"/>
    <w:pPr>
      <w:numPr>
        <w:numId w:val="25"/>
      </w:numPr>
      <w:contextualSpacing/>
    </w:pPr>
  </w:style>
  <w:style w:type="paragraph" w:customStyle="1" w:styleId="KidneyHeading3">
    <w:name w:val="Kidney Heading 3"/>
    <w:basedOn w:val="Kidneysubheading"/>
    <w:qFormat/>
    <w:rsid w:val="00B31315"/>
    <w:rPr>
      <w:sz w:val="22"/>
    </w:rPr>
  </w:style>
  <w:style w:type="paragraph" w:customStyle="1" w:styleId="KidneyBodyBold">
    <w:name w:val="Kidney Body Bold"/>
    <w:basedOn w:val="Normal"/>
    <w:qFormat/>
    <w:rsid w:val="00E65053"/>
    <w:pPr>
      <w:spacing w:after="0" w:line="240" w:lineRule="auto"/>
    </w:pPr>
    <w:rPr>
      <w:rFonts w:ascii="Calibri" w:eastAsia="MS Mincho" w:hAnsi="Calibri" w:cs="Arial"/>
      <w:b/>
      <w:color w:val="000000" w:themeColor="text1"/>
      <w:lang w:val="en-US"/>
    </w:rPr>
  </w:style>
  <w:style w:type="paragraph" w:styleId="ListNumber">
    <w:name w:val="List Number"/>
    <w:basedOn w:val="Normal"/>
    <w:uiPriority w:val="99"/>
    <w:unhideWhenUsed/>
    <w:rsid w:val="001B25F4"/>
    <w:pPr>
      <w:numPr>
        <w:numId w:val="24"/>
      </w:numPr>
      <w:contextualSpacing/>
    </w:pPr>
  </w:style>
  <w:style w:type="table" w:styleId="GridTable4-Accent4">
    <w:name w:val="Grid Table 4 Accent 4"/>
    <w:basedOn w:val="TableNormal"/>
    <w:uiPriority w:val="49"/>
    <w:rsid w:val="001C254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4">
    <w:name w:val="Grid Table 5 Dark Accent 4"/>
    <w:basedOn w:val="TableNormal"/>
    <w:uiPriority w:val="50"/>
    <w:rsid w:val="001C25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customStyle="1" w:styleId="Heading5Char">
    <w:name w:val="Heading 5 Char"/>
    <w:basedOn w:val="DefaultParagraphFont"/>
    <w:link w:val="Heading5"/>
    <w:uiPriority w:val="9"/>
    <w:rsid w:val="002015C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2015C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015C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015C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015CA"/>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2015CA"/>
    <w:rPr>
      <w:color w:val="0000FF"/>
      <w:u w:val="single"/>
    </w:rPr>
  </w:style>
  <w:style w:type="character" w:customStyle="1" w:styleId="ref-journal">
    <w:name w:val="ref-journal"/>
    <w:basedOn w:val="DefaultParagraphFont"/>
    <w:rsid w:val="002015CA"/>
  </w:style>
  <w:style w:type="character" w:customStyle="1" w:styleId="ref-vol">
    <w:name w:val="ref-vol"/>
    <w:basedOn w:val="DefaultParagraphFont"/>
    <w:rsid w:val="002015CA"/>
  </w:style>
  <w:style w:type="paragraph" w:customStyle="1" w:styleId="EndNoteBibliographyTitle">
    <w:name w:val="EndNote Bibliography Title"/>
    <w:basedOn w:val="Normal"/>
    <w:link w:val="EndNoteBibliographyTitleChar"/>
    <w:rsid w:val="002015CA"/>
    <w:pPr>
      <w:spacing w:after="0"/>
      <w:jc w:val="center"/>
    </w:pPr>
    <w:rPr>
      <w:rFonts w:ascii="Calibri" w:hAnsi="Calibri" w:cs="Calibri"/>
      <w:noProof/>
      <w:sz w:val="22"/>
      <w:lang w:val="en-US"/>
    </w:rPr>
  </w:style>
  <w:style w:type="character" w:customStyle="1" w:styleId="EndNoteBibliographyTitleChar">
    <w:name w:val="EndNote Bibliography Title Char"/>
    <w:basedOn w:val="DefaultParagraphFont"/>
    <w:link w:val="EndNoteBibliographyTitle"/>
    <w:rsid w:val="002015CA"/>
    <w:rPr>
      <w:rFonts w:ascii="Calibri" w:hAnsi="Calibri" w:cs="Calibri"/>
      <w:noProof/>
      <w:lang w:val="en-US"/>
    </w:rPr>
  </w:style>
  <w:style w:type="paragraph" w:customStyle="1" w:styleId="EndNoteBibliography">
    <w:name w:val="EndNote Bibliography"/>
    <w:basedOn w:val="Normal"/>
    <w:link w:val="EndNoteBibliographyChar"/>
    <w:rsid w:val="002015CA"/>
    <w:pPr>
      <w:spacing w:line="240" w:lineRule="auto"/>
    </w:pPr>
    <w:rPr>
      <w:rFonts w:ascii="Calibri" w:hAnsi="Calibri" w:cs="Calibri"/>
      <w:noProof/>
      <w:sz w:val="22"/>
      <w:lang w:val="en-US"/>
    </w:rPr>
  </w:style>
  <w:style w:type="character" w:customStyle="1" w:styleId="EndNoteBibliographyChar">
    <w:name w:val="EndNote Bibliography Char"/>
    <w:basedOn w:val="DefaultParagraphFont"/>
    <w:link w:val="EndNoteBibliography"/>
    <w:rsid w:val="002015CA"/>
    <w:rPr>
      <w:rFonts w:ascii="Calibri" w:hAnsi="Calibri" w:cs="Calibri"/>
      <w:noProof/>
      <w:lang w:val="en-US"/>
    </w:rPr>
  </w:style>
  <w:style w:type="paragraph" w:styleId="NoSpacing">
    <w:name w:val="No Spacing"/>
    <w:link w:val="NoSpacingChar"/>
    <w:uiPriority w:val="1"/>
    <w:qFormat/>
    <w:rsid w:val="002015CA"/>
    <w:pPr>
      <w:spacing w:after="0" w:line="240" w:lineRule="auto"/>
    </w:pPr>
  </w:style>
  <w:style w:type="character" w:customStyle="1" w:styleId="UnresolvedMention1">
    <w:name w:val="Unresolved Mention1"/>
    <w:basedOn w:val="DefaultParagraphFont"/>
    <w:uiPriority w:val="99"/>
    <w:semiHidden/>
    <w:unhideWhenUsed/>
    <w:rsid w:val="002015CA"/>
    <w:rPr>
      <w:color w:val="808080"/>
      <w:shd w:val="clear" w:color="auto" w:fill="E6E6E6"/>
    </w:rPr>
  </w:style>
  <w:style w:type="character" w:customStyle="1" w:styleId="UnresolvedMention2">
    <w:name w:val="Unresolved Mention2"/>
    <w:basedOn w:val="DefaultParagraphFont"/>
    <w:uiPriority w:val="99"/>
    <w:semiHidden/>
    <w:unhideWhenUsed/>
    <w:rsid w:val="002015CA"/>
    <w:rPr>
      <w:color w:val="605E5C"/>
      <w:shd w:val="clear" w:color="auto" w:fill="E1DFDD"/>
    </w:rPr>
  </w:style>
  <w:style w:type="table" w:customStyle="1" w:styleId="ListTable31">
    <w:name w:val="List Table 31"/>
    <w:basedOn w:val="TableNormal"/>
    <w:uiPriority w:val="48"/>
    <w:rsid w:val="002015C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NoSpacingChar">
    <w:name w:val="No Spacing Char"/>
    <w:basedOn w:val="DefaultParagraphFont"/>
    <w:link w:val="NoSpacing"/>
    <w:uiPriority w:val="1"/>
    <w:rsid w:val="002015CA"/>
  </w:style>
  <w:style w:type="table" w:customStyle="1" w:styleId="GridTable6Colorful1">
    <w:name w:val="Grid Table 6 Colorful1"/>
    <w:basedOn w:val="TableNormal"/>
    <w:uiPriority w:val="51"/>
    <w:rsid w:val="002015C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pple-converted-space">
    <w:name w:val="apple-converted-space"/>
    <w:basedOn w:val="DefaultParagraphFont"/>
    <w:rsid w:val="002015CA"/>
  </w:style>
  <w:style w:type="table" w:customStyle="1" w:styleId="PlainTable21">
    <w:name w:val="Plain Table 21"/>
    <w:basedOn w:val="TableNormal"/>
    <w:uiPriority w:val="99"/>
    <w:rsid w:val="002015C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99"/>
    <w:rsid w:val="002015C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ubtitle">
    <w:name w:val="Subtitle"/>
    <w:basedOn w:val="Normal"/>
    <w:next w:val="Normal"/>
    <w:link w:val="SubtitleChar"/>
    <w:uiPriority w:val="11"/>
    <w:qFormat/>
    <w:rsid w:val="002015CA"/>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2015CA"/>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2015CA"/>
    <w:rPr>
      <w:color w:val="954F72" w:themeColor="followedHyperlink"/>
      <w:u w:val="single"/>
    </w:rPr>
  </w:style>
  <w:style w:type="table" w:customStyle="1" w:styleId="TableGrid1">
    <w:name w:val="Table Grid1"/>
    <w:basedOn w:val="TableNormal"/>
    <w:next w:val="TableGrid"/>
    <w:uiPriority w:val="39"/>
    <w:rsid w:val="002015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015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idneyBodybold0">
    <w:name w:val="Kidney Body bold"/>
    <w:basedOn w:val="Normal"/>
    <w:qFormat/>
    <w:rsid w:val="00F34FC3"/>
    <w:pPr>
      <w:spacing w:after="0" w:line="276" w:lineRule="auto"/>
    </w:pPr>
    <w:rPr>
      <w:b/>
      <w:bCs/>
      <w:iCs/>
    </w:rPr>
  </w:style>
  <w:style w:type="character" w:styleId="PageNumber">
    <w:name w:val="page number"/>
    <w:basedOn w:val="DefaultParagraphFont"/>
    <w:uiPriority w:val="99"/>
    <w:semiHidden/>
    <w:unhideWhenUsed/>
    <w:rsid w:val="001C5BEA"/>
  </w:style>
  <w:style w:type="numbering" w:customStyle="1" w:styleId="NoList2">
    <w:name w:val="No List2"/>
    <w:next w:val="NoList"/>
    <w:uiPriority w:val="99"/>
    <w:semiHidden/>
    <w:unhideWhenUsed/>
    <w:rsid w:val="009D683D"/>
  </w:style>
  <w:style w:type="table" w:customStyle="1" w:styleId="ListTable311">
    <w:name w:val="List Table 311"/>
    <w:basedOn w:val="TableNormal"/>
    <w:uiPriority w:val="48"/>
    <w:rsid w:val="009D683D"/>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6Colorful11">
    <w:name w:val="Grid Table 6 Colorful11"/>
    <w:basedOn w:val="TableNormal"/>
    <w:uiPriority w:val="51"/>
    <w:rsid w:val="009D683D"/>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2">
    <w:name w:val="Table Grid2"/>
    <w:basedOn w:val="TableNormal"/>
    <w:next w:val="TableGrid"/>
    <w:uiPriority w:val="39"/>
    <w:rsid w:val="009D6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
    <w:name w:val="Plain Table 211"/>
    <w:basedOn w:val="TableNormal"/>
    <w:uiPriority w:val="99"/>
    <w:rsid w:val="009D683D"/>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1">
    <w:name w:val="Plain Table 311"/>
    <w:basedOn w:val="TableNormal"/>
    <w:uiPriority w:val="99"/>
    <w:rsid w:val="009D683D"/>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312">
    <w:name w:val="List Table 312"/>
    <w:basedOn w:val="TableNormal"/>
    <w:next w:val="ListTable31"/>
    <w:uiPriority w:val="48"/>
    <w:rsid w:val="009D683D"/>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Grid12">
    <w:name w:val="Table Grid12"/>
    <w:basedOn w:val="TableNormal"/>
    <w:next w:val="TableGrid"/>
    <w:uiPriority w:val="39"/>
    <w:rsid w:val="009D6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9D6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82640"/>
  </w:style>
  <w:style w:type="paragraph" w:styleId="FootnoteText">
    <w:name w:val="footnote text"/>
    <w:basedOn w:val="Normal"/>
    <w:link w:val="FootnoteTextChar"/>
    <w:uiPriority w:val="99"/>
    <w:semiHidden/>
    <w:unhideWhenUsed/>
    <w:rsid w:val="00782640"/>
    <w:pPr>
      <w:spacing w:after="0" w:line="240" w:lineRule="auto"/>
    </w:pPr>
    <w:rPr>
      <w:szCs w:val="20"/>
    </w:rPr>
  </w:style>
  <w:style w:type="character" w:customStyle="1" w:styleId="FootnoteTextChar">
    <w:name w:val="Footnote Text Char"/>
    <w:basedOn w:val="DefaultParagraphFont"/>
    <w:link w:val="FootnoteText"/>
    <w:uiPriority w:val="99"/>
    <w:semiHidden/>
    <w:rsid w:val="00782640"/>
    <w:rPr>
      <w:sz w:val="20"/>
      <w:szCs w:val="20"/>
    </w:rPr>
  </w:style>
  <w:style w:type="character" w:styleId="FootnoteReference">
    <w:name w:val="footnote reference"/>
    <w:basedOn w:val="DefaultParagraphFont"/>
    <w:uiPriority w:val="99"/>
    <w:semiHidden/>
    <w:unhideWhenUsed/>
    <w:rsid w:val="00782640"/>
    <w:rPr>
      <w:vertAlign w:val="superscript"/>
    </w:rPr>
  </w:style>
  <w:style w:type="table" w:customStyle="1" w:styleId="TableGrid3">
    <w:name w:val="Table Grid3"/>
    <w:basedOn w:val="TableNormal"/>
    <w:next w:val="TableGrid"/>
    <w:uiPriority w:val="59"/>
    <w:rsid w:val="0078264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782640"/>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782640"/>
    <w:rPr>
      <w:rFonts w:ascii="Calibri" w:hAnsi="Calibri"/>
      <w:szCs w:val="21"/>
    </w:rPr>
  </w:style>
  <w:style w:type="character" w:customStyle="1" w:styleId="st">
    <w:name w:val="st"/>
    <w:basedOn w:val="DefaultParagraphFont"/>
    <w:rsid w:val="00782640"/>
  </w:style>
  <w:style w:type="character" w:styleId="Emphasis">
    <w:name w:val="Emphasis"/>
    <w:basedOn w:val="DefaultParagraphFont"/>
    <w:uiPriority w:val="20"/>
    <w:qFormat/>
    <w:rsid w:val="00782640"/>
    <w:rPr>
      <w:i/>
      <w:iCs/>
    </w:rPr>
  </w:style>
  <w:style w:type="character" w:customStyle="1" w:styleId="st1">
    <w:name w:val="st1"/>
    <w:basedOn w:val="DefaultParagraphFont"/>
    <w:rsid w:val="00782640"/>
  </w:style>
  <w:style w:type="paragraph" w:customStyle="1" w:styleId="xmsonormal">
    <w:name w:val="x_msonormal"/>
    <w:basedOn w:val="Normal"/>
    <w:rsid w:val="0078264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782640"/>
    <w:rPr>
      <w:b/>
      <w:bCs/>
    </w:rPr>
  </w:style>
  <w:style w:type="character" w:customStyle="1" w:styleId="selectable">
    <w:name w:val="selectable"/>
    <w:basedOn w:val="DefaultParagraphFont"/>
    <w:rsid w:val="00076A87"/>
  </w:style>
  <w:style w:type="character" w:customStyle="1" w:styleId="profileidentifyaddressproperty">
    <w:name w:val="profile_identifyaddressproperty"/>
    <w:basedOn w:val="DefaultParagraphFont"/>
    <w:rsid w:val="00076A87"/>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0795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footer" Target="footer4.xml"/><Relationship Id="rId42" Type="http://schemas.openxmlformats.org/officeDocument/2006/relationships/image" Target="media/image17.jpg"/><Relationship Id="rId47" Type="http://schemas.openxmlformats.org/officeDocument/2006/relationships/diagramLayout" Target="diagrams/layout3.xml"/><Relationship Id="rId63" Type="http://schemas.openxmlformats.org/officeDocument/2006/relationships/hyperlink" Target="https://www.aihw.gov.au/reports/hospitals/ahs-2014-15-weight-loss-surgery/contents/table-of-contents" TargetMode="External"/><Relationship Id="rId68" Type="http://schemas.openxmlformats.org/officeDocument/2006/relationships/hyperlink" Target="https://nhmrc.gov.au/about-us/publications/clinical-practice-guidelines-management-overweight-and-obesity" TargetMode="External"/><Relationship Id="rId84" Type="http://schemas.openxmlformats.org/officeDocument/2006/relationships/hyperlink" Target="http://www.cari.org.au" TargetMode="External"/><Relationship Id="rId89" Type="http://schemas.openxmlformats.org/officeDocument/2006/relationships/hyperlink" Target="http://www.healthpathwayscommunity.org" TargetMode="External"/><Relationship Id="rId16" Type="http://schemas.openxmlformats.org/officeDocument/2006/relationships/image" Target="media/image7.png"/><Relationship Id="rId107" Type="http://schemas.openxmlformats.org/officeDocument/2006/relationships/fontTable" Target="fontTable.xml"/><Relationship Id="rId11" Type="http://schemas.openxmlformats.org/officeDocument/2006/relationships/image" Target="media/image2.png"/><Relationship Id="rId32" Type="http://schemas.openxmlformats.org/officeDocument/2006/relationships/image" Target="media/image13.jpg"/><Relationship Id="rId37" Type="http://schemas.openxmlformats.org/officeDocument/2006/relationships/diagramColors" Target="diagrams/colors2.xml"/><Relationship Id="rId53" Type="http://schemas.openxmlformats.org/officeDocument/2006/relationships/diagramQuickStyle" Target="diagrams/quickStyle4.xml"/><Relationship Id="rId58" Type="http://schemas.openxmlformats.org/officeDocument/2006/relationships/hyperlink" Target="https://aiatsis.gov.au/explore/articles/indigenous-australian-languages" TargetMode="External"/><Relationship Id="rId74" Type="http://schemas.openxmlformats.org/officeDocument/2006/relationships/image" Target="media/image20.jpeg"/><Relationship Id="rId79" Type="http://schemas.openxmlformats.org/officeDocument/2006/relationships/diagramQuickStyle" Target="diagrams/quickStyle5.xml"/><Relationship Id="rId102" Type="http://schemas.openxmlformats.org/officeDocument/2006/relationships/image" Target="media/image30.jpeg"/><Relationship Id="rId5" Type="http://schemas.openxmlformats.org/officeDocument/2006/relationships/webSettings" Target="webSettings.xml"/><Relationship Id="rId90" Type="http://schemas.openxmlformats.org/officeDocument/2006/relationships/hyperlink" Target="https://publications.qld.gov.au/dataset/chronic-conditions-manual" TargetMode="External"/><Relationship Id="rId95" Type="http://schemas.openxmlformats.org/officeDocument/2006/relationships/image" Target="media/image26.png"/><Relationship Id="rId22" Type="http://schemas.openxmlformats.org/officeDocument/2006/relationships/image" Target="media/image10.emf"/><Relationship Id="rId27" Type="http://schemas.openxmlformats.org/officeDocument/2006/relationships/diagramLayout" Target="diagrams/layout1.xml"/><Relationship Id="rId43" Type="http://schemas.openxmlformats.org/officeDocument/2006/relationships/image" Target="media/image160.jpg"/><Relationship Id="rId48" Type="http://schemas.openxmlformats.org/officeDocument/2006/relationships/diagramQuickStyle" Target="diagrams/quickStyle3.xml"/><Relationship Id="rId64" Type="http://schemas.openxmlformats.org/officeDocument/2006/relationships/hyperlink" Target="https://closingthegap.pmc.gov.au/healthy-lives" TargetMode="External"/><Relationship Id="rId69" Type="http://schemas.openxmlformats.org/officeDocument/2006/relationships/hyperlink" Target="https://www.menzies.edu.au/page/Research/Projects/Kidney/Comparison_of_Immunosuppressant_Drug_Pharmacokinetics_in_Aboriginal_versus_non-Aboriginal_Australian_Kidney_Transplant_Recipients/" TargetMode="External"/><Relationship Id="rId80" Type="http://schemas.openxmlformats.org/officeDocument/2006/relationships/diagramColors" Target="diagrams/colors5.xml"/><Relationship Id="rId85" Type="http://schemas.openxmlformats.org/officeDocument/2006/relationships/hyperlink" Target="https://kidney.org.au/health-professionals/prevent/chronic-kidney-disease-management-handbook" TargetMode="Externa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130.jpg"/><Relationship Id="rId38" Type="http://schemas.microsoft.com/office/2007/relationships/diagramDrawing" Target="diagrams/drawing2.xml"/><Relationship Id="rId59" Type="http://schemas.openxmlformats.org/officeDocument/2006/relationships/hyperlink" Target="https://www.aihw.gov.au/getmedia/0b59410e-c277-4bde-8bd8-31054c51ee68/12787.pdf.aspx?inline=true" TargetMode="External"/><Relationship Id="rId103" Type="http://schemas.openxmlformats.org/officeDocument/2006/relationships/image" Target="media/image31.jpeg"/><Relationship Id="rId108"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image" Target="media/image16.jpg"/><Relationship Id="rId54" Type="http://schemas.openxmlformats.org/officeDocument/2006/relationships/diagramColors" Target="diagrams/colors4.xml"/><Relationship Id="rId62" Type="http://schemas.openxmlformats.org/officeDocument/2006/relationships/hyperlink" Target="https://www.aihw.gov.au/reports/indigenous-health-welfare/indigenous-health-welfare-2015/contents/table-of-contents" TargetMode="External"/><Relationship Id="rId70" Type="http://schemas.openxmlformats.org/officeDocument/2006/relationships/hyperlink" Target="https://www.tsanz.com.au/Clinical%20Guidelines%20-Dec%202018.pdf" TargetMode="External"/><Relationship Id="rId75" Type="http://schemas.openxmlformats.org/officeDocument/2006/relationships/hyperlink" Target="http://www.kidney.org.au" TargetMode="External"/><Relationship Id="rId83" Type="http://schemas.openxmlformats.org/officeDocument/2006/relationships/image" Target="media/image23.png"/><Relationship Id="rId88" Type="http://schemas.openxmlformats.org/officeDocument/2006/relationships/hyperlink" Target="https://www.crh.org.au/the-manuals/carpa-standard-treatment-manual-7th-edition" TargetMode="External"/><Relationship Id="rId91" Type="http://schemas.openxmlformats.org/officeDocument/2006/relationships/hyperlink" Target="https://www.painaustralia.org.au/static/uploads/files/8-aboriginal-ways-of-learning-factsheet2-wfklwmnralub.pdf" TargetMode="External"/><Relationship Id="rId96"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emf"/><Relationship Id="rId28" Type="http://schemas.openxmlformats.org/officeDocument/2006/relationships/diagramQuickStyle" Target="diagrams/quickStyle1.xml"/><Relationship Id="rId36" Type="http://schemas.openxmlformats.org/officeDocument/2006/relationships/diagramQuickStyle" Target="diagrams/quickStyle2.xml"/><Relationship Id="rId49" Type="http://schemas.openxmlformats.org/officeDocument/2006/relationships/diagramColors" Target="diagrams/colors3.xml"/><Relationship Id="rId57" Type="http://schemas.openxmlformats.org/officeDocument/2006/relationships/hyperlink" Target="https://www.safetyandquality.gov.au/our-work/assessment-to-the-nsqhs-standards/improving-care-for-aboriginal-and-torres-strait-islander-people/" TargetMode="External"/><Relationship Id="rId106" Type="http://schemas.openxmlformats.org/officeDocument/2006/relationships/footer" Target="footer9.xml"/><Relationship Id="rId10" Type="http://schemas.openxmlformats.org/officeDocument/2006/relationships/footer" Target="footer2.xml"/><Relationship Id="rId31" Type="http://schemas.openxmlformats.org/officeDocument/2006/relationships/image" Target="media/image12.jpeg"/><Relationship Id="rId44" Type="http://schemas.openxmlformats.org/officeDocument/2006/relationships/image" Target="media/image170.jpg"/><Relationship Id="rId52" Type="http://schemas.openxmlformats.org/officeDocument/2006/relationships/diagramLayout" Target="diagrams/layout4.xml"/><Relationship Id="rId60" Type="http://schemas.openxmlformats.org/officeDocument/2006/relationships/hyperlink" Target="https://www.aihw.gov.au/reports/indigenous-australians/life-expectancy-and-mortality-of-aboriginal-and-to/contents/table-of-contents" TargetMode="External"/><Relationship Id="rId65" Type="http://schemas.openxmlformats.org/officeDocument/2006/relationships/hyperlink" Target="https://www.lowitja.org.au/impakt" TargetMode="External"/><Relationship Id="rId73" Type="http://schemas.openxmlformats.org/officeDocument/2006/relationships/image" Target="media/image19.jpeg"/><Relationship Id="rId78" Type="http://schemas.openxmlformats.org/officeDocument/2006/relationships/diagramLayout" Target="diagrams/layout5.xml"/><Relationship Id="rId81" Type="http://schemas.microsoft.com/office/2007/relationships/diagramDrawing" Target="diagrams/drawing5.xml"/><Relationship Id="rId86" Type="http://schemas.openxmlformats.org/officeDocument/2006/relationships/image" Target="media/image24.jpeg"/><Relationship Id="rId94" Type="http://schemas.openxmlformats.org/officeDocument/2006/relationships/image" Target="media/image25.png"/><Relationship Id="rId99" Type="http://schemas.openxmlformats.org/officeDocument/2006/relationships/hyperlink" Target="https://www.researchgate.net/institution/Royal_Adelaide_Hospital" TargetMode="External"/><Relationship Id="rId10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14.emf"/><Relationship Id="rId34" Type="http://schemas.openxmlformats.org/officeDocument/2006/relationships/diagramData" Target="diagrams/data2.xml"/><Relationship Id="rId50" Type="http://schemas.microsoft.com/office/2007/relationships/diagramDrawing" Target="diagrams/drawing3.xml"/><Relationship Id="rId55" Type="http://schemas.microsoft.com/office/2007/relationships/diagramDrawing" Target="diagrams/drawing4.xml"/><Relationship Id="rId76" Type="http://schemas.openxmlformats.org/officeDocument/2006/relationships/image" Target="media/image21.png"/><Relationship Id="rId97" Type="http://schemas.openxmlformats.org/officeDocument/2006/relationships/image" Target="media/image28.png"/><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oter" Target="footer5.xml"/><Relationship Id="rId92" Type="http://schemas.openxmlformats.org/officeDocument/2006/relationships/hyperlink" Target="http://www.purplehouse.org.au" TargetMode="External"/><Relationship Id="rId2" Type="http://schemas.openxmlformats.org/officeDocument/2006/relationships/numbering" Target="numbering.xml"/><Relationship Id="rId29" Type="http://schemas.openxmlformats.org/officeDocument/2006/relationships/diagramColors" Target="diagrams/colors1.xml"/><Relationship Id="rId24" Type="http://schemas.openxmlformats.org/officeDocument/2006/relationships/chart" Target="charts/chart1.xml"/><Relationship Id="rId40" Type="http://schemas.openxmlformats.org/officeDocument/2006/relationships/image" Target="media/image15.emf"/><Relationship Id="rId45" Type="http://schemas.openxmlformats.org/officeDocument/2006/relationships/chart" Target="charts/chart3.xml"/><Relationship Id="rId66" Type="http://schemas.openxmlformats.org/officeDocument/2006/relationships/hyperlink" Target="https://kidney.org.au/cms_uploads/docs/kidney-health-australia---indigenous-kidney-health-program-budget-submission.pdf" TargetMode="External"/><Relationship Id="rId87" Type="http://schemas.openxmlformats.org/officeDocument/2006/relationships/hyperlink" Target="https://www.racgp.org.au/clinical-resources/clinical-guidelines/key-racgp-guidelines/view-all-racgp-guidelines/national-guide" TargetMode="External"/><Relationship Id="rId61" Type="http://schemas.openxmlformats.org/officeDocument/2006/relationships/hyperlink" Target="https://www.aihw.gov.au/reports/indigenous-australians/mortality-life-expectancy-2008-2012/contents/summary" TargetMode="External"/><Relationship Id="rId82" Type="http://schemas.openxmlformats.org/officeDocument/2006/relationships/image" Target="media/image22.png"/><Relationship Id="rId19" Type="http://schemas.openxmlformats.org/officeDocument/2006/relationships/image" Target="media/image90.png"/><Relationship Id="rId14" Type="http://schemas.openxmlformats.org/officeDocument/2006/relationships/image" Target="media/image5.png"/><Relationship Id="rId30" Type="http://schemas.microsoft.com/office/2007/relationships/diagramDrawing" Target="diagrams/drawing1.xml"/><Relationship Id="rId35" Type="http://schemas.openxmlformats.org/officeDocument/2006/relationships/diagramLayout" Target="diagrams/layout2.xml"/><Relationship Id="rId56" Type="http://schemas.openxmlformats.org/officeDocument/2006/relationships/image" Target="media/image18.png"/><Relationship Id="rId77" Type="http://schemas.openxmlformats.org/officeDocument/2006/relationships/diagramData" Target="diagrams/data5.xml"/><Relationship Id="rId100" Type="http://schemas.openxmlformats.org/officeDocument/2006/relationships/hyperlink" Target="https://www.researchgate.net/institution/Royal_Adelaide_Hospital/department/Central_Northern_Adelaide_Renal_and_Transplantation_Service" TargetMode="External"/><Relationship Id="rId105" Type="http://schemas.openxmlformats.org/officeDocument/2006/relationships/footer" Target="footer8.xml"/><Relationship Id="rId8" Type="http://schemas.openxmlformats.org/officeDocument/2006/relationships/image" Target="media/image1.jpeg"/><Relationship Id="rId51" Type="http://schemas.openxmlformats.org/officeDocument/2006/relationships/diagramData" Target="diagrams/data4.xml"/><Relationship Id="rId72" Type="http://schemas.openxmlformats.org/officeDocument/2006/relationships/footer" Target="footer6.xml"/><Relationship Id="rId93" Type="http://schemas.openxmlformats.org/officeDocument/2006/relationships/hyperlink" Target="https://kidney.org.au/ckd-ambassador" TargetMode="External"/><Relationship Id="rId98" Type="http://schemas.openxmlformats.org/officeDocument/2006/relationships/image" Target="media/image29.png"/><Relationship Id="rId3" Type="http://schemas.openxmlformats.org/officeDocument/2006/relationships/styles" Target="styles.xml"/><Relationship Id="rId25" Type="http://schemas.openxmlformats.org/officeDocument/2006/relationships/chart" Target="charts/chart2.xml"/><Relationship Id="rId46" Type="http://schemas.openxmlformats.org/officeDocument/2006/relationships/diagramData" Target="diagrams/data3.xml"/><Relationship Id="rId67" Type="http://schemas.openxmlformats.org/officeDocument/2006/relationships/hyperlink" Target="https://kidney.org.au/your-kidneys/support/kidney-transplan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b="1">
                <a:solidFill>
                  <a:sysClr val="windowText" lastClr="000000"/>
                </a:solidFill>
              </a:rPr>
              <a:t>Indigenous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Sheet1!$B$2</c:f>
              <c:strCache>
                <c:ptCount val="1"/>
                <c:pt idx="0">
                  <c:v>Indigenous</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4E7E-4EA4-B5BF-6B34F938748E}"/>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4E7E-4EA4-B5BF-6B34F938748E}"/>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4E7E-4EA4-B5BF-6B34F93874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Sheet1!$A$3:$A$5</c:f>
              <c:strCache>
                <c:ptCount val="3"/>
                <c:pt idx="0">
                  <c:v>HD</c:v>
                </c:pt>
                <c:pt idx="1">
                  <c:v>PD</c:v>
                </c:pt>
                <c:pt idx="2">
                  <c:v>Transplant</c:v>
                </c:pt>
              </c:strCache>
            </c:strRef>
          </c:cat>
          <c:val>
            <c:numRef>
              <c:f>Sheet1!$B$3:$B$5</c:f>
              <c:numCache>
                <c:formatCode>0%</c:formatCode>
                <c:ptCount val="3"/>
                <c:pt idx="0">
                  <c:v>0.81</c:v>
                </c:pt>
                <c:pt idx="1">
                  <c:v>0.06</c:v>
                </c:pt>
                <c:pt idx="2">
                  <c:v>0.13</c:v>
                </c:pt>
              </c:numCache>
            </c:numRef>
          </c:val>
          <c:extLst>
            <c:ext xmlns:c16="http://schemas.microsoft.com/office/drawing/2014/chart" uri="{C3380CC4-5D6E-409C-BE32-E72D297353CC}">
              <c16:uniqueId val="{00000006-4E7E-4EA4-B5BF-6B34F938748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Non-Indigenous</a:t>
            </a:r>
          </a:p>
        </c:rich>
      </c:tx>
      <c:layout>
        <c:manualLayout>
          <c:xMode val="edge"/>
          <c:yMode val="edge"/>
          <c:x val="0.25723624290553426"/>
          <c:y val="2.836879432624113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Sheet1!$C$2</c:f>
              <c:strCache>
                <c:ptCount val="1"/>
                <c:pt idx="0">
                  <c:v>non-Indigenous</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FFB0-4EEE-B18F-640CDF165449}"/>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FFB0-4EEE-B18F-640CDF165449}"/>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FFB0-4EEE-B18F-640CDF16544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Sheet1!$B$3:$B$5</c:f>
              <c:strCache>
                <c:ptCount val="3"/>
                <c:pt idx="0">
                  <c:v>HD</c:v>
                </c:pt>
                <c:pt idx="1">
                  <c:v>PD</c:v>
                </c:pt>
                <c:pt idx="2">
                  <c:v>Transplant</c:v>
                </c:pt>
              </c:strCache>
            </c:strRef>
          </c:cat>
          <c:val>
            <c:numRef>
              <c:f>Sheet1!$C$3:$C$5</c:f>
              <c:numCache>
                <c:formatCode>0%</c:formatCode>
                <c:ptCount val="3"/>
                <c:pt idx="0">
                  <c:v>0.39</c:v>
                </c:pt>
                <c:pt idx="1">
                  <c:v>0.1</c:v>
                </c:pt>
                <c:pt idx="2">
                  <c:v>0.51</c:v>
                </c:pt>
              </c:numCache>
            </c:numRef>
          </c:val>
          <c:extLst>
            <c:ext xmlns:c16="http://schemas.microsoft.com/office/drawing/2014/chart" uri="{C3380CC4-5D6E-409C-BE32-E72D297353CC}">
              <c16:uniqueId val="{00000006-FFB0-4EEE-B18F-640CDF165449}"/>
            </c:ext>
          </c:extLst>
        </c:ser>
        <c:dLbls>
          <c:showLegendKey val="0"/>
          <c:showVal val="0"/>
          <c:showCatName val="0"/>
          <c:showSerName val="0"/>
          <c:showPercent val="0"/>
          <c:showBubbleSize val="0"/>
          <c:showLeaderLines val="1"/>
        </c:dLbls>
        <c:firstSliceAng val="0"/>
      </c:pieChart>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Transplant centres that performed Indigenous kidney transplant surgeries</a:t>
            </a:r>
            <a:r>
              <a:rPr lang="en-US" baseline="0"/>
              <a:t> between 2008 and 2017</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Sheet1!$C$2</c:f>
              <c:strCache>
                <c:ptCount val="1"/>
                <c:pt idx="0">
                  <c:v>Percentage of Indigenous Transplants Performed</c:v>
                </c:pt>
              </c:strCache>
            </c:strRef>
          </c:tx>
          <c:spPr>
            <a:solidFill>
              <a:schemeClr val="accent6"/>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Sheet1!$B$3:$B$19</c:f>
              <c:strCache>
                <c:ptCount val="17"/>
                <c:pt idx="0">
                  <c:v>Princess Margaret Hospital, WA</c:v>
                </c:pt>
                <c:pt idx="1">
                  <c:v>Alfred Hospital, VIC</c:v>
                </c:pt>
                <c:pt idx="2">
                  <c:v>Monash Medical Centre (Adults), VIC</c:v>
                </c:pt>
                <c:pt idx="3">
                  <c:v>Austin Hospital, VIC</c:v>
                </c:pt>
                <c:pt idx="4">
                  <c:v>Prince of Wales Hospital, WA</c:v>
                </c:pt>
                <c:pt idx="5">
                  <c:v>Royal Prince Alfred Hospital, NSW</c:v>
                </c:pt>
                <c:pt idx="6">
                  <c:v>St Vincent's Hospital, VIC</c:v>
                </c:pt>
                <c:pt idx="7">
                  <c:v>Sydney Children's Hospital, NSW</c:v>
                </c:pt>
                <c:pt idx="8">
                  <c:v>Fiona Stanley Hospital, WA</c:v>
                </c:pt>
                <c:pt idx="9">
                  <c:v>Royal Melbourne Hospital, VIC</c:v>
                </c:pt>
                <c:pt idx="10">
                  <c:v>Westmead Hospital, NSW</c:v>
                </c:pt>
                <c:pt idx="11">
                  <c:v>John Hunter Hospital, NSW</c:v>
                </c:pt>
                <c:pt idx="12">
                  <c:v>Statewide Renal Services, NSW</c:v>
                </c:pt>
                <c:pt idx="13">
                  <c:v>Sir Charles Gairdner Hospital, WA</c:v>
                </c:pt>
                <c:pt idx="14">
                  <c:v>Royal Perth Hospital, WA</c:v>
                </c:pt>
                <c:pt idx="15">
                  <c:v>Queensland Renal Transplant Service, QLD</c:v>
                </c:pt>
                <c:pt idx="16">
                  <c:v>Central Northern Adelaide Renal Service, SA</c:v>
                </c:pt>
              </c:strCache>
            </c:strRef>
          </c:cat>
          <c:val>
            <c:numRef>
              <c:f>Sheet1!$C$3:$C$19</c:f>
              <c:numCache>
                <c:formatCode>General</c:formatCode>
                <c:ptCount val="17"/>
                <c:pt idx="0">
                  <c:v>0.33</c:v>
                </c:pt>
                <c:pt idx="1">
                  <c:v>0.66</c:v>
                </c:pt>
                <c:pt idx="2">
                  <c:v>0.66</c:v>
                </c:pt>
                <c:pt idx="3">
                  <c:v>1.66</c:v>
                </c:pt>
                <c:pt idx="4">
                  <c:v>1.66</c:v>
                </c:pt>
                <c:pt idx="5">
                  <c:v>1.99</c:v>
                </c:pt>
                <c:pt idx="6">
                  <c:v>1.99</c:v>
                </c:pt>
                <c:pt idx="7">
                  <c:v>2.33</c:v>
                </c:pt>
                <c:pt idx="8">
                  <c:v>2.66</c:v>
                </c:pt>
                <c:pt idx="9">
                  <c:v>3.65</c:v>
                </c:pt>
                <c:pt idx="10">
                  <c:v>3.65</c:v>
                </c:pt>
                <c:pt idx="11">
                  <c:v>5.32</c:v>
                </c:pt>
                <c:pt idx="12">
                  <c:v>5.65</c:v>
                </c:pt>
                <c:pt idx="13">
                  <c:v>7.31</c:v>
                </c:pt>
                <c:pt idx="14">
                  <c:v>13.29</c:v>
                </c:pt>
                <c:pt idx="15">
                  <c:v>17.61</c:v>
                </c:pt>
                <c:pt idx="16">
                  <c:v>29.57</c:v>
                </c:pt>
              </c:numCache>
            </c:numRef>
          </c:val>
          <c:extLst>
            <c:ext xmlns:c16="http://schemas.microsoft.com/office/drawing/2014/chart" uri="{C3380CC4-5D6E-409C-BE32-E72D297353CC}">
              <c16:uniqueId val="{00000000-3979-40E0-AD97-121882121198}"/>
            </c:ext>
          </c:extLst>
        </c:ser>
        <c:dLbls>
          <c:showLegendKey val="0"/>
          <c:showVal val="0"/>
          <c:showCatName val="0"/>
          <c:showSerName val="0"/>
          <c:showPercent val="0"/>
          <c:showBubbleSize val="0"/>
        </c:dLbls>
        <c:gapWidth val="150"/>
        <c:axId val="537049920"/>
        <c:axId val="539213680"/>
      </c:barChart>
      <c:catAx>
        <c:axId val="53704992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213680"/>
        <c:crosses val="autoZero"/>
        <c:auto val="1"/>
        <c:lblAlgn val="ctr"/>
        <c:lblOffset val="100"/>
        <c:noMultiLvlLbl val="0"/>
      </c:catAx>
      <c:valAx>
        <c:axId val="539213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049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9845F3-C8E2-4364-BBDA-22A920517AE2}" type="doc">
      <dgm:prSet loTypeId="urn:microsoft.com/office/officeart/2005/8/layout/hProcess9" loCatId="process" qsTypeId="urn:microsoft.com/office/officeart/2005/8/quickstyle/simple1" qsCatId="simple" csTypeId="urn:microsoft.com/office/officeart/2005/8/colors/accent1_2" csCatId="accent1" phldr="1"/>
      <dgm:spPr/>
    </dgm:pt>
    <dgm:pt modelId="{6B3DEDDA-6036-49AB-947D-2A0DC6D035D7}">
      <dgm:prSet phldrT="[Text]" custT="1"/>
      <dgm:spPr>
        <a:xfrm>
          <a:off x="39323" y="375475"/>
          <a:ext cx="859324" cy="500634"/>
        </a:xfrm>
        <a:prstGeom prst="roundRect">
          <a:avLst/>
        </a:prstGeom>
        <a:solidFill>
          <a:srgbClr val="FFC000">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1000" dirty="0">
              <a:solidFill>
                <a:sysClr val="windowText" lastClr="000000"/>
              </a:solidFill>
              <a:latin typeface="Candara" panose="020E0502030303020204" pitchFamily="34" charset="0"/>
              <a:ea typeface="+mn-ea"/>
              <a:cs typeface="+mn-cs"/>
            </a:rPr>
            <a:t>Information sharing</a:t>
          </a:r>
        </a:p>
      </dgm:t>
    </dgm:pt>
    <dgm:pt modelId="{B302E919-ED21-40EB-A3D5-7003B1680516}" type="parTrans" cxnId="{2839EEA1-82C1-47F4-A471-DF6E77B68CB3}">
      <dgm:prSet/>
      <dgm:spPr/>
      <dgm:t>
        <a:bodyPr/>
        <a:lstStyle/>
        <a:p>
          <a:pPr algn="ctr"/>
          <a:endParaRPr lang="en-AU" sz="1800"/>
        </a:p>
      </dgm:t>
    </dgm:pt>
    <dgm:pt modelId="{36032E1E-6A61-4F3E-8CD5-23414FA89BE5}" type="sibTrans" cxnId="{2839EEA1-82C1-47F4-A471-DF6E77B68CB3}">
      <dgm:prSet/>
      <dgm:spPr/>
      <dgm:t>
        <a:bodyPr/>
        <a:lstStyle/>
        <a:p>
          <a:pPr algn="ctr"/>
          <a:endParaRPr lang="en-AU" sz="1800"/>
        </a:p>
      </dgm:t>
    </dgm:pt>
    <dgm:pt modelId="{2EC8CF6C-E641-48C6-9F1B-A7FDA85F012C}">
      <dgm:prSet phldrT="[Text]" custT="1"/>
      <dgm:spPr>
        <a:xfrm>
          <a:off x="996413" y="375475"/>
          <a:ext cx="712270" cy="500634"/>
        </a:xfrm>
        <a:prstGeom prst="roundRect">
          <a:avLst/>
        </a:prstGeom>
        <a:solidFill>
          <a:srgbClr val="FFC000">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1000" dirty="0">
              <a:solidFill>
                <a:sysClr val="windowText" lastClr="000000"/>
              </a:solidFill>
              <a:latin typeface="Calibri" panose="020F0502020204030204"/>
              <a:ea typeface="+mn-ea"/>
              <a:cs typeface="+mn-cs"/>
            </a:rPr>
            <a:t>Addressing health issues</a:t>
          </a:r>
        </a:p>
      </dgm:t>
    </dgm:pt>
    <dgm:pt modelId="{71BFD1B0-5F25-47E8-9637-C74710980D1B}" type="parTrans" cxnId="{A1D7701C-9FAF-4E61-AA23-E987C8F43F27}">
      <dgm:prSet/>
      <dgm:spPr/>
      <dgm:t>
        <a:bodyPr/>
        <a:lstStyle/>
        <a:p>
          <a:pPr algn="ctr"/>
          <a:endParaRPr lang="en-AU" sz="1800"/>
        </a:p>
      </dgm:t>
    </dgm:pt>
    <dgm:pt modelId="{B73821F6-EAC4-43AD-99AE-D6D0E7DDEFA4}" type="sibTrans" cxnId="{A1D7701C-9FAF-4E61-AA23-E987C8F43F27}">
      <dgm:prSet/>
      <dgm:spPr/>
      <dgm:t>
        <a:bodyPr/>
        <a:lstStyle/>
        <a:p>
          <a:pPr algn="ctr"/>
          <a:endParaRPr lang="en-AU" sz="1800"/>
        </a:p>
      </dgm:t>
    </dgm:pt>
    <dgm:pt modelId="{DF01302C-E8E2-4F33-98CC-AD2255823968}">
      <dgm:prSet phldrT="[Text]" custT="1"/>
      <dgm:spPr>
        <a:xfrm>
          <a:off x="1825091" y="375475"/>
          <a:ext cx="784380" cy="500634"/>
        </a:xfrm>
        <a:prstGeom prst="roundRect">
          <a:avLst/>
        </a:prstGeom>
        <a:solidFill>
          <a:srgbClr val="FFC000">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1000" dirty="0">
              <a:solidFill>
                <a:sysClr val="windowText" lastClr="000000"/>
              </a:solidFill>
              <a:latin typeface="Calibri" panose="020F0502020204030204"/>
              <a:ea typeface="+mn-ea"/>
              <a:cs typeface="+mn-cs"/>
            </a:rPr>
            <a:t>Completing workup tests</a:t>
          </a:r>
        </a:p>
      </dgm:t>
    </dgm:pt>
    <dgm:pt modelId="{5C65FC5F-0517-4A8D-866D-4103CFAE184D}" type="parTrans" cxnId="{FD10D91E-326E-4824-ABA2-1A7473317A43}">
      <dgm:prSet/>
      <dgm:spPr/>
      <dgm:t>
        <a:bodyPr/>
        <a:lstStyle/>
        <a:p>
          <a:pPr algn="ctr"/>
          <a:endParaRPr lang="en-AU" sz="1800"/>
        </a:p>
      </dgm:t>
    </dgm:pt>
    <dgm:pt modelId="{FCDD9460-0AB4-4E0F-9EC7-653C5C7577B6}" type="sibTrans" cxnId="{FD10D91E-326E-4824-ABA2-1A7473317A43}">
      <dgm:prSet/>
      <dgm:spPr/>
      <dgm:t>
        <a:bodyPr/>
        <a:lstStyle/>
        <a:p>
          <a:pPr algn="ctr"/>
          <a:endParaRPr lang="en-AU" sz="1800"/>
        </a:p>
      </dgm:t>
    </dgm:pt>
    <dgm:pt modelId="{AA7A2749-175F-4266-B3DB-34C8266886C3}">
      <dgm:prSet phldrT="[Text]" custT="1"/>
      <dgm:spPr>
        <a:xfrm>
          <a:off x="2716558" y="366063"/>
          <a:ext cx="748258" cy="500634"/>
        </a:xfrm>
        <a:prstGeom prst="roundRect">
          <a:avLst/>
        </a:prstGeom>
        <a:solidFill>
          <a:srgbClr val="FFC000">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1000" dirty="0">
              <a:solidFill>
                <a:sysClr val="windowText" lastClr="000000"/>
              </a:solidFill>
              <a:latin typeface="Calibri" panose="020F0502020204030204"/>
              <a:ea typeface="+mn-ea"/>
              <a:cs typeface="+mn-cs"/>
            </a:rPr>
            <a:t>Assessment for waiting list</a:t>
          </a:r>
        </a:p>
      </dgm:t>
    </dgm:pt>
    <dgm:pt modelId="{841B2456-9A14-4DB0-8F06-7C9E187FC4D1}" type="parTrans" cxnId="{0F4CEE5D-2E9B-4B9F-8FF3-C1661D5DC184}">
      <dgm:prSet/>
      <dgm:spPr/>
      <dgm:t>
        <a:bodyPr/>
        <a:lstStyle/>
        <a:p>
          <a:pPr algn="ctr"/>
          <a:endParaRPr lang="en-AU" sz="1800"/>
        </a:p>
      </dgm:t>
    </dgm:pt>
    <dgm:pt modelId="{E0EF6C39-4873-40CB-85C0-6DA2F2A4D19E}" type="sibTrans" cxnId="{0F4CEE5D-2E9B-4B9F-8FF3-C1661D5DC184}">
      <dgm:prSet/>
      <dgm:spPr/>
      <dgm:t>
        <a:bodyPr/>
        <a:lstStyle/>
        <a:p>
          <a:pPr algn="ctr"/>
          <a:endParaRPr lang="en-AU" sz="1800"/>
        </a:p>
      </dgm:t>
    </dgm:pt>
    <dgm:pt modelId="{3AEB0EC3-011B-4026-84EF-69B8769766B7}">
      <dgm:prSet phldrT="[Text]" custT="1"/>
      <dgm:spPr>
        <a:xfrm>
          <a:off x="4346430" y="366063"/>
          <a:ext cx="701900" cy="500634"/>
        </a:xfrm>
        <a:prstGeom prst="roundRect">
          <a:avLst/>
        </a:prstGeom>
        <a:solidFill>
          <a:srgbClr val="FFC000">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1000" dirty="0">
              <a:solidFill>
                <a:sysClr val="windowText" lastClr="000000"/>
              </a:solidFill>
              <a:latin typeface="Calibri" panose="020F0502020204030204"/>
              <a:ea typeface="+mn-ea"/>
              <a:cs typeface="+mn-cs"/>
            </a:rPr>
            <a:t>Staying on the list</a:t>
          </a:r>
        </a:p>
      </dgm:t>
    </dgm:pt>
    <dgm:pt modelId="{C02CCE23-F96D-48EF-9787-9F8B32479614}" type="parTrans" cxnId="{37933E0D-3547-4C09-85D0-AE87FADF2F59}">
      <dgm:prSet/>
      <dgm:spPr/>
      <dgm:t>
        <a:bodyPr/>
        <a:lstStyle/>
        <a:p>
          <a:pPr algn="ctr"/>
          <a:endParaRPr lang="en-AU" sz="1800"/>
        </a:p>
      </dgm:t>
    </dgm:pt>
    <dgm:pt modelId="{44D640E1-0308-4EA8-82F2-495CC4737554}" type="sibTrans" cxnId="{37933E0D-3547-4C09-85D0-AE87FADF2F59}">
      <dgm:prSet/>
      <dgm:spPr/>
      <dgm:t>
        <a:bodyPr/>
        <a:lstStyle/>
        <a:p>
          <a:pPr algn="ctr"/>
          <a:endParaRPr lang="en-AU" sz="1800"/>
        </a:p>
      </dgm:t>
    </dgm:pt>
    <dgm:pt modelId="{7FFCE61E-F92E-4D80-9652-EF0D1221D4FB}">
      <dgm:prSet phldrT="[Text]" custT="1"/>
      <dgm:spPr>
        <a:xfrm>
          <a:off x="5127454" y="356656"/>
          <a:ext cx="709533" cy="500634"/>
        </a:xfrm>
        <a:prstGeom prst="roundRect">
          <a:avLst/>
        </a:prstGeom>
        <a:solidFill>
          <a:srgbClr val="92D050"/>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1000" dirty="0">
              <a:solidFill>
                <a:sysClr val="windowText" lastClr="000000"/>
              </a:solidFill>
              <a:latin typeface="Calibri" panose="020F0502020204030204"/>
              <a:ea typeface="+mn-ea"/>
              <a:cs typeface="+mn-cs"/>
            </a:rPr>
            <a:t>Allocation of kidney</a:t>
          </a:r>
        </a:p>
      </dgm:t>
    </dgm:pt>
    <dgm:pt modelId="{6EE6A9FB-C734-4165-B4FB-CBA68893548A}" type="parTrans" cxnId="{90C5C823-602D-4B1C-A3E3-FAC204659C7F}">
      <dgm:prSet/>
      <dgm:spPr/>
      <dgm:t>
        <a:bodyPr/>
        <a:lstStyle/>
        <a:p>
          <a:pPr algn="ctr"/>
          <a:endParaRPr lang="en-AU" sz="1800"/>
        </a:p>
      </dgm:t>
    </dgm:pt>
    <dgm:pt modelId="{3600025C-9764-4E49-8A87-851930DD1B04}" type="sibTrans" cxnId="{90C5C823-602D-4B1C-A3E3-FAC204659C7F}">
      <dgm:prSet/>
      <dgm:spPr/>
      <dgm:t>
        <a:bodyPr/>
        <a:lstStyle/>
        <a:p>
          <a:pPr algn="ctr"/>
          <a:endParaRPr lang="en-AU" sz="1800"/>
        </a:p>
      </dgm:t>
    </dgm:pt>
    <dgm:pt modelId="{42DDFDAD-47AC-4BDC-881B-3ACE9BE640A3}">
      <dgm:prSet phldrT="[Text]" custT="1"/>
      <dgm:spPr>
        <a:xfrm>
          <a:off x="3562582" y="384887"/>
          <a:ext cx="686081" cy="500634"/>
        </a:xfrm>
        <a:prstGeom prst="roundRect">
          <a:avLst/>
        </a:prstGeom>
        <a:solidFill>
          <a:srgbClr val="92D050"/>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1000" dirty="0">
              <a:solidFill>
                <a:sysClr val="windowText" lastClr="000000"/>
              </a:solidFill>
              <a:latin typeface="Calibri" panose="020F0502020204030204"/>
              <a:ea typeface="+mn-ea"/>
              <a:cs typeface="+mn-cs"/>
            </a:rPr>
            <a:t>Placement on waiting list</a:t>
          </a:r>
        </a:p>
      </dgm:t>
      <dgm:extLst>
        <a:ext uri="{E40237B7-FDA0-4F09-8148-C483321AD2D9}">
          <dgm14:cNvPr xmlns:dgm14="http://schemas.microsoft.com/office/drawing/2010/diagram" id="0" name="" descr="Placement on the transplant waiting list is the culmination of a series of steps and assessments: including information sharing, addressing health issues, completing workup test, assessment for waiting list, placement on waiting list, staying on the list, allocation of kidney. "/>
        </a:ext>
      </dgm:extLst>
    </dgm:pt>
    <dgm:pt modelId="{A0F2DD7D-D343-4BCF-99D7-7A160560CC10}" type="parTrans" cxnId="{5BB09E81-4714-424D-B8FE-7EA9ECF8689F}">
      <dgm:prSet/>
      <dgm:spPr/>
      <dgm:t>
        <a:bodyPr/>
        <a:lstStyle/>
        <a:p>
          <a:pPr algn="ctr"/>
          <a:endParaRPr lang="en-AU" sz="1800"/>
        </a:p>
      </dgm:t>
    </dgm:pt>
    <dgm:pt modelId="{700B00D8-2A37-4E34-9C07-E1B8E0EC9342}" type="sibTrans" cxnId="{5BB09E81-4714-424D-B8FE-7EA9ECF8689F}">
      <dgm:prSet/>
      <dgm:spPr/>
      <dgm:t>
        <a:bodyPr/>
        <a:lstStyle/>
        <a:p>
          <a:pPr algn="ctr"/>
          <a:endParaRPr lang="en-AU" sz="1800"/>
        </a:p>
      </dgm:t>
    </dgm:pt>
    <dgm:pt modelId="{AC977344-2A26-456A-9B6C-3C9505E5A4B6}" type="pres">
      <dgm:prSet presAssocID="{F59845F3-C8E2-4364-BBDA-22A920517AE2}" presName="CompostProcess" presStyleCnt="0">
        <dgm:presLayoutVars>
          <dgm:dir/>
          <dgm:resizeHandles val="exact"/>
        </dgm:presLayoutVars>
      </dgm:prSet>
      <dgm:spPr/>
    </dgm:pt>
    <dgm:pt modelId="{6A85A511-B596-4DA9-9126-B0A0CCE9F2ED}" type="pres">
      <dgm:prSet presAssocID="{F59845F3-C8E2-4364-BBDA-22A920517AE2}" presName="arrow" presStyleLbl="bgShp" presStyleIdx="0" presStyleCnt="1" custScaleX="117647" custLinFactNeighborX="-385" custLinFactNeighborY="35338"/>
      <dgm:spPr>
        <a:xfrm>
          <a:off x="0" y="0"/>
          <a:ext cx="5848347" cy="1251585"/>
        </a:xfrm>
        <a:prstGeom prst="rightArrow">
          <a:avLst/>
        </a:prstGeom>
        <a:solidFill>
          <a:srgbClr val="44546A">
            <a:lumMod val="50000"/>
          </a:srgbClr>
        </a:solidFill>
        <a:ln>
          <a:noFill/>
        </a:ln>
        <a:effectLst/>
      </dgm:spPr>
    </dgm:pt>
    <dgm:pt modelId="{73049919-9074-46DC-A7D0-4D68E3890CA2}" type="pres">
      <dgm:prSet presAssocID="{F59845F3-C8E2-4364-BBDA-22A920517AE2}" presName="linearProcess" presStyleCnt="0"/>
      <dgm:spPr/>
    </dgm:pt>
    <dgm:pt modelId="{A9449DB4-B865-43CF-ACF3-A396AC545DFC}" type="pres">
      <dgm:prSet presAssocID="{6B3DEDDA-6036-49AB-947D-2A0DC6D035D7}" presName="textNode" presStyleLbl="node1" presStyleIdx="0" presStyleCnt="7" custScaleX="133743" custLinFactNeighborX="34816">
        <dgm:presLayoutVars>
          <dgm:bulletEnabled val="1"/>
        </dgm:presLayoutVars>
      </dgm:prSet>
      <dgm:spPr>
        <a:prstGeom prst="roundRect">
          <a:avLst/>
        </a:prstGeom>
      </dgm:spPr>
    </dgm:pt>
    <dgm:pt modelId="{68945CA5-2945-4244-B0DA-14BFB97BBA8A}" type="pres">
      <dgm:prSet presAssocID="{36032E1E-6A61-4F3E-8CD5-23414FA89BE5}" presName="sibTrans" presStyleCnt="0"/>
      <dgm:spPr/>
    </dgm:pt>
    <dgm:pt modelId="{D34096FE-DAE5-4371-B966-C2652ADD22B8}" type="pres">
      <dgm:prSet presAssocID="{2EC8CF6C-E641-48C6-9F1B-A7FDA85F012C}" presName="textNode" presStyleLbl="node1" presStyleIdx="1" presStyleCnt="7" custScaleX="110856" custLinFactNeighborX="26112" custLinFactNeighborY="0">
        <dgm:presLayoutVars>
          <dgm:bulletEnabled val="1"/>
        </dgm:presLayoutVars>
      </dgm:prSet>
      <dgm:spPr>
        <a:prstGeom prst="roundRect">
          <a:avLst/>
        </a:prstGeom>
      </dgm:spPr>
    </dgm:pt>
    <dgm:pt modelId="{F7E45985-7017-41DC-BAB8-6EFF23C232CC}" type="pres">
      <dgm:prSet presAssocID="{B73821F6-EAC4-43AD-99AE-D6D0E7DDEFA4}" presName="sibTrans" presStyleCnt="0"/>
      <dgm:spPr/>
    </dgm:pt>
    <dgm:pt modelId="{528D6B51-A5A3-4C38-876A-F0F94366DC2E}" type="pres">
      <dgm:prSet presAssocID="{DF01302C-E8E2-4F33-98CC-AD2255823968}" presName="textNode" presStyleLbl="node1" presStyleIdx="2" presStyleCnt="7" custScaleX="122079" custLinFactNeighborX="34816">
        <dgm:presLayoutVars>
          <dgm:bulletEnabled val="1"/>
        </dgm:presLayoutVars>
      </dgm:prSet>
      <dgm:spPr>
        <a:prstGeom prst="roundRect">
          <a:avLst/>
        </a:prstGeom>
      </dgm:spPr>
    </dgm:pt>
    <dgm:pt modelId="{F00DD18F-11CF-47A5-BC8F-6131E1443019}" type="pres">
      <dgm:prSet presAssocID="{FCDD9460-0AB4-4E0F-9EC7-653C5C7577B6}" presName="sibTrans" presStyleCnt="0"/>
      <dgm:spPr/>
    </dgm:pt>
    <dgm:pt modelId="{D9259C89-04DA-4439-B6CF-84ECB27DDE07}" type="pres">
      <dgm:prSet presAssocID="{AA7A2749-175F-4266-B3DB-34C8266886C3}" presName="textNode" presStyleLbl="node1" presStyleIdx="3" presStyleCnt="7" custScaleX="116457" custLinFactNeighborX="34816" custLinFactNeighborY="-1880">
        <dgm:presLayoutVars>
          <dgm:bulletEnabled val="1"/>
        </dgm:presLayoutVars>
      </dgm:prSet>
      <dgm:spPr>
        <a:prstGeom prst="roundRect">
          <a:avLst/>
        </a:prstGeom>
      </dgm:spPr>
    </dgm:pt>
    <dgm:pt modelId="{E2F6FAFA-5FB3-4CCE-BCAB-C546CE4569AC}" type="pres">
      <dgm:prSet presAssocID="{E0EF6C39-4873-40CB-85C0-6DA2F2A4D19E}" presName="sibTrans" presStyleCnt="0"/>
      <dgm:spPr/>
    </dgm:pt>
    <dgm:pt modelId="{4152C039-E4F7-4CE5-B939-A36843C9CC95}" type="pres">
      <dgm:prSet presAssocID="{42DDFDAD-47AC-4BDC-881B-3ACE9BE640A3}" presName="textNode" presStyleLbl="node1" presStyleIdx="4" presStyleCnt="7" custScaleX="106780" custLinFactNeighborX="26112" custLinFactNeighborY="1880">
        <dgm:presLayoutVars>
          <dgm:bulletEnabled val="1"/>
        </dgm:presLayoutVars>
      </dgm:prSet>
      <dgm:spPr>
        <a:prstGeom prst="roundRect">
          <a:avLst/>
        </a:prstGeom>
      </dgm:spPr>
    </dgm:pt>
    <dgm:pt modelId="{285CF0C8-411E-494D-B0AF-A328B3A4DB36}" type="pres">
      <dgm:prSet presAssocID="{700B00D8-2A37-4E34-9C07-E1B8E0EC9342}" presName="sibTrans" presStyleCnt="0"/>
      <dgm:spPr/>
    </dgm:pt>
    <dgm:pt modelId="{18ECE4D4-4498-4FAD-B488-63D433DEB869}" type="pres">
      <dgm:prSet presAssocID="{3AEB0EC3-011B-4026-84EF-69B8769766B7}" presName="textNode" presStyleLbl="node1" presStyleIdx="5" presStyleCnt="7" custScaleX="109242" custLinFactNeighborX="17408" custLinFactNeighborY="-1880">
        <dgm:presLayoutVars>
          <dgm:bulletEnabled val="1"/>
        </dgm:presLayoutVars>
      </dgm:prSet>
      <dgm:spPr>
        <a:prstGeom prst="roundRect">
          <a:avLst/>
        </a:prstGeom>
      </dgm:spPr>
    </dgm:pt>
    <dgm:pt modelId="{24D0B220-E709-4F51-83CD-E49C1F8F2401}" type="pres">
      <dgm:prSet presAssocID="{44D640E1-0308-4EA8-82F2-495CC4737554}" presName="sibTrans" presStyleCnt="0"/>
      <dgm:spPr/>
    </dgm:pt>
    <dgm:pt modelId="{3CB8A83A-7A02-4590-93D2-744C5B918522}" type="pres">
      <dgm:prSet presAssocID="{7FFCE61E-F92E-4D80-9652-EF0D1221D4FB}" presName="textNode" presStyleLbl="node1" presStyleIdx="6" presStyleCnt="7" custScaleX="110430" custLinFactNeighborX="-8704" custLinFactNeighborY="-3759">
        <dgm:presLayoutVars>
          <dgm:bulletEnabled val="1"/>
        </dgm:presLayoutVars>
      </dgm:prSet>
      <dgm:spPr>
        <a:prstGeom prst="roundRect">
          <a:avLst/>
        </a:prstGeom>
      </dgm:spPr>
    </dgm:pt>
  </dgm:ptLst>
  <dgm:cxnLst>
    <dgm:cxn modelId="{37933E0D-3547-4C09-85D0-AE87FADF2F59}" srcId="{F59845F3-C8E2-4364-BBDA-22A920517AE2}" destId="{3AEB0EC3-011B-4026-84EF-69B8769766B7}" srcOrd="5" destOrd="0" parTransId="{C02CCE23-F96D-48EF-9787-9F8B32479614}" sibTransId="{44D640E1-0308-4EA8-82F2-495CC4737554}"/>
    <dgm:cxn modelId="{828D8A13-9E1D-4324-A695-FE3EAB9D0BC2}" type="presOf" srcId="{42DDFDAD-47AC-4BDC-881B-3ACE9BE640A3}" destId="{4152C039-E4F7-4CE5-B939-A36843C9CC95}" srcOrd="0" destOrd="0" presId="urn:microsoft.com/office/officeart/2005/8/layout/hProcess9"/>
    <dgm:cxn modelId="{A1D7701C-9FAF-4E61-AA23-E987C8F43F27}" srcId="{F59845F3-C8E2-4364-BBDA-22A920517AE2}" destId="{2EC8CF6C-E641-48C6-9F1B-A7FDA85F012C}" srcOrd="1" destOrd="0" parTransId="{71BFD1B0-5F25-47E8-9637-C74710980D1B}" sibTransId="{B73821F6-EAC4-43AD-99AE-D6D0E7DDEFA4}"/>
    <dgm:cxn modelId="{0518441D-9977-4A39-B6EA-63F635B546C9}" type="presOf" srcId="{6B3DEDDA-6036-49AB-947D-2A0DC6D035D7}" destId="{A9449DB4-B865-43CF-ACF3-A396AC545DFC}" srcOrd="0" destOrd="0" presId="urn:microsoft.com/office/officeart/2005/8/layout/hProcess9"/>
    <dgm:cxn modelId="{BA770C1E-BF26-4D26-9427-32B53DD8A071}" type="presOf" srcId="{2EC8CF6C-E641-48C6-9F1B-A7FDA85F012C}" destId="{D34096FE-DAE5-4371-B966-C2652ADD22B8}" srcOrd="0" destOrd="0" presId="urn:microsoft.com/office/officeart/2005/8/layout/hProcess9"/>
    <dgm:cxn modelId="{FD10D91E-326E-4824-ABA2-1A7473317A43}" srcId="{F59845F3-C8E2-4364-BBDA-22A920517AE2}" destId="{DF01302C-E8E2-4F33-98CC-AD2255823968}" srcOrd="2" destOrd="0" parTransId="{5C65FC5F-0517-4A8D-866D-4103CFAE184D}" sibTransId="{FCDD9460-0AB4-4E0F-9EC7-653C5C7577B6}"/>
    <dgm:cxn modelId="{39948121-653D-4FF1-A12C-742D530A8C03}" type="presOf" srcId="{F59845F3-C8E2-4364-BBDA-22A920517AE2}" destId="{AC977344-2A26-456A-9B6C-3C9505E5A4B6}" srcOrd="0" destOrd="0" presId="urn:microsoft.com/office/officeart/2005/8/layout/hProcess9"/>
    <dgm:cxn modelId="{90C5C823-602D-4B1C-A3E3-FAC204659C7F}" srcId="{F59845F3-C8E2-4364-BBDA-22A920517AE2}" destId="{7FFCE61E-F92E-4D80-9652-EF0D1221D4FB}" srcOrd="6" destOrd="0" parTransId="{6EE6A9FB-C734-4165-B4FB-CBA68893548A}" sibTransId="{3600025C-9764-4E49-8A87-851930DD1B04}"/>
    <dgm:cxn modelId="{D64F7224-692A-4D8E-AF04-2A637F86DBC5}" type="presOf" srcId="{AA7A2749-175F-4266-B3DB-34C8266886C3}" destId="{D9259C89-04DA-4439-B6CF-84ECB27DDE07}" srcOrd="0" destOrd="0" presId="urn:microsoft.com/office/officeart/2005/8/layout/hProcess9"/>
    <dgm:cxn modelId="{0F4CEE5D-2E9B-4B9F-8FF3-C1661D5DC184}" srcId="{F59845F3-C8E2-4364-BBDA-22A920517AE2}" destId="{AA7A2749-175F-4266-B3DB-34C8266886C3}" srcOrd="3" destOrd="0" parTransId="{841B2456-9A14-4DB0-8F06-7C9E187FC4D1}" sibTransId="{E0EF6C39-4873-40CB-85C0-6DA2F2A4D19E}"/>
    <dgm:cxn modelId="{DA95E453-C2D5-4F89-906A-D8EC242C5F0A}" type="presOf" srcId="{7FFCE61E-F92E-4D80-9652-EF0D1221D4FB}" destId="{3CB8A83A-7A02-4590-93D2-744C5B918522}" srcOrd="0" destOrd="0" presId="urn:microsoft.com/office/officeart/2005/8/layout/hProcess9"/>
    <dgm:cxn modelId="{5BB09E81-4714-424D-B8FE-7EA9ECF8689F}" srcId="{F59845F3-C8E2-4364-BBDA-22A920517AE2}" destId="{42DDFDAD-47AC-4BDC-881B-3ACE9BE640A3}" srcOrd="4" destOrd="0" parTransId="{A0F2DD7D-D343-4BCF-99D7-7A160560CC10}" sibTransId="{700B00D8-2A37-4E34-9C07-E1B8E0EC9342}"/>
    <dgm:cxn modelId="{2839EEA1-82C1-47F4-A471-DF6E77B68CB3}" srcId="{F59845F3-C8E2-4364-BBDA-22A920517AE2}" destId="{6B3DEDDA-6036-49AB-947D-2A0DC6D035D7}" srcOrd="0" destOrd="0" parTransId="{B302E919-ED21-40EB-A3D5-7003B1680516}" sibTransId="{36032E1E-6A61-4F3E-8CD5-23414FA89BE5}"/>
    <dgm:cxn modelId="{8FA59ED1-401D-4F1D-8EBE-4D2C2E1C9AA7}" type="presOf" srcId="{3AEB0EC3-011B-4026-84EF-69B8769766B7}" destId="{18ECE4D4-4498-4FAD-B488-63D433DEB869}" srcOrd="0" destOrd="0" presId="urn:microsoft.com/office/officeart/2005/8/layout/hProcess9"/>
    <dgm:cxn modelId="{90AD2ADD-0F25-494B-944D-1F8DF8A84614}" type="presOf" srcId="{DF01302C-E8E2-4F33-98CC-AD2255823968}" destId="{528D6B51-A5A3-4C38-876A-F0F94366DC2E}" srcOrd="0" destOrd="0" presId="urn:microsoft.com/office/officeart/2005/8/layout/hProcess9"/>
    <dgm:cxn modelId="{C2F98C54-27DD-4B04-8D19-9282150D8EFE}" type="presParOf" srcId="{AC977344-2A26-456A-9B6C-3C9505E5A4B6}" destId="{6A85A511-B596-4DA9-9126-B0A0CCE9F2ED}" srcOrd="0" destOrd="0" presId="urn:microsoft.com/office/officeart/2005/8/layout/hProcess9"/>
    <dgm:cxn modelId="{D07F85FF-1DC2-40CE-BEB2-BA99A40711FE}" type="presParOf" srcId="{AC977344-2A26-456A-9B6C-3C9505E5A4B6}" destId="{73049919-9074-46DC-A7D0-4D68E3890CA2}" srcOrd="1" destOrd="0" presId="urn:microsoft.com/office/officeart/2005/8/layout/hProcess9"/>
    <dgm:cxn modelId="{64E06348-9039-4859-91A4-AA1C655D289C}" type="presParOf" srcId="{73049919-9074-46DC-A7D0-4D68E3890CA2}" destId="{A9449DB4-B865-43CF-ACF3-A396AC545DFC}" srcOrd="0" destOrd="0" presId="urn:microsoft.com/office/officeart/2005/8/layout/hProcess9"/>
    <dgm:cxn modelId="{E9956CA6-B542-4E66-886F-FBAC4446E2AD}" type="presParOf" srcId="{73049919-9074-46DC-A7D0-4D68E3890CA2}" destId="{68945CA5-2945-4244-B0DA-14BFB97BBA8A}" srcOrd="1" destOrd="0" presId="urn:microsoft.com/office/officeart/2005/8/layout/hProcess9"/>
    <dgm:cxn modelId="{6115740B-E343-4C64-9511-91DFBF3B28A4}" type="presParOf" srcId="{73049919-9074-46DC-A7D0-4D68E3890CA2}" destId="{D34096FE-DAE5-4371-B966-C2652ADD22B8}" srcOrd="2" destOrd="0" presId="urn:microsoft.com/office/officeart/2005/8/layout/hProcess9"/>
    <dgm:cxn modelId="{AA073C9C-6751-49F7-9D12-139F5EED6FC8}" type="presParOf" srcId="{73049919-9074-46DC-A7D0-4D68E3890CA2}" destId="{F7E45985-7017-41DC-BAB8-6EFF23C232CC}" srcOrd="3" destOrd="0" presId="urn:microsoft.com/office/officeart/2005/8/layout/hProcess9"/>
    <dgm:cxn modelId="{0C7769E4-164B-4E9B-9F73-474A0CF07BC3}" type="presParOf" srcId="{73049919-9074-46DC-A7D0-4D68E3890CA2}" destId="{528D6B51-A5A3-4C38-876A-F0F94366DC2E}" srcOrd="4" destOrd="0" presId="urn:microsoft.com/office/officeart/2005/8/layout/hProcess9"/>
    <dgm:cxn modelId="{20641CE2-372D-41F0-82AE-36F8D1ADB9D3}" type="presParOf" srcId="{73049919-9074-46DC-A7D0-4D68E3890CA2}" destId="{F00DD18F-11CF-47A5-BC8F-6131E1443019}" srcOrd="5" destOrd="0" presId="urn:microsoft.com/office/officeart/2005/8/layout/hProcess9"/>
    <dgm:cxn modelId="{A2520B04-8195-4A98-A1D5-271FD518ECE9}" type="presParOf" srcId="{73049919-9074-46DC-A7D0-4D68E3890CA2}" destId="{D9259C89-04DA-4439-B6CF-84ECB27DDE07}" srcOrd="6" destOrd="0" presId="urn:microsoft.com/office/officeart/2005/8/layout/hProcess9"/>
    <dgm:cxn modelId="{20FE63E5-F92C-4A37-9E69-4F2CE5B578E8}" type="presParOf" srcId="{73049919-9074-46DC-A7D0-4D68E3890CA2}" destId="{E2F6FAFA-5FB3-4CCE-BCAB-C546CE4569AC}" srcOrd="7" destOrd="0" presId="urn:microsoft.com/office/officeart/2005/8/layout/hProcess9"/>
    <dgm:cxn modelId="{0D769030-32A0-46F8-8F85-BC84B16BF48E}" type="presParOf" srcId="{73049919-9074-46DC-A7D0-4D68E3890CA2}" destId="{4152C039-E4F7-4CE5-B939-A36843C9CC95}" srcOrd="8" destOrd="0" presId="urn:microsoft.com/office/officeart/2005/8/layout/hProcess9"/>
    <dgm:cxn modelId="{244F5282-A75E-4313-968E-D18ECD6D6412}" type="presParOf" srcId="{73049919-9074-46DC-A7D0-4D68E3890CA2}" destId="{285CF0C8-411E-494D-B0AF-A328B3A4DB36}" srcOrd="9" destOrd="0" presId="urn:microsoft.com/office/officeart/2005/8/layout/hProcess9"/>
    <dgm:cxn modelId="{C165215A-0681-47B3-89C3-282536A81487}" type="presParOf" srcId="{73049919-9074-46DC-A7D0-4D68E3890CA2}" destId="{18ECE4D4-4498-4FAD-B488-63D433DEB869}" srcOrd="10" destOrd="0" presId="urn:microsoft.com/office/officeart/2005/8/layout/hProcess9"/>
    <dgm:cxn modelId="{453B0F7D-482B-42AE-9D7D-F92F3DD61D10}" type="presParOf" srcId="{73049919-9074-46DC-A7D0-4D68E3890CA2}" destId="{24D0B220-E709-4F51-83CD-E49C1F8F2401}" srcOrd="11" destOrd="0" presId="urn:microsoft.com/office/officeart/2005/8/layout/hProcess9"/>
    <dgm:cxn modelId="{8E9C51E4-59E3-4676-9519-474D6E96702E}" type="presParOf" srcId="{73049919-9074-46DC-A7D0-4D68E3890CA2}" destId="{3CB8A83A-7A02-4590-93D2-744C5B918522}" srcOrd="12" destOrd="0" presId="urn:microsoft.com/office/officeart/2005/8/layout/hProcess9"/>
  </dgm:cxnLst>
  <dgm:bg/>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F59845F3-C8E2-4364-BBDA-22A920517AE2}" type="doc">
      <dgm:prSet loTypeId="urn:microsoft.com/office/officeart/2005/8/layout/hProcess9" loCatId="process" qsTypeId="urn:microsoft.com/office/officeart/2005/8/quickstyle/simple1" qsCatId="simple" csTypeId="urn:microsoft.com/office/officeart/2005/8/colors/accent1_2" csCatId="accent1" phldr="1"/>
      <dgm:spPr/>
    </dgm:pt>
    <dgm:pt modelId="{6B3DEDDA-6036-49AB-947D-2A0DC6D035D7}">
      <dgm:prSet phldrT="[Text]" custT="1"/>
      <dgm:spPr>
        <a:xfrm>
          <a:off x="47271" y="409568"/>
          <a:ext cx="850727" cy="514358"/>
        </a:xfrm>
        <a:prstGeom prst="roundRect">
          <a:avLst/>
        </a:prstGeom>
        <a:solidFill>
          <a:srgbClr val="FFC000">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1000" dirty="0">
              <a:solidFill>
                <a:sysClr val="windowText" lastClr="000000"/>
              </a:solidFill>
              <a:latin typeface="Candara" panose="020E0502030303020204" pitchFamily="34" charset="0"/>
              <a:ea typeface="+mn-ea"/>
              <a:cs typeface="+mn-cs"/>
            </a:rPr>
            <a:t>Perioperative period</a:t>
          </a:r>
        </a:p>
      </dgm:t>
    </dgm:pt>
    <dgm:pt modelId="{B302E919-ED21-40EB-A3D5-7003B1680516}" type="parTrans" cxnId="{2839EEA1-82C1-47F4-A471-DF6E77B68CB3}">
      <dgm:prSet/>
      <dgm:spPr/>
      <dgm:t>
        <a:bodyPr/>
        <a:lstStyle/>
        <a:p>
          <a:pPr algn="ctr"/>
          <a:endParaRPr lang="en-AU" sz="1800"/>
        </a:p>
      </dgm:t>
    </dgm:pt>
    <dgm:pt modelId="{36032E1E-6A61-4F3E-8CD5-23414FA89BE5}" type="sibTrans" cxnId="{2839EEA1-82C1-47F4-A471-DF6E77B68CB3}">
      <dgm:prSet/>
      <dgm:spPr/>
      <dgm:t>
        <a:bodyPr/>
        <a:lstStyle/>
        <a:p>
          <a:pPr algn="ctr"/>
          <a:endParaRPr lang="en-AU" sz="1800"/>
        </a:p>
      </dgm:t>
    </dgm:pt>
    <dgm:pt modelId="{2EC8CF6C-E641-48C6-9F1B-A7FDA85F012C}">
      <dgm:prSet phldrT="[Text]" custT="1"/>
      <dgm:spPr>
        <a:xfrm>
          <a:off x="982491" y="419101"/>
          <a:ext cx="907807" cy="514347"/>
        </a:xfrm>
        <a:prstGeom prst="roundRect">
          <a:avLst/>
        </a:prstGeom>
        <a:solidFill>
          <a:srgbClr val="FFC000">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1000" dirty="0">
              <a:solidFill>
                <a:sysClr val="windowText" lastClr="000000"/>
              </a:solidFill>
              <a:latin typeface="Calibri" panose="020F0502020204030204"/>
              <a:ea typeface="+mn-ea"/>
              <a:cs typeface="+mn-cs"/>
            </a:rPr>
            <a:t>Immuno-suppression</a:t>
          </a:r>
        </a:p>
      </dgm:t>
    </dgm:pt>
    <dgm:pt modelId="{71BFD1B0-5F25-47E8-9637-C74710980D1B}" type="parTrans" cxnId="{A1D7701C-9FAF-4E61-AA23-E987C8F43F27}">
      <dgm:prSet/>
      <dgm:spPr/>
      <dgm:t>
        <a:bodyPr/>
        <a:lstStyle/>
        <a:p>
          <a:pPr algn="ctr"/>
          <a:endParaRPr lang="en-AU" sz="1800"/>
        </a:p>
      </dgm:t>
    </dgm:pt>
    <dgm:pt modelId="{B73821F6-EAC4-43AD-99AE-D6D0E7DDEFA4}" type="sibTrans" cxnId="{A1D7701C-9FAF-4E61-AA23-E987C8F43F27}">
      <dgm:prSet/>
      <dgm:spPr/>
      <dgm:t>
        <a:bodyPr/>
        <a:lstStyle/>
        <a:p>
          <a:pPr algn="ctr"/>
          <a:endParaRPr lang="en-AU" sz="1800"/>
        </a:p>
      </dgm:t>
    </dgm:pt>
    <dgm:pt modelId="{DF01302C-E8E2-4F33-98CC-AD2255823968}">
      <dgm:prSet phldrT="[Text]" custT="1"/>
      <dgm:spPr>
        <a:xfrm>
          <a:off x="2021154" y="409576"/>
          <a:ext cx="975697" cy="533397"/>
        </a:xfrm>
        <a:prstGeom prst="roundRect">
          <a:avLst/>
        </a:prstGeom>
        <a:solidFill>
          <a:srgbClr val="FFC000">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1000" dirty="0">
              <a:solidFill>
                <a:sysClr val="windowText" lastClr="000000"/>
              </a:solidFill>
              <a:latin typeface="Calibri" panose="020F0502020204030204"/>
              <a:ea typeface="+mn-ea"/>
              <a:cs typeface="+mn-cs"/>
            </a:rPr>
            <a:t>Infective Prophylaxis</a:t>
          </a:r>
        </a:p>
      </dgm:t>
    </dgm:pt>
    <dgm:pt modelId="{5C65FC5F-0517-4A8D-866D-4103CFAE184D}" type="parTrans" cxnId="{FD10D91E-326E-4824-ABA2-1A7473317A43}">
      <dgm:prSet/>
      <dgm:spPr/>
      <dgm:t>
        <a:bodyPr/>
        <a:lstStyle/>
        <a:p>
          <a:pPr algn="ctr"/>
          <a:endParaRPr lang="en-AU" sz="1800"/>
        </a:p>
      </dgm:t>
    </dgm:pt>
    <dgm:pt modelId="{FCDD9460-0AB4-4E0F-9EC7-653C5C7577B6}" type="sibTrans" cxnId="{FD10D91E-326E-4824-ABA2-1A7473317A43}">
      <dgm:prSet/>
      <dgm:spPr/>
      <dgm:t>
        <a:bodyPr/>
        <a:lstStyle/>
        <a:p>
          <a:pPr algn="ctr"/>
          <a:endParaRPr lang="en-AU" sz="1800"/>
        </a:p>
      </dgm:t>
    </dgm:pt>
    <dgm:pt modelId="{AA7A2749-175F-4266-B3DB-34C8266886C3}">
      <dgm:prSet phldrT="[Text]" custT="1"/>
      <dgm:spPr>
        <a:xfrm>
          <a:off x="3127708" y="409573"/>
          <a:ext cx="873402" cy="533402"/>
        </a:xfrm>
        <a:prstGeom prst="roundRect">
          <a:avLst/>
        </a:prstGeom>
        <a:solidFill>
          <a:srgbClr val="FFC000">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1000" dirty="0">
              <a:solidFill>
                <a:sysClr val="windowText" lastClr="000000"/>
              </a:solidFill>
              <a:latin typeface="Calibri" panose="020F0502020204030204"/>
              <a:ea typeface="+mn-ea"/>
              <a:cs typeface="+mn-cs"/>
            </a:rPr>
            <a:t>CV/metabolic protection</a:t>
          </a:r>
        </a:p>
      </dgm:t>
    </dgm:pt>
    <dgm:pt modelId="{841B2456-9A14-4DB0-8F06-7C9E187FC4D1}" type="parTrans" cxnId="{0F4CEE5D-2E9B-4B9F-8FF3-C1661D5DC184}">
      <dgm:prSet/>
      <dgm:spPr/>
      <dgm:t>
        <a:bodyPr/>
        <a:lstStyle/>
        <a:p>
          <a:pPr algn="ctr"/>
          <a:endParaRPr lang="en-AU" sz="1800"/>
        </a:p>
      </dgm:t>
    </dgm:pt>
    <dgm:pt modelId="{E0EF6C39-4873-40CB-85C0-6DA2F2A4D19E}" type="sibTrans" cxnId="{0F4CEE5D-2E9B-4B9F-8FF3-C1661D5DC184}">
      <dgm:prSet/>
      <dgm:spPr/>
      <dgm:t>
        <a:bodyPr/>
        <a:lstStyle/>
        <a:p>
          <a:pPr algn="ctr"/>
          <a:endParaRPr lang="en-AU" sz="1800"/>
        </a:p>
      </dgm:t>
    </dgm:pt>
    <dgm:pt modelId="{3AEB0EC3-011B-4026-84EF-69B8769766B7}">
      <dgm:prSet phldrT="[Text]" custT="1"/>
      <dgm:spPr>
        <a:xfrm>
          <a:off x="5218342" y="405764"/>
          <a:ext cx="857699" cy="541020"/>
        </a:xfrm>
        <a:prstGeom prst="roundRect">
          <a:avLst/>
        </a:prstGeom>
        <a:solidFill>
          <a:srgbClr val="92D050"/>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1000" dirty="0">
              <a:solidFill>
                <a:sysClr val="windowText" lastClr="000000"/>
              </a:solidFill>
              <a:latin typeface="Calibri" panose="020F0502020204030204"/>
              <a:ea typeface="+mn-ea"/>
              <a:cs typeface="+mn-cs"/>
            </a:rPr>
            <a:t>Graft survival</a:t>
          </a:r>
        </a:p>
      </dgm:t>
    </dgm:pt>
    <dgm:pt modelId="{C02CCE23-F96D-48EF-9787-9F8B32479614}" type="parTrans" cxnId="{37933E0D-3547-4C09-85D0-AE87FADF2F59}">
      <dgm:prSet/>
      <dgm:spPr/>
      <dgm:t>
        <a:bodyPr/>
        <a:lstStyle/>
        <a:p>
          <a:pPr algn="ctr"/>
          <a:endParaRPr lang="en-AU" sz="1800"/>
        </a:p>
      </dgm:t>
    </dgm:pt>
    <dgm:pt modelId="{44D640E1-0308-4EA8-82F2-495CC4737554}" type="sibTrans" cxnId="{37933E0D-3547-4C09-85D0-AE87FADF2F59}">
      <dgm:prSet/>
      <dgm:spPr/>
      <dgm:t>
        <a:bodyPr/>
        <a:lstStyle/>
        <a:p>
          <a:pPr algn="ctr"/>
          <a:endParaRPr lang="en-AU" sz="1800"/>
        </a:p>
      </dgm:t>
    </dgm:pt>
    <dgm:pt modelId="{42DDFDAD-47AC-4BDC-881B-3ACE9BE640A3}">
      <dgm:prSet phldrT="[Text]" custT="1"/>
      <dgm:spPr>
        <a:xfrm>
          <a:off x="4131966" y="421895"/>
          <a:ext cx="955519" cy="508758"/>
        </a:xfrm>
        <a:prstGeom prst="roundRect">
          <a:avLst/>
        </a:prstGeom>
        <a:solidFill>
          <a:srgbClr val="FFC000">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1000" dirty="0">
              <a:solidFill>
                <a:sysClr val="windowText" lastClr="000000"/>
              </a:solidFill>
              <a:latin typeface="Calibri" panose="020F0502020204030204"/>
              <a:ea typeface="+mn-ea"/>
              <a:cs typeface="+mn-cs"/>
            </a:rPr>
            <a:t>Remote clinic support</a:t>
          </a:r>
        </a:p>
      </dgm:t>
    </dgm:pt>
    <dgm:pt modelId="{A0F2DD7D-D343-4BCF-99D7-7A160560CC10}" type="parTrans" cxnId="{5BB09E81-4714-424D-B8FE-7EA9ECF8689F}">
      <dgm:prSet/>
      <dgm:spPr/>
      <dgm:t>
        <a:bodyPr/>
        <a:lstStyle/>
        <a:p>
          <a:pPr algn="ctr"/>
          <a:endParaRPr lang="en-AU" sz="1800"/>
        </a:p>
      </dgm:t>
    </dgm:pt>
    <dgm:pt modelId="{700B00D8-2A37-4E34-9C07-E1B8E0EC9342}" type="sibTrans" cxnId="{5BB09E81-4714-424D-B8FE-7EA9ECF8689F}">
      <dgm:prSet/>
      <dgm:spPr/>
      <dgm:t>
        <a:bodyPr/>
        <a:lstStyle/>
        <a:p>
          <a:pPr algn="ctr"/>
          <a:endParaRPr lang="en-AU" sz="1800"/>
        </a:p>
      </dgm:t>
    </dgm:pt>
    <dgm:pt modelId="{AC977344-2A26-456A-9B6C-3C9505E5A4B6}" type="pres">
      <dgm:prSet presAssocID="{F59845F3-C8E2-4364-BBDA-22A920517AE2}" presName="CompostProcess" presStyleCnt="0">
        <dgm:presLayoutVars>
          <dgm:dir/>
          <dgm:resizeHandles val="exact"/>
        </dgm:presLayoutVars>
      </dgm:prSet>
      <dgm:spPr/>
    </dgm:pt>
    <dgm:pt modelId="{6A85A511-B596-4DA9-9126-B0A0CCE9F2ED}" type="pres">
      <dgm:prSet presAssocID="{F59845F3-C8E2-4364-BBDA-22A920517AE2}" presName="arrow" presStyleLbl="bgShp" presStyleIdx="0" presStyleCnt="1" custScaleX="117647" custLinFactNeighborX="-1106" custLinFactNeighborY="-704"/>
      <dgm:spPr>
        <a:xfrm>
          <a:off x="0" y="0"/>
          <a:ext cx="6076946" cy="1352550"/>
        </a:xfrm>
        <a:prstGeom prst="rightArrow">
          <a:avLst/>
        </a:prstGeom>
        <a:solidFill>
          <a:srgbClr val="44546A">
            <a:lumMod val="50000"/>
          </a:srgbClr>
        </a:solidFill>
        <a:ln>
          <a:noFill/>
        </a:ln>
        <a:effectLst/>
      </dgm:spPr>
    </dgm:pt>
    <dgm:pt modelId="{73049919-9074-46DC-A7D0-4D68E3890CA2}" type="pres">
      <dgm:prSet presAssocID="{F59845F3-C8E2-4364-BBDA-22A920517AE2}" presName="linearProcess" presStyleCnt="0"/>
      <dgm:spPr/>
    </dgm:pt>
    <dgm:pt modelId="{A9449DB4-B865-43CF-ACF3-A396AC545DFC}" type="pres">
      <dgm:prSet presAssocID="{6B3DEDDA-6036-49AB-947D-2A0DC6D035D7}" presName="textNode" presStyleLbl="node1" presStyleIdx="0" presStyleCnt="6" custScaleX="108354" custScaleY="95072" custLinFactNeighborX="35431" custLinFactNeighborY="-1761">
        <dgm:presLayoutVars>
          <dgm:bulletEnabled val="1"/>
        </dgm:presLayoutVars>
      </dgm:prSet>
      <dgm:spPr>
        <a:prstGeom prst="roundRect">
          <a:avLst/>
        </a:prstGeom>
      </dgm:spPr>
    </dgm:pt>
    <dgm:pt modelId="{68945CA5-2945-4244-B0DA-14BFB97BBA8A}" type="pres">
      <dgm:prSet presAssocID="{36032E1E-6A61-4F3E-8CD5-23414FA89BE5}" presName="sibTrans" presStyleCnt="0"/>
      <dgm:spPr/>
    </dgm:pt>
    <dgm:pt modelId="{D34096FE-DAE5-4371-B966-C2652ADD22B8}" type="pres">
      <dgm:prSet presAssocID="{2EC8CF6C-E641-48C6-9F1B-A7FDA85F012C}" presName="textNode" presStyleLbl="node1" presStyleIdx="1" presStyleCnt="6" custScaleX="115624" custScaleY="95070">
        <dgm:presLayoutVars>
          <dgm:bulletEnabled val="1"/>
        </dgm:presLayoutVars>
      </dgm:prSet>
      <dgm:spPr>
        <a:prstGeom prst="roundRect">
          <a:avLst/>
        </a:prstGeom>
      </dgm:spPr>
    </dgm:pt>
    <dgm:pt modelId="{F7E45985-7017-41DC-BAB8-6EFF23C232CC}" type="pres">
      <dgm:prSet presAssocID="{B73821F6-EAC4-43AD-99AE-D6D0E7DDEFA4}" presName="sibTrans" presStyleCnt="0"/>
      <dgm:spPr/>
    </dgm:pt>
    <dgm:pt modelId="{528D6B51-A5A3-4C38-876A-F0F94366DC2E}" type="pres">
      <dgm:prSet presAssocID="{DF01302C-E8E2-4F33-98CC-AD2255823968}" presName="textNode" presStyleLbl="node1" presStyleIdx="2" presStyleCnt="6" custScaleX="124271" custScaleY="98591">
        <dgm:presLayoutVars>
          <dgm:bulletEnabled val="1"/>
        </dgm:presLayoutVars>
      </dgm:prSet>
      <dgm:spPr>
        <a:prstGeom prst="roundRect">
          <a:avLst/>
        </a:prstGeom>
      </dgm:spPr>
    </dgm:pt>
    <dgm:pt modelId="{F00DD18F-11CF-47A5-BC8F-6131E1443019}" type="pres">
      <dgm:prSet presAssocID="{FCDD9460-0AB4-4E0F-9EC7-653C5C7577B6}" presName="sibTrans" presStyleCnt="0"/>
      <dgm:spPr/>
    </dgm:pt>
    <dgm:pt modelId="{D9259C89-04DA-4439-B6CF-84ECB27DDE07}" type="pres">
      <dgm:prSet presAssocID="{AA7A2749-175F-4266-B3DB-34C8266886C3}" presName="textNode" presStyleLbl="node1" presStyleIdx="3" presStyleCnt="6" custScaleX="111242" custScaleY="98592">
        <dgm:presLayoutVars>
          <dgm:bulletEnabled val="1"/>
        </dgm:presLayoutVars>
      </dgm:prSet>
      <dgm:spPr>
        <a:prstGeom prst="roundRect">
          <a:avLst/>
        </a:prstGeom>
      </dgm:spPr>
    </dgm:pt>
    <dgm:pt modelId="{E2F6FAFA-5FB3-4CCE-BCAB-C546CE4569AC}" type="pres">
      <dgm:prSet presAssocID="{E0EF6C39-4873-40CB-85C0-6DA2F2A4D19E}" presName="sibTrans" presStyleCnt="0"/>
      <dgm:spPr/>
    </dgm:pt>
    <dgm:pt modelId="{4152C039-E4F7-4CE5-B939-A36843C9CC95}" type="pres">
      <dgm:prSet presAssocID="{42DDFDAD-47AC-4BDC-881B-3ACE9BE640A3}" presName="textNode" presStyleLbl="node1" presStyleIdx="4" presStyleCnt="6" custScaleX="121701" custScaleY="94037">
        <dgm:presLayoutVars>
          <dgm:bulletEnabled val="1"/>
        </dgm:presLayoutVars>
      </dgm:prSet>
      <dgm:spPr>
        <a:prstGeom prst="roundRect">
          <a:avLst/>
        </a:prstGeom>
      </dgm:spPr>
    </dgm:pt>
    <dgm:pt modelId="{285CF0C8-411E-494D-B0AF-A328B3A4DB36}" type="pres">
      <dgm:prSet presAssocID="{700B00D8-2A37-4E34-9C07-E1B8E0EC9342}" presName="sibTrans" presStyleCnt="0"/>
      <dgm:spPr/>
    </dgm:pt>
    <dgm:pt modelId="{18ECE4D4-4498-4FAD-B488-63D433DEB869}" type="pres">
      <dgm:prSet presAssocID="{3AEB0EC3-011B-4026-84EF-69B8769766B7}" presName="textNode" presStyleLbl="node1" presStyleIdx="5" presStyleCnt="6" custScaleX="109242">
        <dgm:presLayoutVars>
          <dgm:bulletEnabled val="1"/>
        </dgm:presLayoutVars>
      </dgm:prSet>
      <dgm:spPr>
        <a:prstGeom prst="roundRect">
          <a:avLst/>
        </a:prstGeom>
      </dgm:spPr>
    </dgm:pt>
  </dgm:ptLst>
  <dgm:cxnLst>
    <dgm:cxn modelId="{37933E0D-3547-4C09-85D0-AE87FADF2F59}" srcId="{F59845F3-C8E2-4364-BBDA-22A920517AE2}" destId="{3AEB0EC3-011B-4026-84EF-69B8769766B7}" srcOrd="5" destOrd="0" parTransId="{C02CCE23-F96D-48EF-9787-9F8B32479614}" sibTransId="{44D640E1-0308-4EA8-82F2-495CC4737554}"/>
    <dgm:cxn modelId="{A1D7701C-9FAF-4E61-AA23-E987C8F43F27}" srcId="{F59845F3-C8E2-4364-BBDA-22A920517AE2}" destId="{2EC8CF6C-E641-48C6-9F1B-A7FDA85F012C}" srcOrd="1" destOrd="0" parTransId="{71BFD1B0-5F25-47E8-9637-C74710980D1B}" sibTransId="{B73821F6-EAC4-43AD-99AE-D6D0E7DDEFA4}"/>
    <dgm:cxn modelId="{FD10D91E-326E-4824-ABA2-1A7473317A43}" srcId="{F59845F3-C8E2-4364-BBDA-22A920517AE2}" destId="{DF01302C-E8E2-4F33-98CC-AD2255823968}" srcOrd="2" destOrd="0" parTransId="{5C65FC5F-0517-4A8D-866D-4103CFAE184D}" sibTransId="{FCDD9460-0AB4-4E0F-9EC7-653C5C7577B6}"/>
    <dgm:cxn modelId="{F1075927-868E-4B20-9F37-3DA5A4B5AFF1}" type="presOf" srcId="{42DDFDAD-47AC-4BDC-881B-3ACE9BE640A3}" destId="{4152C039-E4F7-4CE5-B939-A36843C9CC95}" srcOrd="0" destOrd="0" presId="urn:microsoft.com/office/officeart/2005/8/layout/hProcess9"/>
    <dgm:cxn modelId="{7E1AE72C-5C60-4BDA-A7CC-848AF4FF54F6}" type="presOf" srcId="{AA7A2749-175F-4266-B3DB-34C8266886C3}" destId="{D9259C89-04DA-4439-B6CF-84ECB27DDE07}" srcOrd="0" destOrd="0" presId="urn:microsoft.com/office/officeart/2005/8/layout/hProcess9"/>
    <dgm:cxn modelId="{C87A3D32-0C48-4AB4-BA2A-090B3AB40BB6}" type="presOf" srcId="{2EC8CF6C-E641-48C6-9F1B-A7FDA85F012C}" destId="{D34096FE-DAE5-4371-B966-C2652ADD22B8}" srcOrd="0" destOrd="0" presId="urn:microsoft.com/office/officeart/2005/8/layout/hProcess9"/>
    <dgm:cxn modelId="{0F4CEE5D-2E9B-4B9F-8FF3-C1661D5DC184}" srcId="{F59845F3-C8E2-4364-BBDA-22A920517AE2}" destId="{AA7A2749-175F-4266-B3DB-34C8266886C3}" srcOrd="3" destOrd="0" parTransId="{841B2456-9A14-4DB0-8F06-7C9E187FC4D1}" sibTransId="{E0EF6C39-4873-40CB-85C0-6DA2F2A4D19E}"/>
    <dgm:cxn modelId="{5BB09E81-4714-424D-B8FE-7EA9ECF8689F}" srcId="{F59845F3-C8E2-4364-BBDA-22A920517AE2}" destId="{42DDFDAD-47AC-4BDC-881B-3ACE9BE640A3}" srcOrd="4" destOrd="0" parTransId="{A0F2DD7D-D343-4BCF-99D7-7A160560CC10}" sibTransId="{700B00D8-2A37-4E34-9C07-E1B8E0EC9342}"/>
    <dgm:cxn modelId="{2839EEA1-82C1-47F4-A471-DF6E77B68CB3}" srcId="{F59845F3-C8E2-4364-BBDA-22A920517AE2}" destId="{6B3DEDDA-6036-49AB-947D-2A0DC6D035D7}" srcOrd="0" destOrd="0" parTransId="{B302E919-ED21-40EB-A3D5-7003B1680516}" sibTransId="{36032E1E-6A61-4F3E-8CD5-23414FA89BE5}"/>
    <dgm:cxn modelId="{BC6CDEB7-503A-4B80-8AFE-E12242333B03}" type="presOf" srcId="{3AEB0EC3-011B-4026-84EF-69B8769766B7}" destId="{18ECE4D4-4498-4FAD-B488-63D433DEB869}" srcOrd="0" destOrd="0" presId="urn:microsoft.com/office/officeart/2005/8/layout/hProcess9"/>
    <dgm:cxn modelId="{B16453B9-9074-4849-BD35-B5016B8CEA37}" type="presOf" srcId="{6B3DEDDA-6036-49AB-947D-2A0DC6D035D7}" destId="{A9449DB4-B865-43CF-ACF3-A396AC545DFC}" srcOrd="0" destOrd="0" presId="urn:microsoft.com/office/officeart/2005/8/layout/hProcess9"/>
    <dgm:cxn modelId="{905053F4-47B9-440C-9FE9-5D65509A2EF1}" type="presOf" srcId="{F59845F3-C8E2-4364-BBDA-22A920517AE2}" destId="{AC977344-2A26-456A-9B6C-3C9505E5A4B6}" srcOrd="0" destOrd="0" presId="urn:microsoft.com/office/officeart/2005/8/layout/hProcess9"/>
    <dgm:cxn modelId="{F16181FC-70C5-4B8F-A328-31243BEB90ED}" type="presOf" srcId="{DF01302C-E8E2-4F33-98CC-AD2255823968}" destId="{528D6B51-A5A3-4C38-876A-F0F94366DC2E}" srcOrd="0" destOrd="0" presId="urn:microsoft.com/office/officeart/2005/8/layout/hProcess9"/>
    <dgm:cxn modelId="{4E0FE50A-159F-4E84-A7C2-24F2A9921452}" type="presParOf" srcId="{AC977344-2A26-456A-9B6C-3C9505E5A4B6}" destId="{6A85A511-B596-4DA9-9126-B0A0CCE9F2ED}" srcOrd="0" destOrd="0" presId="urn:microsoft.com/office/officeart/2005/8/layout/hProcess9"/>
    <dgm:cxn modelId="{8175BEBA-7061-4448-AAAB-5E93302FC293}" type="presParOf" srcId="{AC977344-2A26-456A-9B6C-3C9505E5A4B6}" destId="{73049919-9074-46DC-A7D0-4D68E3890CA2}" srcOrd="1" destOrd="0" presId="urn:microsoft.com/office/officeart/2005/8/layout/hProcess9"/>
    <dgm:cxn modelId="{C06B1CCA-FB25-4B94-BE37-D5D09F39FB3E}" type="presParOf" srcId="{73049919-9074-46DC-A7D0-4D68E3890CA2}" destId="{A9449DB4-B865-43CF-ACF3-A396AC545DFC}" srcOrd="0" destOrd="0" presId="urn:microsoft.com/office/officeart/2005/8/layout/hProcess9"/>
    <dgm:cxn modelId="{06E8205F-F211-4FB1-80EE-9D47E2B75D4C}" type="presParOf" srcId="{73049919-9074-46DC-A7D0-4D68E3890CA2}" destId="{68945CA5-2945-4244-B0DA-14BFB97BBA8A}" srcOrd="1" destOrd="0" presId="urn:microsoft.com/office/officeart/2005/8/layout/hProcess9"/>
    <dgm:cxn modelId="{F7B27C25-DFAC-4B1A-BF65-DF1F047A343D}" type="presParOf" srcId="{73049919-9074-46DC-A7D0-4D68E3890CA2}" destId="{D34096FE-DAE5-4371-B966-C2652ADD22B8}" srcOrd="2" destOrd="0" presId="urn:microsoft.com/office/officeart/2005/8/layout/hProcess9"/>
    <dgm:cxn modelId="{77E0E236-C4A1-49B9-B98F-F00DF2B0C082}" type="presParOf" srcId="{73049919-9074-46DC-A7D0-4D68E3890CA2}" destId="{F7E45985-7017-41DC-BAB8-6EFF23C232CC}" srcOrd="3" destOrd="0" presId="urn:microsoft.com/office/officeart/2005/8/layout/hProcess9"/>
    <dgm:cxn modelId="{F2126ED5-F872-467C-AC2E-01C7444BB966}" type="presParOf" srcId="{73049919-9074-46DC-A7D0-4D68E3890CA2}" destId="{528D6B51-A5A3-4C38-876A-F0F94366DC2E}" srcOrd="4" destOrd="0" presId="urn:microsoft.com/office/officeart/2005/8/layout/hProcess9"/>
    <dgm:cxn modelId="{887A9BA5-5BA5-463C-8F38-8964B47B0262}" type="presParOf" srcId="{73049919-9074-46DC-A7D0-4D68E3890CA2}" destId="{F00DD18F-11CF-47A5-BC8F-6131E1443019}" srcOrd="5" destOrd="0" presId="urn:microsoft.com/office/officeart/2005/8/layout/hProcess9"/>
    <dgm:cxn modelId="{2713FAE3-CC25-4220-B5EF-DCDFDE9B079D}" type="presParOf" srcId="{73049919-9074-46DC-A7D0-4D68E3890CA2}" destId="{D9259C89-04DA-4439-B6CF-84ECB27DDE07}" srcOrd="6" destOrd="0" presId="urn:microsoft.com/office/officeart/2005/8/layout/hProcess9"/>
    <dgm:cxn modelId="{05D710F4-CC45-4AB0-B1F4-00DF1AF1D3E4}" type="presParOf" srcId="{73049919-9074-46DC-A7D0-4D68E3890CA2}" destId="{E2F6FAFA-5FB3-4CCE-BCAB-C546CE4569AC}" srcOrd="7" destOrd="0" presId="urn:microsoft.com/office/officeart/2005/8/layout/hProcess9"/>
    <dgm:cxn modelId="{1B445D61-5902-4F91-A7AC-3AE61BD440AD}" type="presParOf" srcId="{73049919-9074-46DC-A7D0-4D68E3890CA2}" destId="{4152C039-E4F7-4CE5-B939-A36843C9CC95}" srcOrd="8" destOrd="0" presId="urn:microsoft.com/office/officeart/2005/8/layout/hProcess9"/>
    <dgm:cxn modelId="{9518D94E-8E83-431A-AB55-2EEA2538B953}" type="presParOf" srcId="{73049919-9074-46DC-A7D0-4D68E3890CA2}" destId="{285CF0C8-411E-494D-B0AF-A328B3A4DB36}" srcOrd="9" destOrd="0" presId="urn:microsoft.com/office/officeart/2005/8/layout/hProcess9"/>
    <dgm:cxn modelId="{0911F67D-C193-4FF5-9405-BDBEE01A87D3}" type="presParOf" srcId="{73049919-9074-46DC-A7D0-4D68E3890CA2}" destId="{18ECE4D4-4498-4FAD-B488-63D433DEB869}" srcOrd="10" destOrd="0" presId="urn:microsoft.com/office/officeart/2005/8/layout/hProcess9"/>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20AD42F-1BDE-46A5-A7F4-36D6AB1F0AAF}"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n-AU"/>
        </a:p>
      </dgm:t>
    </dgm:pt>
    <dgm:pt modelId="{44FE48E2-2584-4AE2-A772-C4AA70C16ACC}">
      <dgm:prSet phldrT="[Text]" custT="1"/>
      <dgm:spPr>
        <a:xfrm>
          <a:off x="1438" y="389"/>
          <a:ext cx="1226987" cy="1010982"/>
        </a:xfrm>
        <a:prstGeom prst="roundRect">
          <a:avLst/>
        </a:prstGeom>
        <a:solidFill>
          <a:srgbClr val="70AD47"/>
        </a:solidFill>
        <a:ln w="12700" cap="flat" cmpd="sng" algn="ctr">
          <a:solidFill>
            <a:srgbClr val="E7E6E6">
              <a:hueOff val="0"/>
              <a:satOff val="0"/>
              <a:lumOff val="0"/>
              <a:alphaOff val="0"/>
            </a:srgbClr>
          </a:solidFill>
          <a:prstDash val="solid"/>
          <a:miter lim="800000"/>
        </a:ln>
        <a:effectLst/>
      </dgm:spPr>
      <dgm:t>
        <a:bodyPr/>
        <a:lstStyle/>
        <a:p>
          <a:pPr algn="ctr">
            <a:buNone/>
          </a:pPr>
          <a:r>
            <a:rPr lang="en-AU" sz="1600" b="1">
              <a:solidFill>
                <a:sysClr val="windowText" lastClr="000000"/>
              </a:solidFill>
              <a:latin typeface="Calibri"/>
              <a:ea typeface="+mn-ea"/>
              <a:cs typeface="+mn-cs"/>
            </a:rPr>
            <a:t>Eligibility</a:t>
          </a:r>
          <a:r>
            <a:rPr lang="en-AU" sz="1600">
              <a:solidFill>
                <a:sysClr val="window" lastClr="FFFFFF"/>
              </a:solidFill>
              <a:latin typeface="Calibri"/>
              <a:ea typeface="+mn-ea"/>
              <a:cs typeface="+mn-cs"/>
            </a:rPr>
            <a:t> </a:t>
          </a:r>
          <a:endParaRPr lang="en-AU" sz="2400">
            <a:solidFill>
              <a:sysClr val="window" lastClr="FFFFFF"/>
            </a:solidFill>
            <a:latin typeface="Calibri"/>
            <a:ea typeface="+mn-ea"/>
            <a:cs typeface="+mn-cs"/>
          </a:endParaRPr>
        </a:p>
      </dgm:t>
    </dgm:pt>
    <dgm:pt modelId="{71C07992-CA0C-4E8D-9147-DB4C399FDA17}" type="parTrans" cxnId="{3B324C27-ADFD-41DC-834B-BEE6A597330A}">
      <dgm:prSet/>
      <dgm:spPr/>
      <dgm:t>
        <a:bodyPr/>
        <a:lstStyle/>
        <a:p>
          <a:pPr algn="l"/>
          <a:endParaRPr lang="en-AU"/>
        </a:p>
      </dgm:t>
    </dgm:pt>
    <dgm:pt modelId="{39723259-48E8-4109-A0BE-1FE3472BB970}" type="sibTrans" cxnId="{3B324C27-ADFD-41DC-834B-BEE6A597330A}">
      <dgm:prSet/>
      <dgm:spPr/>
      <dgm:t>
        <a:bodyPr/>
        <a:lstStyle/>
        <a:p>
          <a:pPr algn="l"/>
          <a:endParaRPr lang="en-AU"/>
        </a:p>
      </dgm:t>
    </dgm:pt>
    <dgm:pt modelId="{48E24D18-44B3-47C2-BC74-A875250061C5}">
      <dgm:prSet phldrT="[Text]" custT="1"/>
      <dgm:spPr>
        <a:xfrm rot="5400000">
          <a:off x="3132978" y="-1744619"/>
          <a:ext cx="691897" cy="4501001"/>
        </a:xfrm>
        <a:prstGeom prst="round2SameRect">
          <a:avLst/>
        </a:prstGeom>
        <a:solidFill>
          <a:srgbClr val="70AD47">
            <a:lumMod val="20000"/>
            <a:lumOff val="80000"/>
            <a:alpha val="90000"/>
          </a:srgbClr>
        </a:solidFill>
        <a:ln w="12700" cap="flat" cmpd="sng" algn="ctr">
          <a:solidFill>
            <a:srgbClr val="44546A">
              <a:alpha val="90000"/>
              <a:tint val="40000"/>
              <a:hueOff val="0"/>
              <a:satOff val="0"/>
              <a:lumOff val="0"/>
              <a:alphaOff val="0"/>
            </a:srgbClr>
          </a:solidFill>
          <a:prstDash val="solid"/>
          <a:miter lim="800000"/>
        </a:ln>
        <a:effectLst/>
      </dgm:spPr>
      <dgm:t>
        <a:bodyPr/>
        <a:lstStyle/>
        <a:p>
          <a:pPr algn="l">
            <a:buChar char="•"/>
          </a:pPr>
          <a:r>
            <a:rPr lang="en-AU" sz="1050">
              <a:solidFill>
                <a:sysClr val="windowText" lastClr="000000">
                  <a:hueOff val="0"/>
                  <a:satOff val="0"/>
                  <a:lumOff val="0"/>
                  <a:alphaOff val="0"/>
                </a:sysClr>
              </a:solidFill>
              <a:latin typeface="Calibri"/>
              <a:ea typeface="+mn-ea"/>
              <a:cs typeface="+mn-cs"/>
            </a:rPr>
            <a:t>Yes</a:t>
          </a:r>
        </a:p>
      </dgm:t>
    </dgm:pt>
    <dgm:pt modelId="{2169766B-E7F6-4125-A927-EC440E75A726}" type="parTrans" cxnId="{C4E629E5-D636-4929-BC11-C1648D6C041C}">
      <dgm:prSet/>
      <dgm:spPr/>
      <dgm:t>
        <a:bodyPr/>
        <a:lstStyle/>
        <a:p>
          <a:pPr algn="l"/>
          <a:endParaRPr lang="en-AU"/>
        </a:p>
      </dgm:t>
    </dgm:pt>
    <dgm:pt modelId="{06E77159-BB17-46D5-8D77-9F1535BC0F5D}" type="sibTrans" cxnId="{C4E629E5-D636-4929-BC11-C1648D6C041C}">
      <dgm:prSet/>
      <dgm:spPr/>
      <dgm:t>
        <a:bodyPr/>
        <a:lstStyle/>
        <a:p>
          <a:pPr algn="l"/>
          <a:endParaRPr lang="en-AU"/>
        </a:p>
      </dgm:t>
    </dgm:pt>
    <dgm:pt modelId="{5E181DE9-DB28-4DB0-92DA-2AED9857A5DA}">
      <dgm:prSet phldrT="[Text]" custT="1"/>
      <dgm:spPr>
        <a:xfrm rot="5400000">
          <a:off x="3132978" y="-1744619"/>
          <a:ext cx="691897" cy="4501001"/>
        </a:xfrm>
        <a:prstGeom prst="round2SameRect">
          <a:avLst/>
        </a:prstGeom>
        <a:solidFill>
          <a:srgbClr val="70AD47">
            <a:lumMod val="20000"/>
            <a:lumOff val="80000"/>
            <a:alpha val="90000"/>
          </a:srgbClr>
        </a:solidFill>
        <a:ln w="12700" cap="flat" cmpd="sng" algn="ctr">
          <a:solidFill>
            <a:srgbClr val="44546A">
              <a:alpha val="90000"/>
              <a:tint val="40000"/>
              <a:hueOff val="0"/>
              <a:satOff val="0"/>
              <a:lumOff val="0"/>
              <a:alphaOff val="0"/>
            </a:srgbClr>
          </a:solidFill>
          <a:prstDash val="solid"/>
          <a:miter lim="800000"/>
        </a:ln>
        <a:effectLst/>
      </dgm:spPr>
      <dgm:t>
        <a:bodyPr/>
        <a:lstStyle/>
        <a:p>
          <a:pPr algn="l">
            <a:buChar char="•"/>
          </a:pPr>
          <a:r>
            <a:rPr lang="en-AU" sz="1050">
              <a:solidFill>
                <a:sysClr val="windowText" lastClr="000000">
                  <a:hueOff val="0"/>
                  <a:satOff val="0"/>
                  <a:lumOff val="0"/>
                  <a:alphaOff val="0"/>
                </a:sysClr>
              </a:solidFill>
              <a:latin typeface="Calibri"/>
              <a:ea typeface="+mn-ea"/>
              <a:cs typeface="+mn-cs"/>
            </a:rPr>
            <a:t>Never (record reasons, i.e. age, severe comorbidities)</a:t>
          </a:r>
        </a:p>
      </dgm:t>
    </dgm:pt>
    <dgm:pt modelId="{809CC51A-579B-4CE2-8E4B-246F2C22CA23}" type="parTrans" cxnId="{8A00DEA1-528F-4FB8-81C6-2EDFDD3FB9E7}">
      <dgm:prSet/>
      <dgm:spPr/>
      <dgm:t>
        <a:bodyPr/>
        <a:lstStyle/>
        <a:p>
          <a:pPr algn="l"/>
          <a:endParaRPr lang="en-AU"/>
        </a:p>
      </dgm:t>
    </dgm:pt>
    <dgm:pt modelId="{59FCCB49-841D-4419-9407-6D5C6558D912}" type="sibTrans" cxnId="{8A00DEA1-528F-4FB8-81C6-2EDFDD3FB9E7}">
      <dgm:prSet/>
      <dgm:spPr/>
      <dgm:t>
        <a:bodyPr/>
        <a:lstStyle/>
        <a:p>
          <a:pPr algn="l"/>
          <a:endParaRPr lang="en-AU"/>
        </a:p>
      </dgm:t>
    </dgm:pt>
    <dgm:pt modelId="{5ABB14B2-93B2-402F-BBCF-BF42010F860E}">
      <dgm:prSet phldrT="[Text]" custT="1"/>
      <dgm:spPr>
        <a:xfrm>
          <a:off x="1438" y="1070378"/>
          <a:ext cx="1208962" cy="1031339"/>
        </a:xfrm>
        <a:prstGeom prst="roundRect">
          <a:avLst/>
        </a:prstGeom>
        <a:solidFill>
          <a:srgbClr val="70AD47"/>
        </a:solidFill>
        <a:ln w="12700" cap="flat" cmpd="sng" algn="ctr">
          <a:solidFill>
            <a:srgbClr val="E7E6E6">
              <a:hueOff val="0"/>
              <a:satOff val="0"/>
              <a:lumOff val="0"/>
              <a:alphaOff val="0"/>
            </a:srgbClr>
          </a:solidFill>
          <a:prstDash val="solid"/>
          <a:miter lim="800000"/>
        </a:ln>
        <a:effectLst/>
      </dgm:spPr>
      <dgm:t>
        <a:bodyPr/>
        <a:lstStyle/>
        <a:p>
          <a:pPr algn="ctr">
            <a:buNone/>
          </a:pPr>
          <a:r>
            <a:rPr lang="en-AU" sz="1600" b="1">
              <a:solidFill>
                <a:sysClr val="windowText" lastClr="000000"/>
              </a:solidFill>
              <a:latin typeface="Calibri"/>
              <a:ea typeface="+mn-ea"/>
              <a:cs typeface="+mn-cs"/>
            </a:rPr>
            <a:t>Workup</a:t>
          </a:r>
        </a:p>
      </dgm:t>
    </dgm:pt>
    <dgm:pt modelId="{0DA31975-E83F-4B6F-9239-6472D3C19CC7}" type="parTrans" cxnId="{024CBFA3-3A7D-4B28-8FE9-C960BDF40927}">
      <dgm:prSet/>
      <dgm:spPr/>
      <dgm:t>
        <a:bodyPr/>
        <a:lstStyle/>
        <a:p>
          <a:pPr algn="l"/>
          <a:endParaRPr lang="en-AU"/>
        </a:p>
      </dgm:t>
    </dgm:pt>
    <dgm:pt modelId="{F2DBF75D-86EC-491A-B9E0-9DCEB3BA0D32}" type="sibTrans" cxnId="{024CBFA3-3A7D-4B28-8FE9-C960BDF40927}">
      <dgm:prSet/>
      <dgm:spPr/>
      <dgm:t>
        <a:bodyPr/>
        <a:lstStyle/>
        <a:p>
          <a:pPr algn="l"/>
          <a:endParaRPr lang="en-AU"/>
        </a:p>
      </dgm:t>
    </dgm:pt>
    <dgm:pt modelId="{DEFC58C2-57BD-4556-A088-F8625DB7D288}">
      <dgm:prSet phldrT="[Text]" custT="1"/>
      <dgm:spPr>
        <a:xfrm rot="5400000">
          <a:off x="2988623" y="-672617"/>
          <a:ext cx="968441" cy="4517330"/>
        </a:xfrm>
        <a:prstGeom prst="round2SameRect">
          <a:avLst/>
        </a:prstGeom>
        <a:solidFill>
          <a:srgbClr val="70AD47">
            <a:lumMod val="20000"/>
            <a:lumOff val="80000"/>
            <a:alpha val="90000"/>
          </a:srgbClr>
        </a:solidFill>
        <a:ln w="12700" cap="flat" cmpd="sng" algn="ctr">
          <a:solidFill>
            <a:srgbClr val="44546A">
              <a:alpha val="90000"/>
              <a:tint val="40000"/>
              <a:hueOff val="0"/>
              <a:satOff val="0"/>
              <a:lumOff val="0"/>
              <a:alphaOff val="0"/>
            </a:srgbClr>
          </a:solidFill>
          <a:prstDash val="solid"/>
          <a:miter lim="800000"/>
        </a:ln>
        <a:effectLst/>
      </dgm:spPr>
      <dgm:t>
        <a:bodyPr/>
        <a:lstStyle/>
        <a:p>
          <a:pPr algn="l">
            <a:buChar char="•"/>
          </a:pPr>
          <a:r>
            <a:rPr lang="en-AU" sz="1050">
              <a:solidFill>
                <a:sysClr val="windowText" lastClr="000000">
                  <a:hueOff val="0"/>
                  <a:satOff val="0"/>
                  <a:lumOff val="0"/>
                  <a:alphaOff val="0"/>
                </a:sysClr>
              </a:solidFill>
              <a:latin typeface="Calibri"/>
              <a:ea typeface="+mn-ea"/>
              <a:cs typeface="+mn-cs"/>
            </a:rPr>
            <a:t>Workup completed and successful - progression to pre-transplant assessment </a:t>
          </a:r>
        </a:p>
      </dgm:t>
    </dgm:pt>
    <dgm:pt modelId="{755B662C-7D2C-4631-9F10-8732C6CFD420}" type="parTrans" cxnId="{693F9AE6-8227-498D-8A87-A24E6E57FEA3}">
      <dgm:prSet/>
      <dgm:spPr/>
      <dgm:t>
        <a:bodyPr/>
        <a:lstStyle/>
        <a:p>
          <a:pPr algn="l"/>
          <a:endParaRPr lang="en-AU"/>
        </a:p>
      </dgm:t>
    </dgm:pt>
    <dgm:pt modelId="{4446AFD9-03EF-4208-84F4-BD2CD24B9F5C}" type="sibTrans" cxnId="{693F9AE6-8227-498D-8A87-A24E6E57FEA3}">
      <dgm:prSet/>
      <dgm:spPr/>
      <dgm:t>
        <a:bodyPr/>
        <a:lstStyle/>
        <a:p>
          <a:pPr algn="l"/>
          <a:endParaRPr lang="en-AU"/>
        </a:p>
      </dgm:t>
    </dgm:pt>
    <dgm:pt modelId="{10B9F4EA-5722-40D7-AF50-B3E428F38F87}">
      <dgm:prSet phldrT="[Text]" custT="1"/>
      <dgm:spPr>
        <a:xfrm rot="5400000">
          <a:off x="2988623" y="-672617"/>
          <a:ext cx="968441" cy="4517330"/>
        </a:xfrm>
        <a:prstGeom prst="round2SameRect">
          <a:avLst/>
        </a:prstGeom>
        <a:solidFill>
          <a:srgbClr val="70AD47">
            <a:lumMod val="20000"/>
            <a:lumOff val="80000"/>
            <a:alpha val="90000"/>
          </a:srgbClr>
        </a:solidFill>
        <a:ln w="12700" cap="flat" cmpd="sng" algn="ctr">
          <a:solidFill>
            <a:srgbClr val="44546A">
              <a:alpha val="90000"/>
              <a:tint val="40000"/>
              <a:hueOff val="0"/>
              <a:satOff val="0"/>
              <a:lumOff val="0"/>
              <a:alphaOff val="0"/>
            </a:srgbClr>
          </a:solidFill>
          <a:prstDash val="solid"/>
          <a:miter lim="800000"/>
        </a:ln>
        <a:effectLst/>
      </dgm:spPr>
      <dgm:t>
        <a:bodyPr/>
        <a:lstStyle/>
        <a:p>
          <a:pPr algn="l">
            <a:buChar char="•"/>
          </a:pPr>
          <a:r>
            <a:rPr lang="en-AU" sz="1050">
              <a:solidFill>
                <a:sysClr val="windowText" lastClr="000000">
                  <a:hueOff val="0"/>
                  <a:satOff val="0"/>
                  <a:lumOff val="0"/>
                  <a:alphaOff val="0"/>
                </a:sysClr>
              </a:solidFill>
              <a:latin typeface="Calibri"/>
              <a:ea typeface="+mn-ea"/>
              <a:cs typeface="+mn-cs"/>
            </a:rPr>
            <a:t>Workup completed and not referred for pre-transplant assessment (record reasons, i.e. severe comorbidities)</a:t>
          </a:r>
        </a:p>
      </dgm:t>
    </dgm:pt>
    <dgm:pt modelId="{C15387E8-135A-48BA-A547-E7C1E9F97152}" type="parTrans" cxnId="{7A565DD9-BA46-426D-A838-DA9045B17B6E}">
      <dgm:prSet/>
      <dgm:spPr/>
      <dgm:t>
        <a:bodyPr/>
        <a:lstStyle/>
        <a:p>
          <a:pPr algn="l"/>
          <a:endParaRPr lang="en-AU"/>
        </a:p>
      </dgm:t>
    </dgm:pt>
    <dgm:pt modelId="{7D2BAFFB-2D63-474C-B476-F21B2E7BF9FA}" type="sibTrans" cxnId="{7A565DD9-BA46-426D-A838-DA9045B17B6E}">
      <dgm:prSet/>
      <dgm:spPr/>
      <dgm:t>
        <a:bodyPr/>
        <a:lstStyle/>
        <a:p>
          <a:pPr algn="l"/>
          <a:endParaRPr lang="en-AU"/>
        </a:p>
      </dgm:t>
    </dgm:pt>
    <dgm:pt modelId="{06A98038-5C6B-4CF5-AC3D-E9865671E331}">
      <dgm:prSet phldrT="[Text]" custT="1"/>
      <dgm:spPr>
        <a:xfrm>
          <a:off x="1438" y="2160723"/>
          <a:ext cx="1239946" cy="977691"/>
        </a:xfrm>
        <a:prstGeom prst="roundRect">
          <a:avLst/>
        </a:prstGeom>
        <a:solidFill>
          <a:srgbClr val="70AD47"/>
        </a:solidFill>
        <a:ln w="12700" cap="flat" cmpd="sng" algn="ctr">
          <a:solidFill>
            <a:srgbClr val="E7E6E6">
              <a:hueOff val="0"/>
              <a:satOff val="0"/>
              <a:lumOff val="0"/>
              <a:alphaOff val="0"/>
            </a:srgbClr>
          </a:solidFill>
          <a:prstDash val="solid"/>
          <a:miter lim="800000"/>
        </a:ln>
        <a:effectLst/>
      </dgm:spPr>
      <dgm:t>
        <a:bodyPr/>
        <a:lstStyle/>
        <a:p>
          <a:pPr algn="ctr">
            <a:buNone/>
          </a:pPr>
          <a:r>
            <a:rPr lang="en-AU" sz="1600" b="1">
              <a:solidFill>
                <a:sysClr val="windowText" lastClr="000000"/>
              </a:solidFill>
              <a:latin typeface="Calibri"/>
              <a:ea typeface="+mn-ea"/>
              <a:cs typeface="+mn-cs"/>
            </a:rPr>
            <a:t>Assessment</a:t>
          </a:r>
          <a:endParaRPr lang="en-AU" sz="1800" b="1">
            <a:solidFill>
              <a:sysClr val="windowText" lastClr="000000"/>
            </a:solidFill>
            <a:latin typeface="Calibri"/>
            <a:ea typeface="+mn-ea"/>
            <a:cs typeface="+mn-cs"/>
          </a:endParaRPr>
        </a:p>
      </dgm:t>
    </dgm:pt>
    <dgm:pt modelId="{3F26AC02-A498-4FE5-9F3B-18633768877A}" type="parTrans" cxnId="{94BAD22A-CD31-441B-B115-AEFD579AB8B5}">
      <dgm:prSet/>
      <dgm:spPr/>
      <dgm:t>
        <a:bodyPr/>
        <a:lstStyle/>
        <a:p>
          <a:pPr algn="l"/>
          <a:endParaRPr lang="en-AU"/>
        </a:p>
      </dgm:t>
    </dgm:pt>
    <dgm:pt modelId="{49A1D131-B1B6-4323-8879-6D161C50609D}" type="sibTrans" cxnId="{94BAD22A-CD31-441B-B115-AEFD579AB8B5}">
      <dgm:prSet/>
      <dgm:spPr/>
      <dgm:t>
        <a:bodyPr/>
        <a:lstStyle/>
        <a:p>
          <a:pPr algn="l"/>
          <a:endParaRPr lang="en-AU"/>
        </a:p>
      </dgm:t>
    </dgm:pt>
    <dgm:pt modelId="{BE12204B-3840-4995-AD93-730BE393C07F}">
      <dgm:prSet phldrT="[Text]" custT="1"/>
      <dgm:spPr>
        <a:xfrm rot="5400000">
          <a:off x="3049061" y="405226"/>
          <a:ext cx="873333" cy="4488686"/>
        </a:xfrm>
        <a:prstGeom prst="round2SameRect">
          <a:avLst/>
        </a:prstGeom>
        <a:solidFill>
          <a:srgbClr val="70AD47">
            <a:lumMod val="20000"/>
            <a:lumOff val="80000"/>
            <a:alpha val="90000"/>
          </a:srgbClr>
        </a:solidFill>
        <a:ln w="12700" cap="flat" cmpd="sng" algn="ctr">
          <a:solidFill>
            <a:srgbClr val="44546A">
              <a:alpha val="90000"/>
              <a:tint val="40000"/>
              <a:hueOff val="0"/>
              <a:satOff val="0"/>
              <a:lumOff val="0"/>
              <a:alphaOff val="0"/>
            </a:srgbClr>
          </a:solidFill>
          <a:prstDash val="solid"/>
          <a:miter lim="800000"/>
        </a:ln>
        <a:effectLst/>
      </dgm:spPr>
      <dgm:t>
        <a:bodyPr/>
        <a:lstStyle/>
        <a:p>
          <a:pPr algn="l">
            <a:buChar char="•"/>
          </a:pPr>
          <a:r>
            <a:rPr lang="en-AU" sz="1050">
              <a:solidFill>
                <a:sysClr val="windowText" lastClr="000000">
                  <a:hueOff val="0"/>
                  <a:satOff val="0"/>
                  <a:lumOff val="0"/>
                  <a:alphaOff val="0"/>
                </a:sysClr>
              </a:solidFill>
              <a:latin typeface="Calibri"/>
              <a:ea typeface="+mn-ea"/>
              <a:cs typeface="+mn-cs"/>
            </a:rPr>
            <a:t>Patient deemed fit and admitted to the waitlist</a:t>
          </a:r>
        </a:p>
      </dgm:t>
    </dgm:pt>
    <dgm:pt modelId="{0447A1D0-36F6-4D93-9425-576D3F4549D1}" type="parTrans" cxnId="{59CA2E67-FDC7-4664-BCDF-F5BD85A97059}">
      <dgm:prSet/>
      <dgm:spPr/>
      <dgm:t>
        <a:bodyPr/>
        <a:lstStyle/>
        <a:p>
          <a:pPr algn="l"/>
          <a:endParaRPr lang="en-AU"/>
        </a:p>
      </dgm:t>
    </dgm:pt>
    <dgm:pt modelId="{ED713FCF-C33A-4AFF-BC0F-C5885D5A0121}" type="sibTrans" cxnId="{59CA2E67-FDC7-4664-BCDF-F5BD85A97059}">
      <dgm:prSet/>
      <dgm:spPr/>
      <dgm:t>
        <a:bodyPr/>
        <a:lstStyle/>
        <a:p>
          <a:pPr algn="l"/>
          <a:endParaRPr lang="en-AU"/>
        </a:p>
      </dgm:t>
    </dgm:pt>
    <dgm:pt modelId="{5FDC0D77-AFC1-4FD4-92B6-13AE775C4580}">
      <dgm:prSet phldrT="[Text]" custT="1"/>
      <dgm:spPr>
        <a:xfrm rot="5400000">
          <a:off x="3132978" y="-1744619"/>
          <a:ext cx="691897" cy="4501001"/>
        </a:xfrm>
        <a:prstGeom prst="round2SameRect">
          <a:avLst/>
        </a:prstGeom>
        <a:solidFill>
          <a:srgbClr val="70AD47">
            <a:lumMod val="20000"/>
            <a:lumOff val="80000"/>
            <a:alpha val="90000"/>
          </a:srgbClr>
        </a:solidFill>
        <a:ln w="12700" cap="flat" cmpd="sng" algn="ctr">
          <a:solidFill>
            <a:srgbClr val="44546A">
              <a:alpha val="90000"/>
              <a:tint val="40000"/>
              <a:hueOff val="0"/>
              <a:satOff val="0"/>
              <a:lumOff val="0"/>
              <a:alphaOff val="0"/>
            </a:srgbClr>
          </a:solidFill>
          <a:prstDash val="solid"/>
          <a:miter lim="800000"/>
        </a:ln>
        <a:effectLst/>
      </dgm:spPr>
      <dgm:t>
        <a:bodyPr/>
        <a:lstStyle/>
        <a:p>
          <a:pPr algn="l">
            <a:buChar char="•"/>
          </a:pPr>
          <a:r>
            <a:rPr lang="en-AU" sz="1050">
              <a:solidFill>
                <a:sysClr val="windowText" lastClr="000000">
                  <a:hueOff val="0"/>
                  <a:satOff val="0"/>
                  <a:lumOff val="0"/>
                  <a:alphaOff val="0"/>
                </a:sysClr>
              </a:solidFill>
              <a:latin typeface="Calibri"/>
              <a:ea typeface="+mn-ea"/>
              <a:cs typeface="+mn-cs"/>
            </a:rPr>
            <a:t>Not now (record reasons, i.e. treatable infections, comorbidities, patient preference)</a:t>
          </a:r>
        </a:p>
      </dgm:t>
    </dgm:pt>
    <dgm:pt modelId="{4085134B-3499-4985-AF83-10FF914FA1DF}" type="parTrans" cxnId="{811F5D4C-4B86-49B0-9924-CD53A86D8388}">
      <dgm:prSet/>
      <dgm:spPr/>
      <dgm:t>
        <a:bodyPr/>
        <a:lstStyle/>
        <a:p>
          <a:pPr algn="l"/>
          <a:endParaRPr lang="en-AU"/>
        </a:p>
      </dgm:t>
    </dgm:pt>
    <dgm:pt modelId="{AF853109-8002-4D9B-B021-607CA7F17A8B}" type="sibTrans" cxnId="{811F5D4C-4B86-49B0-9924-CD53A86D8388}">
      <dgm:prSet/>
      <dgm:spPr/>
      <dgm:t>
        <a:bodyPr/>
        <a:lstStyle/>
        <a:p>
          <a:pPr algn="l"/>
          <a:endParaRPr lang="en-AU"/>
        </a:p>
      </dgm:t>
    </dgm:pt>
    <dgm:pt modelId="{4302DFB1-9610-4ACB-AC0D-1621846E13A2}">
      <dgm:prSet phldrT="[Text]" custT="1"/>
      <dgm:spPr>
        <a:xfrm rot="5400000">
          <a:off x="2988623" y="-672617"/>
          <a:ext cx="968441" cy="4517330"/>
        </a:xfrm>
        <a:prstGeom prst="round2SameRect">
          <a:avLst/>
        </a:prstGeom>
        <a:solidFill>
          <a:srgbClr val="70AD47">
            <a:lumMod val="20000"/>
            <a:lumOff val="80000"/>
            <a:alpha val="90000"/>
          </a:srgbClr>
        </a:solidFill>
        <a:ln w="12700" cap="flat" cmpd="sng" algn="ctr">
          <a:solidFill>
            <a:srgbClr val="44546A">
              <a:alpha val="90000"/>
              <a:tint val="40000"/>
              <a:hueOff val="0"/>
              <a:satOff val="0"/>
              <a:lumOff val="0"/>
              <a:alphaOff val="0"/>
            </a:srgbClr>
          </a:solidFill>
          <a:prstDash val="solid"/>
          <a:miter lim="800000"/>
        </a:ln>
        <a:effectLst/>
      </dgm:spPr>
      <dgm:t>
        <a:bodyPr/>
        <a:lstStyle/>
        <a:p>
          <a:pPr algn="l">
            <a:buChar char="•"/>
          </a:pPr>
          <a:r>
            <a:rPr lang="en-AU" sz="1050">
              <a:solidFill>
                <a:sysClr val="windowText" lastClr="000000">
                  <a:hueOff val="0"/>
                  <a:satOff val="0"/>
                  <a:lumOff val="0"/>
                  <a:alphaOff val="0"/>
                </a:sysClr>
              </a:solidFill>
              <a:latin typeface="Calibri"/>
              <a:ea typeface="+mn-ea"/>
              <a:cs typeface="+mn-cs"/>
            </a:rPr>
            <a:t>Workup not completed (record reasons, i.e. patient nonattendance, decision not to pursue a transplant)</a:t>
          </a:r>
        </a:p>
      </dgm:t>
    </dgm:pt>
    <dgm:pt modelId="{68536751-3D7B-4B06-A177-093D31897BD6}" type="parTrans" cxnId="{6A5F27AD-5830-4AC8-ABEA-CC0CC8FD6383}">
      <dgm:prSet/>
      <dgm:spPr/>
      <dgm:t>
        <a:bodyPr/>
        <a:lstStyle/>
        <a:p>
          <a:pPr algn="l"/>
          <a:endParaRPr lang="en-AU"/>
        </a:p>
      </dgm:t>
    </dgm:pt>
    <dgm:pt modelId="{D0F94C9D-4FC6-40EE-955E-04B5C9BD5B42}" type="sibTrans" cxnId="{6A5F27AD-5830-4AC8-ABEA-CC0CC8FD6383}">
      <dgm:prSet/>
      <dgm:spPr/>
      <dgm:t>
        <a:bodyPr/>
        <a:lstStyle/>
        <a:p>
          <a:pPr algn="l"/>
          <a:endParaRPr lang="en-AU"/>
        </a:p>
      </dgm:t>
    </dgm:pt>
    <dgm:pt modelId="{CE072C27-EC5E-4139-8E53-99B09BE5C6AA}">
      <dgm:prSet phldrT="[Text]" custT="1"/>
      <dgm:spPr>
        <a:xfrm rot="5400000">
          <a:off x="3049061" y="405226"/>
          <a:ext cx="873333" cy="4488686"/>
        </a:xfrm>
        <a:prstGeom prst="round2SameRect">
          <a:avLst/>
        </a:prstGeom>
        <a:solidFill>
          <a:srgbClr val="70AD47">
            <a:lumMod val="20000"/>
            <a:lumOff val="80000"/>
            <a:alpha val="90000"/>
          </a:srgbClr>
        </a:solidFill>
        <a:ln w="12700" cap="flat" cmpd="sng" algn="ctr">
          <a:solidFill>
            <a:srgbClr val="44546A">
              <a:alpha val="90000"/>
              <a:tint val="40000"/>
              <a:hueOff val="0"/>
              <a:satOff val="0"/>
              <a:lumOff val="0"/>
              <a:alphaOff val="0"/>
            </a:srgbClr>
          </a:solidFill>
          <a:prstDash val="solid"/>
          <a:miter lim="800000"/>
        </a:ln>
        <a:effectLst/>
      </dgm:spPr>
      <dgm:t>
        <a:bodyPr/>
        <a:lstStyle/>
        <a:p>
          <a:pPr algn="l">
            <a:buChar char="•"/>
          </a:pPr>
          <a:r>
            <a:rPr lang="en-AU" sz="1050">
              <a:solidFill>
                <a:sysClr val="windowText" lastClr="000000">
                  <a:hueOff val="0"/>
                  <a:satOff val="0"/>
                  <a:lumOff val="0"/>
                  <a:alphaOff val="0"/>
                </a:sysClr>
              </a:solidFill>
              <a:latin typeface="Calibri"/>
              <a:ea typeface="+mn-ea"/>
              <a:cs typeface="+mn-cs"/>
            </a:rPr>
            <a:t>Patient not admitted to the waitlist at this stage (record reasons, i.e. active infections/comorbidities)</a:t>
          </a:r>
        </a:p>
      </dgm:t>
    </dgm:pt>
    <dgm:pt modelId="{76A42B63-BB73-4F03-A9B2-1931BE9DFDA4}" type="parTrans" cxnId="{F045FC14-B40E-4003-9CEA-7F621338BA86}">
      <dgm:prSet/>
      <dgm:spPr/>
      <dgm:t>
        <a:bodyPr/>
        <a:lstStyle/>
        <a:p>
          <a:pPr algn="l"/>
          <a:endParaRPr lang="en-AU"/>
        </a:p>
      </dgm:t>
    </dgm:pt>
    <dgm:pt modelId="{0B805967-F945-40CC-B6C1-CE4A143153DF}" type="sibTrans" cxnId="{F045FC14-B40E-4003-9CEA-7F621338BA86}">
      <dgm:prSet/>
      <dgm:spPr/>
      <dgm:t>
        <a:bodyPr/>
        <a:lstStyle/>
        <a:p>
          <a:pPr algn="l"/>
          <a:endParaRPr lang="en-AU"/>
        </a:p>
      </dgm:t>
    </dgm:pt>
    <dgm:pt modelId="{DCA7841B-216F-4657-9C05-611778A5CFBA}">
      <dgm:prSet phldrT="[Text]" custT="1"/>
      <dgm:spPr>
        <a:xfrm rot="5400000">
          <a:off x="3049061" y="405226"/>
          <a:ext cx="873333" cy="4488686"/>
        </a:xfrm>
        <a:prstGeom prst="round2SameRect">
          <a:avLst/>
        </a:prstGeom>
        <a:solidFill>
          <a:srgbClr val="70AD47">
            <a:lumMod val="20000"/>
            <a:lumOff val="80000"/>
            <a:alpha val="90000"/>
          </a:srgbClr>
        </a:solidFill>
        <a:ln w="12700" cap="flat" cmpd="sng" algn="ctr">
          <a:solidFill>
            <a:srgbClr val="44546A">
              <a:alpha val="90000"/>
              <a:tint val="40000"/>
              <a:hueOff val="0"/>
              <a:satOff val="0"/>
              <a:lumOff val="0"/>
              <a:alphaOff val="0"/>
            </a:srgbClr>
          </a:solidFill>
          <a:prstDash val="solid"/>
          <a:miter lim="800000"/>
        </a:ln>
        <a:effectLst/>
      </dgm:spPr>
      <dgm:t>
        <a:bodyPr/>
        <a:lstStyle/>
        <a:p>
          <a:pPr algn="l">
            <a:buChar char="•"/>
          </a:pPr>
          <a:r>
            <a:rPr lang="en-AU" sz="1050">
              <a:solidFill>
                <a:sysClr val="windowText" lastClr="000000">
                  <a:hueOff val="0"/>
                  <a:satOff val="0"/>
                  <a:lumOff val="0"/>
                  <a:alphaOff val="0"/>
                </a:sysClr>
              </a:solidFill>
              <a:latin typeface="Calibri"/>
              <a:ea typeface="+mn-ea"/>
              <a:cs typeface="+mn-cs"/>
            </a:rPr>
            <a:t>Patient deemded not suitable for the waitlist (record reasons, i.e. untreatable comorbidities or nonadherence)</a:t>
          </a:r>
        </a:p>
      </dgm:t>
    </dgm:pt>
    <dgm:pt modelId="{DF307FC3-330B-42B8-985F-EFF3752EA192}" type="parTrans" cxnId="{5C3B0452-CC7B-40A9-9C40-B48D048485F9}">
      <dgm:prSet/>
      <dgm:spPr/>
      <dgm:t>
        <a:bodyPr/>
        <a:lstStyle/>
        <a:p>
          <a:pPr algn="l"/>
          <a:endParaRPr lang="en-AU"/>
        </a:p>
      </dgm:t>
    </dgm:pt>
    <dgm:pt modelId="{01C69BF3-A9E6-46EA-B3F4-A8E7CCB40ACE}" type="sibTrans" cxnId="{5C3B0452-CC7B-40A9-9C40-B48D048485F9}">
      <dgm:prSet/>
      <dgm:spPr/>
      <dgm:t>
        <a:bodyPr/>
        <a:lstStyle/>
        <a:p>
          <a:pPr algn="l"/>
          <a:endParaRPr lang="en-AU"/>
        </a:p>
      </dgm:t>
    </dgm:pt>
    <dgm:pt modelId="{CA25F756-5F59-4A33-88A7-72FA1ED45221}" type="pres">
      <dgm:prSet presAssocID="{B20AD42F-1BDE-46A5-A7F4-36D6AB1F0AAF}" presName="Name0" presStyleCnt="0">
        <dgm:presLayoutVars>
          <dgm:dir/>
          <dgm:animLvl val="lvl"/>
          <dgm:resizeHandles val="exact"/>
        </dgm:presLayoutVars>
      </dgm:prSet>
      <dgm:spPr/>
    </dgm:pt>
    <dgm:pt modelId="{75A644B3-77CC-4888-8E61-354932C569A1}" type="pres">
      <dgm:prSet presAssocID="{44FE48E2-2584-4AE2-A772-C4AA70C16ACC}" presName="linNode" presStyleCnt="0"/>
      <dgm:spPr/>
    </dgm:pt>
    <dgm:pt modelId="{B2FD3754-D7E3-474C-AD39-6ECAB5B18CEA}" type="pres">
      <dgm:prSet presAssocID="{44FE48E2-2584-4AE2-A772-C4AA70C16ACC}" presName="parentText" presStyleLbl="node1" presStyleIdx="0" presStyleCnt="3" custScaleX="74624" custScaleY="85668">
        <dgm:presLayoutVars>
          <dgm:chMax val="1"/>
          <dgm:bulletEnabled val="1"/>
        </dgm:presLayoutVars>
      </dgm:prSet>
      <dgm:spPr>
        <a:prstGeom prst="roundRect">
          <a:avLst/>
        </a:prstGeom>
      </dgm:spPr>
    </dgm:pt>
    <dgm:pt modelId="{C2D02EAF-8708-47E0-BC62-1E40083B0C5E}" type="pres">
      <dgm:prSet presAssocID="{44FE48E2-2584-4AE2-A772-C4AA70C16ACC}" presName="descendantText" presStyleLbl="alignAccFollowNode1" presStyleIdx="0" presStyleCnt="3" custScaleX="153982" custScaleY="73287">
        <dgm:presLayoutVars>
          <dgm:bulletEnabled val="1"/>
        </dgm:presLayoutVars>
      </dgm:prSet>
      <dgm:spPr>
        <a:prstGeom prst="round2SameRect">
          <a:avLst/>
        </a:prstGeom>
      </dgm:spPr>
    </dgm:pt>
    <dgm:pt modelId="{967196E0-FF01-466F-882E-976C11D6E278}" type="pres">
      <dgm:prSet presAssocID="{39723259-48E8-4109-A0BE-1FE3472BB970}" presName="sp" presStyleCnt="0"/>
      <dgm:spPr/>
    </dgm:pt>
    <dgm:pt modelId="{5AF15014-9235-4539-A2D3-E9FA765D80B7}" type="pres">
      <dgm:prSet presAssocID="{5ABB14B2-93B2-402F-BBCF-BF42010F860E}" presName="linNode" presStyleCnt="0"/>
      <dgm:spPr/>
    </dgm:pt>
    <dgm:pt modelId="{4EC09846-7978-4C51-99D4-1B283DA97C6C}" type="pres">
      <dgm:prSet presAssocID="{5ABB14B2-93B2-402F-BBCF-BF42010F860E}" presName="parentText" presStyleLbl="node1" presStyleIdx="1" presStyleCnt="3" custScaleX="74440" custScaleY="87393">
        <dgm:presLayoutVars>
          <dgm:chMax val="1"/>
          <dgm:bulletEnabled val="1"/>
        </dgm:presLayoutVars>
      </dgm:prSet>
      <dgm:spPr>
        <a:prstGeom prst="roundRect">
          <a:avLst/>
        </a:prstGeom>
      </dgm:spPr>
    </dgm:pt>
    <dgm:pt modelId="{1827607E-A413-49E4-847B-00E176850AF4}" type="pres">
      <dgm:prSet presAssocID="{5ABB14B2-93B2-402F-BBCF-BF42010F860E}" presName="descendantText" presStyleLbl="alignAccFollowNode1" presStyleIdx="1" presStyleCnt="3" custScaleX="156458" custScaleY="102579" custLinFactNeighborX="3334" custLinFactNeighborY="0">
        <dgm:presLayoutVars>
          <dgm:bulletEnabled val="1"/>
        </dgm:presLayoutVars>
      </dgm:prSet>
      <dgm:spPr>
        <a:prstGeom prst="round2SameRect">
          <a:avLst/>
        </a:prstGeom>
      </dgm:spPr>
    </dgm:pt>
    <dgm:pt modelId="{2211CEAD-B331-4519-8822-1F5E43432F4F}" type="pres">
      <dgm:prSet presAssocID="{F2DBF75D-86EC-491A-B9E0-9DCEB3BA0D32}" presName="sp" presStyleCnt="0"/>
      <dgm:spPr/>
    </dgm:pt>
    <dgm:pt modelId="{4FA18521-6921-4FE2-9B80-243FD1644059}" type="pres">
      <dgm:prSet presAssocID="{06A98038-5C6B-4CF5-AC3D-E9865671E331}" presName="linNode" presStyleCnt="0"/>
      <dgm:spPr/>
    </dgm:pt>
    <dgm:pt modelId="{4A99BF86-0527-403F-945E-2E36C95A0B91}" type="pres">
      <dgm:prSet presAssocID="{06A98038-5C6B-4CF5-AC3D-E9865671E331}" presName="parentText" presStyleLbl="node1" presStyleIdx="2" presStyleCnt="3" custScaleX="73608" custScaleY="82847">
        <dgm:presLayoutVars>
          <dgm:chMax val="1"/>
          <dgm:bulletEnabled val="1"/>
        </dgm:presLayoutVars>
      </dgm:prSet>
      <dgm:spPr>
        <a:prstGeom prst="roundRect">
          <a:avLst/>
        </a:prstGeom>
      </dgm:spPr>
    </dgm:pt>
    <dgm:pt modelId="{426897CE-1FA3-4531-BB7C-C509FFED33AB}" type="pres">
      <dgm:prSet presAssocID="{06A98038-5C6B-4CF5-AC3D-E9865671E331}" presName="descendantText" presStyleLbl="alignAccFollowNode1" presStyleIdx="2" presStyleCnt="3" custScaleX="149887" custScaleY="92505">
        <dgm:presLayoutVars>
          <dgm:bulletEnabled val="1"/>
        </dgm:presLayoutVars>
      </dgm:prSet>
      <dgm:spPr>
        <a:prstGeom prst="round2SameRect">
          <a:avLst/>
        </a:prstGeom>
      </dgm:spPr>
    </dgm:pt>
  </dgm:ptLst>
  <dgm:cxnLst>
    <dgm:cxn modelId="{0BADE205-A696-4512-BDD7-F4D88FDC30E2}" type="presOf" srcId="{44FE48E2-2584-4AE2-A772-C4AA70C16ACC}" destId="{B2FD3754-D7E3-474C-AD39-6ECAB5B18CEA}" srcOrd="0" destOrd="0" presId="urn:microsoft.com/office/officeart/2005/8/layout/vList5"/>
    <dgm:cxn modelId="{99A7420D-B1C3-4725-B94A-95B7A91E6565}" type="presOf" srcId="{5E181DE9-DB28-4DB0-92DA-2AED9857A5DA}" destId="{C2D02EAF-8708-47E0-BC62-1E40083B0C5E}" srcOrd="0" destOrd="2" presId="urn:microsoft.com/office/officeart/2005/8/layout/vList5"/>
    <dgm:cxn modelId="{F045FC14-B40E-4003-9CEA-7F621338BA86}" srcId="{06A98038-5C6B-4CF5-AC3D-E9865671E331}" destId="{CE072C27-EC5E-4139-8E53-99B09BE5C6AA}" srcOrd="1" destOrd="0" parTransId="{76A42B63-BB73-4F03-A9B2-1931BE9DFDA4}" sibTransId="{0B805967-F945-40CC-B6C1-CE4A143153DF}"/>
    <dgm:cxn modelId="{3B324C27-ADFD-41DC-834B-BEE6A597330A}" srcId="{B20AD42F-1BDE-46A5-A7F4-36D6AB1F0AAF}" destId="{44FE48E2-2584-4AE2-A772-C4AA70C16ACC}" srcOrd="0" destOrd="0" parTransId="{71C07992-CA0C-4E8D-9147-DB4C399FDA17}" sibTransId="{39723259-48E8-4109-A0BE-1FE3472BB970}"/>
    <dgm:cxn modelId="{94BAD22A-CD31-441B-B115-AEFD579AB8B5}" srcId="{B20AD42F-1BDE-46A5-A7F4-36D6AB1F0AAF}" destId="{06A98038-5C6B-4CF5-AC3D-E9865671E331}" srcOrd="2" destOrd="0" parTransId="{3F26AC02-A498-4FE5-9F3B-18633768877A}" sibTransId="{49A1D131-B1B6-4323-8879-6D161C50609D}"/>
    <dgm:cxn modelId="{D9E20633-0651-4809-83B7-7B01DDE0F464}" type="presOf" srcId="{5FDC0D77-AFC1-4FD4-92B6-13AE775C4580}" destId="{C2D02EAF-8708-47E0-BC62-1E40083B0C5E}" srcOrd="0" destOrd="1" presId="urn:microsoft.com/office/officeart/2005/8/layout/vList5"/>
    <dgm:cxn modelId="{C9241A5B-B0C5-4E77-81D9-AFA826002B3D}" type="presOf" srcId="{48E24D18-44B3-47C2-BC74-A875250061C5}" destId="{C2D02EAF-8708-47E0-BC62-1E40083B0C5E}" srcOrd="0" destOrd="0" presId="urn:microsoft.com/office/officeart/2005/8/layout/vList5"/>
    <dgm:cxn modelId="{0836665F-948A-430D-956A-A6D36154D51D}" type="presOf" srcId="{B20AD42F-1BDE-46A5-A7F4-36D6AB1F0AAF}" destId="{CA25F756-5F59-4A33-88A7-72FA1ED45221}" srcOrd="0" destOrd="0" presId="urn:microsoft.com/office/officeart/2005/8/layout/vList5"/>
    <dgm:cxn modelId="{59CA2E67-FDC7-4664-BCDF-F5BD85A97059}" srcId="{06A98038-5C6B-4CF5-AC3D-E9865671E331}" destId="{BE12204B-3840-4995-AD93-730BE393C07F}" srcOrd="0" destOrd="0" parTransId="{0447A1D0-36F6-4D93-9425-576D3F4549D1}" sibTransId="{ED713FCF-C33A-4AFF-BC0F-C5885D5A0121}"/>
    <dgm:cxn modelId="{811F5D4C-4B86-49B0-9924-CD53A86D8388}" srcId="{44FE48E2-2584-4AE2-A772-C4AA70C16ACC}" destId="{5FDC0D77-AFC1-4FD4-92B6-13AE775C4580}" srcOrd="1" destOrd="0" parTransId="{4085134B-3499-4985-AF83-10FF914FA1DF}" sibTransId="{AF853109-8002-4D9B-B021-607CA7F17A8B}"/>
    <dgm:cxn modelId="{5C3B0452-CC7B-40A9-9C40-B48D048485F9}" srcId="{06A98038-5C6B-4CF5-AC3D-E9865671E331}" destId="{DCA7841B-216F-4657-9C05-611778A5CFBA}" srcOrd="2" destOrd="0" parTransId="{DF307FC3-330B-42B8-985F-EFF3752EA192}" sibTransId="{01C69BF3-A9E6-46EA-B3F4-A8E7CCB40ACE}"/>
    <dgm:cxn modelId="{D354CD91-D41B-4E31-BD84-3AC0BF497EDD}" type="presOf" srcId="{DEFC58C2-57BD-4556-A088-F8625DB7D288}" destId="{1827607E-A413-49E4-847B-00E176850AF4}" srcOrd="0" destOrd="0" presId="urn:microsoft.com/office/officeart/2005/8/layout/vList5"/>
    <dgm:cxn modelId="{FCA5E79E-2956-4215-B3B9-0460443DF1F6}" type="presOf" srcId="{10B9F4EA-5722-40D7-AF50-B3E428F38F87}" destId="{1827607E-A413-49E4-847B-00E176850AF4}" srcOrd="0" destOrd="1" presId="urn:microsoft.com/office/officeart/2005/8/layout/vList5"/>
    <dgm:cxn modelId="{8A00DEA1-528F-4FB8-81C6-2EDFDD3FB9E7}" srcId="{44FE48E2-2584-4AE2-A772-C4AA70C16ACC}" destId="{5E181DE9-DB28-4DB0-92DA-2AED9857A5DA}" srcOrd="2" destOrd="0" parTransId="{809CC51A-579B-4CE2-8E4B-246F2C22CA23}" sibTransId="{59FCCB49-841D-4419-9407-6D5C6558D912}"/>
    <dgm:cxn modelId="{5934BBA3-7CCF-4205-A083-73B1FA28A1E2}" type="presOf" srcId="{5ABB14B2-93B2-402F-BBCF-BF42010F860E}" destId="{4EC09846-7978-4C51-99D4-1B283DA97C6C}" srcOrd="0" destOrd="0" presId="urn:microsoft.com/office/officeart/2005/8/layout/vList5"/>
    <dgm:cxn modelId="{024CBFA3-3A7D-4B28-8FE9-C960BDF40927}" srcId="{B20AD42F-1BDE-46A5-A7F4-36D6AB1F0AAF}" destId="{5ABB14B2-93B2-402F-BBCF-BF42010F860E}" srcOrd="1" destOrd="0" parTransId="{0DA31975-E83F-4B6F-9239-6472D3C19CC7}" sibTransId="{F2DBF75D-86EC-491A-B9E0-9DCEB3BA0D32}"/>
    <dgm:cxn modelId="{6A5F27AD-5830-4AC8-ABEA-CC0CC8FD6383}" srcId="{5ABB14B2-93B2-402F-BBCF-BF42010F860E}" destId="{4302DFB1-9610-4ACB-AC0D-1621846E13A2}" srcOrd="2" destOrd="0" parTransId="{68536751-3D7B-4B06-A177-093D31897BD6}" sibTransId="{D0F94C9D-4FC6-40EE-955E-04B5C9BD5B42}"/>
    <dgm:cxn modelId="{49D418CA-BE9D-4283-A873-F9D269C31CA2}" type="presOf" srcId="{CE072C27-EC5E-4139-8E53-99B09BE5C6AA}" destId="{426897CE-1FA3-4531-BB7C-C509FFED33AB}" srcOrd="0" destOrd="1" presId="urn:microsoft.com/office/officeart/2005/8/layout/vList5"/>
    <dgm:cxn modelId="{9D303ECD-A91D-47E6-9E26-6E6A490ABA3C}" type="presOf" srcId="{DCA7841B-216F-4657-9C05-611778A5CFBA}" destId="{426897CE-1FA3-4531-BB7C-C509FFED33AB}" srcOrd="0" destOrd="2" presId="urn:microsoft.com/office/officeart/2005/8/layout/vList5"/>
    <dgm:cxn modelId="{FBEBA4D4-B627-4FFA-B935-6A2AE58ED619}" type="presOf" srcId="{06A98038-5C6B-4CF5-AC3D-E9865671E331}" destId="{4A99BF86-0527-403F-945E-2E36C95A0B91}" srcOrd="0" destOrd="0" presId="urn:microsoft.com/office/officeart/2005/8/layout/vList5"/>
    <dgm:cxn modelId="{7A565DD9-BA46-426D-A838-DA9045B17B6E}" srcId="{5ABB14B2-93B2-402F-BBCF-BF42010F860E}" destId="{10B9F4EA-5722-40D7-AF50-B3E428F38F87}" srcOrd="1" destOrd="0" parTransId="{C15387E8-135A-48BA-A547-E7C1E9F97152}" sibTransId="{7D2BAFFB-2D63-474C-B476-F21B2E7BF9FA}"/>
    <dgm:cxn modelId="{C4E629E5-D636-4929-BC11-C1648D6C041C}" srcId="{44FE48E2-2584-4AE2-A772-C4AA70C16ACC}" destId="{48E24D18-44B3-47C2-BC74-A875250061C5}" srcOrd="0" destOrd="0" parTransId="{2169766B-E7F6-4125-A927-EC440E75A726}" sibTransId="{06E77159-BB17-46D5-8D77-9F1535BC0F5D}"/>
    <dgm:cxn modelId="{693F9AE6-8227-498D-8A87-A24E6E57FEA3}" srcId="{5ABB14B2-93B2-402F-BBCF-BF42010F860E}" destId="{DEFC58C2-57BD-4556-A088-F8625DB7D288}" srcOrd="0" destOrd="0" parTransId="{755B662C-7D2C-4631-9F10-8732C6CFD420}" sibTransId="{4446AFD9-03EF-4208-84F4-BD2CD24B9F5C}"/>
    <dgm:cxn modelId="{C1F575ED-A00C-458F-887C-33B8853EEA47}" type="presOf" srcId="{4302DFB1-9610-4ACB-AC0D-1621846E13A2}" destId="{1827607E-A413-49E4-847B-00E176850AF4}" srcOrd="0" destOrd="2" presId="urn:microsoft.com/office/officeart/2005/8/layout/vList5"/>
    <dgm:cxn modelId="{1AECF2F2-C5FA-41CD-9F36-886D4CF555B0}" type="presOf" srcId="{BE12204B-3840-4995-AD93-730BE393C07F}" destId="{426897CE-1FA3-4531-BB7C-C509FFED33AB}" srcOrd="0" destOrd="0" presId="urn:microsoft.com/office/officeart/2005/8/layout/vList5"/>
    <dgm:cxn modelId="{D5173BCA-48AE-4E36-8024-41F73556ED8A}" type="presParOf" srcId="{CA25F756-5F59-4A33-88A7-72FA1ED45221}" destId="{75A644B3-77CC-4888-8E61-354932C569A1}" srcOrd="0" destOrd="0" presId="urn:microsoft.com/office/officeart/2005/8/layout/vList5"/>
    <dgm:cxn modelId="{64508FFB-014D-46B8-9424-11362D28C938}" type="presParOf" srcId="{75A644B3-77CC-4888-8E61-354932C569A1}" destId="{B2FD3754-D7E3-474C-AD39-6ECAB5B18CEA}" srcOrd="0" destOrd="0" presId="urn:microsoft.com/office/officeart/2005/8/layout/vList5"/>
    <dgm:cxn modelId="{DAFFD682-095F-47C5-8059-98682E92C89A}" type="presParOf" srcId="{75A644B3-77CC-4888-8E61-354932C569A1}" destId="{C2D02EAF-8708-47E0-BC62-1E40083B0C5E}" srcOrd="1" destOrd="0" presId="urn:microsoft.com/office/officeart/2005/8/layout/vList5"/>
    <dgm:cxn modelId="{ED911D7B-45B1-430F-86D3-75FE15291E90}" type="presParOf" srcId="{CA25F756-5F59-4A33-88A7-72FA1ED45221}" destId="{967196E0-FF01-466F-882E-976C11D6E278}" srcOrd="1" destOrd="0" presId="urn:microsoft.com/office/officeart/2005/8/layout/vList5"/>
    <dgm:cxn modelId="{6746EB57-6C5D-416A-B4F7-1E28FA27CC5F}" type="presParOf" srcId="{CA25F756-5F59-4A33-88A7-72FA1ED45221}" destId="{5AF15014-9235-4539-A2D3-E9FA765D80B7}" srcOrd="2" destOrd="0" presId="urn:microsoft.com/office/officeart/2005/8/layout/vList5"/>
    <dgm:cxn modelId="{C6451ECD-D324-4C17-8A50-5327B419A14E}" type="presParOf" srcId="{5AF15014-9235-4539-A2D3-E9FA765D80B7}" destId="{4EC09846-7978-4C51-99D4-1B283DA97C6C}" srcOrd="0" destOrd="0" presId="urn:microsoft.com/office/officeart/2005/8/layout/vList5"/>
    <dgm:cxn modelId="{8B993B91-A1F2-41F1-A012-CBF3A450EFF2}" type="presParOf" srcId="{5AF15014-9235-4539-A2D3-E9FA765D80B7}" destId="{1827607E-A413-49E4-847B-00E176850AF4}" srcOrd="1" destOrd="0" presId="urn:microsoft.com/office/officeart/2005/8/layout/vList5"/>
    <dgm:cxn modelId="{B63E2747-2432-4AB9-9609-5593682D3A31}" type="presParOf" srcId="{CA25F756-5F59-4A33-88A7-72FA1ED45221}" destId="{2211CEAD-B331-4519-8822-1F5E43432F4F}" srcOrd="3" destOrd="0" presId="urn:microsoft.com/office/officeart/2005/8/layout/vList5"/>
    <dgm:cxn modelId="{CE5DA1D1-8BB8-4896-8CE3-1D78ADF3E553}" type="presParOf" srcId="{CA25F756-5F59-4A33-88A7-72FA1ED45221}" destId="{4FA18521-6921-4FE2-9B80-243FD1644059}" srcOrd="4" destOrd="0" presId="urn:microsoft.com/office/officeart/2005/8/layout/vList5"/>
    <dgm:cxn modelId="{40379E64-94B5-4BA1-99B4-89E55640310C}" type="presParOf" srcId="{4FA18521-6921-4FE2-9B80-243FD1644059}" destId="{4A99BF86-0527-403F-945E-2E36C95A0B91}" srcOrd="0" destOrd="0" presId="urn:microsoft.com/office/officeart/2005/8/layout/vList5"/>
    <dgm:cxn modelId="{ADD69040-9B54-4DC0-907D-4D2DF4A48D70}" type="presParOf" srcId="{4FA18521-6921-4FE2-9B80-243FD1644059}" destId="{426897CE-1FA3-4531-BB7C-C509FFED33AB}" srcOrd="1" destOrd="0" presId="urn:microsoft.com/office/officeart/2005/8/layout/vList5"/>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91D4171-FA7C-4379-BD32-5706BA6F4482}" type="doc">
      <dgm:prSet loTypeId="urn:microsoft.com/office/officeart/2005/8/layout/pyramid2" loCatId="pyramid" qsTypeId="urn:microsoft.com/office/officeart/2005/8/quickstyle/simple1" qsCatId="simple" csTypeId="urn:microsoft.com/office/officeart/2005/8/colors/accent6_5" csCatId="accent6" phldr="1"/>
      <dgm:spPr/>
    </dgm:pt>
    <dgm:pt modelId="{AF4B0348-A775-45AF-BF72-3486566B3A18}">
      <dgm:prSet phldrT="[Text]" custT="1"/>
      <dgm:spPr>
        <a:xfrm>
          <a:off x="1972288" y="381922"/>
          <a:ext cx="2581974" cy="630911"/>
        </a:xfrm>
        <a:prstGeom prst="roundRect">
          <a:avLst/>
        </a:prstGeom>
        <a:solidFill>
          <a:sysClr val="window" lastClr="FFFFFF">
            <a:alpha val="90000"/>
            <a:hueOff val="0"/>
            <a:satOff val="0"/>
            <a:lumOff val="0"/>
            <a:alphaOff val="0"/>
          </a:sysClr>
        </a:solidFill>
        <a:ln w="12700" cap="flat" cmpd="sng" algn="ctr">
          <a:solidFill>
            <a:srgbClr val="70AD47">
              <a:alpha val="90000"/>
              <a:hueOff val="0"/>
              <a:satOff val="0"/>
              <a:lumOff val="0"/>
              <a:alphaOff val="0"/>
            </a:srgbClr>
          </a:solidFill>
          <a:prstDash val="solid"/>
          <a:miter lim="800000"/>
        </a:ln>
        <a:effectLst/>
      </dgm:spPr>
      <dgm:t>
        <a:bodyPr/>
        <a:lstStyle/>
        <a:p>
          <a:pPr algn="ctr">
            <a:buNone/>
          </a:pPr>
          <a:r>
            <a:rPr lang="en-AU" sz="1100">
              <a:solidFill>
                <a:sysClr val="windowText" lastClr="000000">
                  <a:hueOff val="0"/>
                  <a:satOff val="0"/>
                  <a:lumOff val="0"/>
                  <a:alphaOff val="0"/>
                </a:sysClr>
              </a:solidFill>
              <a:latin typeface="Calibri" panose="020F0502020204030204"/>
              <a:ea typeface="+mn-ea"/>
              <a:cs typeface="+mn-cs"/>
            </a:rPr>
            <a:t>Patients' residential address at 1, 3, 6 and 12 months post-transplant (i.e. transplant centre/regional centre/home)</a:t>
          </a:r>
          <a:endParaRPr lang="en-AU" sz="1200">
            <a:solidFill>
              <a:sysClr val="windowText" lastClr="000000">
                <a:hueOff val="0"/>
                <a:satOff val="0"/>
                <a:lumOff val="0"/>
                <a:alphaOff val="0"/>
              </a:sysClr>
            </a:solidFill>
            <a:latin typeface="Calibri" panose="020F0502020204030204"/>
            <a:ea typeface="+mn-ea"/>
            <a:cs typeface="+mn-cs"/>
          </a:endParaRPr>
        </a:p>
      </dgm:t>
    </dgm:pt>
    <dgm:pt modelId="{C916EA26-6844-4641-A795-217CCABC3D27}" type="parTrans" cxnId="{70D2A59D-3E0E-4640-9E2E-4DE2AF2D393A}">
      <dgm:prSet/>
      <dgm:spPr/>
      <dgm:t>
        <a:bodyPr/>
        <a:lstStyle/>
        <a:p>
          <a:endParaRPr lang="en-AU"/>
        </a:p>
      </dgm:t>
    </dgm:pt>
    <dgm:pt modelId="{2645AE39-F5A8-46B0-BAEE-3579762286F7}" type="sibTrans" cxnId="{70D2A59D-3E0E-4640-9E2E-4DE2AF2D393A}">
      <dgm:prSet/>
      <dgm:spPr/>
      <dgm:t>
        <a:bodyPr/>
        <a:lstStyle/>
        <a:p>
          <a:endParaRPr lang="en-AU"/>
        </a:p>
      </dgm:t>
    </dgm:pt>
    <dgm:pt modelId="{3DB54F7C-2D4B-4E21-A211-3FC0356AC35E}">
      <dgm:prSet phldrT="[Text]" custT="1"/>
      <dgm:spPr>
        <a:xfrm>
          <a:off x="1966455" y="1087644"/>
          <a:ext cx="2576968" cy="338898"/>
        </a:xfrm>
        <a:prstGeom prst="roundRect">
          <a:avLst/>
        </a:prstGeom>
        <a:solidFill>
          <a:sysClr val="window" lastClr="FFFFFF">
            <a:alpha val="90000"/>
            <a:hueOff val="0"/>
            <a:satOff val="0"/>
            <a:lumOff val="0"/>
            <a:alphaOff val="0"/>
          </a:sysClr>
        </a:solidFill>
        <a:ln w="12700" cap="flat" cmpd="sng" algn="ctr">
          <a:solidFill>
            <a:srgbClr val="70AD47">
              <a:alpha val="90000"/>
              <a:hueOff val="0"/>
              <a:satOff val="0"/>
              <a:lumOff val="0"/>
              <a:alphaOff val="-20000"/>
            </a:srgbClr>
          </a:solidFill>
          <a:prstDash val="solid"/>
          <a:miter lim="800000"/>
        </a:ln>
        <a:effectLst/>
      </dgm:spPr>
      <dgm:t>
        <a:bodyPr/>
        <a:lstStyle/>
        <a:p>
          <a:pPr algn="ctr">
            <a:buNone/>
          </a:pPr>
          <a:r>
            <a:rPr lang="en-AU" sz="1100">
              <a:solidFill>
                <a:sysClr val="windowText" lastClr="000000">
                  <a:hueOff val="0"/>
                  <a:satOff val="0"/>
                  <a:lumOff val="0"/>
                  <a:alphaOff val="0"/>
                </a:sysClr>
              </a:solidFill>
              <a:latin typeface="Calibri" panose="020F0502020204030204"/>
              <a:ea typeface="+mn-ea"/>
              <a:cs typeface="+mn-cs"/>
            </a:rPr>
            <a:t>Post-transplant hospitalisations</a:t>
          </a:r>
        </a:p>
      </dgm:t>
      <dgm:extLst>
        <a:ext uri="{E40237B7-FDA0-4F09-8148-C483321AD2D9}">
          <dgm14:cNvPr xmlns:dgm14="http://schemas.microsoft.com/office/drawing/2010/diagram" id="0" name="" descr="Diagram showing additional recommended post transplant data points including residential address, post-transplant hospitalisations, active infections and immunosuppressant details."/>
        </a:ext>
      </dgm:extLst>
    </dgm:pt>
    <dgm:pt modelId="{8ACB44AE-43B3-4F98-BC4B-C1C30DE8E820}" type="parTrans" cxnId="{10E0D7E1-9D58-4494-BB78-133ADF2E9052}">
      <dgm:prSet/>
      <dgm:spPr/>
      <dgm:t>
        <a:bodyPr/>
        <a:lstStyle/>
        <a:p>
          <a:endParaRPr lang="en-AU"/>
        </a:p>
      </dgm:t>
    </dgm:pt>
    <dgm:pt modelId="{B6D9FB49-64AE-41E5-81E6-BD7C5C4C6D12}" type="sibTrans" cxnId="{10E0D7E1-9D58-4494-BB78-133ADF2E9052}">
      <dgm:prSet/>
      <dgm:spPr/>
      <dgm:t>
        <a:bodyPr/>
        <a:lstStyle/>
        <a:p>
          <a:endParaRPr lang="en-AU"/>
        </a:p>
      </dgm:t>
    </dgm:pt>
    <dgm:pt modelId="{20E679EF-278E-4D62-87FD-B99306B72378}">
      <dgm:prSet phldrT="[Text]" custT="1"/>
      <dgm:spPr>
        <a:xfrm>
          <a:off x="1959774" y="1921934"/>
          <a:ext cx="2606966" cy="790426"/>
        </a:xfrm>
        <a:prstGeom prst="roundRect">
          <a:avLst/>
        </a:prstGeom>
        <a:solidFill>
          <a:sysClr val="window" lastClr="FFFFFF">
            <a:alpha val="90000"/>
            <a:hueOff val="0"/>
            <a:satOff val="0"/>
            <a:lumOff val="0"/>
            <a:alphaOff val="0"/>
          </a:sysClr>
        </a:solidFill>
        <a:ln w="12700" cap="flat" cmpd="sng" algn="ctr">
          <a:solidFill>
            <a:srgbClr val="70AD47">
              <a:alpha val="90000"/>
              <a:hueOff val="0"/>
              <a:satOff val="0"/>
              <a:lumOff val="0"/>
              <a:alphaOff val="-40000"/>
            </a:srgbClr>
          </a:solidFill>
          <a:prstDash val="solid"/>
          <a:miter lim="800000"/>
        </a:ln>
        <a:effectLst/>
      </dgm:spPr>
      <dgm:t>
        <a:bodyPr/>
        <a:lstStyle/>
        <a:p>
          <a:pPr>
            <a:buNone/>
          </a:pPr>
          <a:r>
            <a:rPr lang="en-AU" sz="1100">
              <a:solidFill>
                <a:sysClr val="windowText" lastClr="000000">
                  <a:hueOff val="0"/>
                  <a:satOff val="0"/>
                  <a:lumOff val="0"/>
                  <a:alphaOff val="0"/>
                </a:sysClr>
              </a:solidFill>
              <a:latin typeface="Calibri" panose="020F0502020204030204"/>
              <a:ea typeface="+mn-ea"/>
              <a:cs typeface="+mn-cs"/>
            </a:rPr>
            <a:t>Immunosuppressant blood levels of patients who are experiencing nephrotoxicity or rejection, to determine the role of medication adherence in poor transplant outcomes</a:t>
          </a:r>
        </a:p>
      </dgm:t>
    </dgm:pt>
    <dgm:pt modelId="{02F265EB-E9FE-4E52-8D7D-F3F0B71CDD86}" type="parTrans" cxnId="{44FBEFF8-935E-4C8A-8953-109B0A85F992}">
      <dgm:prSet/>
      <dgm:spPr/>
      <dgm:t>
        <a:bodyPr/>
        <a:lstStyle/>
        <a:p>
          <a:endParaRPr lang="en-AU"/>
        </a:p>
      </dgm:t>
    </dgm:pt>
    <dgm:pt modelId="{FC06D933-F76D-4897-A114-DC6822737DC4}" type="sibTrans" cxnId="{44FBEFF8-935E-4C8A-8953-109B0A85F992}">
      <dgm:prSet/>
      <dgm:spPr/>
      <dgm:t>
        <a:bodyPr/>
        <a:lstStyle/>
        <a:p>
          <a:endParaRPr lang="en-AU"/>
        </a:p>
      </dgm:t>
    </dgm:pt>
    <dgm:pt modelId="{6FE0A45D-011B-4FBD-B729-AB1C79869F74}">
      <dgm:prSet phldrT="[Text]" custT="1"/>
      <dgm:spPr>
        <a:xfrm>
          <a:off x="1968111" y="1495039"/>
          <a:ext cx="2590329" cy="372694"/>
        </a:xfrm>
        <a:prstGeom prst="roundRect">
          <a:avLst/>
        </a:prstGeom>
        <a:solidFill>
          <a:sysClr val="window" lastClr="FFFFFF">
            <a:alpha val="90000"/>
            <a:hueOff val="0"/>
            <a:satOff val="0"/>
            <a:lumOff val="0"/>
            <a:alphaOff val="0"/>
          </a:sysClr>
        </a:solidFill>
        <a:ln w="12700" cap="flat" cmpd="sng" algn="ctr">
          <a:solidFill>
            <a:srgbClr val="70AD47">
              <a:alpha val="90000"/>
              <a:hueOff val="0"/>
              <a:satOff val="0"/>
              <a:lumOff val="0"/>
              <a:alphaOff val="-30000"/>
            </a:srgbClr>
          </a:solidFill>
          <a:prstDash val="solid"/>
          <a:miter lim="800000"/>
        </a:ln>
        <a:effectLst/>
      </dgm:spPr>
      <dgm:t>
        <a:bodyPr/>
        <a:lstStyle/>
        <a:p>
          <a:pPr algn="ctr">
            <a:buNone/>
          </a:pPr>
          <a:r>
            <a:rPr lang="en-AU" sz="1100">
              <a:solidFill>
                <a:sysClr val="windowText" lastClr="000000">
                  <a:hueOff val="0"/>
                  <a:satOff val="0"/>
                  <a:lumOff val="0"/>
                  <a:alphaOff val="0"/>
                </a:sysClr>
              </a:solidFill>
              <a:latin typeface="Calibri" panose="020F0502020204030204"/>
              <a:ea typeface="+mn-ea"/>
              <a:cs typeface="+mn-cs"/>
            </a:rPr>
            <a:t>Active infections</a:t>
          </a:r>
        </a:p>
      </dgm:t>
    </dgm:pt>
    <dgm:pt modelId="{71ABD69C-38B1-4714-82A0-97286904A16B}" type="parTrans" cxnId="{ECFD25C5-C840-49A2-B1D4-C5EE0DA9BAF4}">
      <dgm:prSet/>
      <dgm:spPr/>
      <dgm:t>
        <a:bodyPr/>
        <a:lstStyle/>
        <a:p>
          <a:endParaRPr lang="en-AU"/>
        </a:p>
      </dgm:t>
    </dgm:pt>
    <dgm:pt modelId="{CC85C95A-7FE9-4B9A-ACED-5AB249935CFB}" type="sibTrans" cxnId="{ECFD25C5-C840-49A2-B1D4-C5EE0DA9BAF4}">
      <dgm:prSet/>
      <dgm:spPr/>
      <dgm:t>
        <a:bodyPr/>
        <a:lstStyle/>
        <a:p>
          <a:endParaRPr lang="en-AU"/>
        </a:p>
      </dgm:t>
    </dgm:pt>
    <dgm:pt modelId="{AAE8B23D-AEEA-429D-8C7F-DBB00C38DDAD}" type="pres">
      <dgm:prSet presAssocID="{891D4171-FA7C-4379-BD32-5706BA6F4482}" presName="compositeShape" presStyleCnt="0">
        <dgm:presLayoutVars>
          <dgm:dir/>
          <dgm:resizeHandles/>
        </dgm:presLayoutVars>
      </dgm:prSet>
      <dgm:spPr/>
    </dgm:pt>
    <dgm:pt modelId="{3A95C7AB-B263-4699-9828-2011F82015BC}" type="pres">
      <dgm:prSet presAssocID="{891D4171-FA7C-4379-BD32-5706BA6F4482}" presName="pyramid" presStyleLbl="node1" presStyleIdx="0" presStyleCnt="1"/>
      <dgm:spPr>
        <a:xfrm>
          <a:off x="936314" y="0"/>
          <a:ext cx="2800349" cy="2800349"/>
        </a:xfrm>
        <a:prstGeom prst="triangle">
          <a:avLst/>
        </a:prstGeom>
        <a:solidFill>
          <a:srgbClr val="70AD47">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CF614F6-3224-4D0F-B217-51922B48ABD7}" type="pres">
      <dgm:prSet presAssocID="{891D4171-FA7C-4379-BD32-5706BA6F4482}" presName="theList" presStyleCnt="0"/>
      <dgm:spPr/>
    </dgm:pt>
    <dgm:pt modelId="{7A57BDDA-10BA-40B5-93BB-7F7AE0B15741}" type="pres">
      <dgm:prSet presAssocID="{AF4B0348-A775-45AF-BF72-3486566B3A18}" presName="aNode" presStyleLbl="fgAcc1" presStyleIdx="0" presStyleCnt="4" custScaleX="141849" custScaleY="298068" custLinFactY="35278" custLinFactNeighborX="916" custLinFactNeighborY="100000">
        <dgm:presLayoutVars>
          <dgm:bulletEnabled val="1"/>
        </dgm:presLayoutVars>
      </dgm:prSet>
      <dgm:spPr>
        <a:prstGeom prst="roundRect">
          <a:avLst/>
        </a:prstGeom>
      </dgm:spPr>
    </dgm:pt>
    <dgm:pt modelId="{D5DD450A-B80D-499D-B201-AAD85B49D387}" type="pres">
      <dgm:prSet presAssocID="{AF4B0348-A775-45AF-BF72-3486566B3A18}" presName="aSpace" presStyleCnt="0"/>
      <dgm:spPr/>
    </dgm:pt>
    <dgm:pt modelId="{3C691C2E-DFA0-49D2-A52A-2E363C1B4961}" type="pres">
      <dgm:prSet presAssocID="{3DB54F7C-2D4B-4E21-A211-3FC0356AC35E}" presName="aNode" presStyleLbl="fgAcc1" presStyleIdx="1" presStyleCnt="4" custScaleX="141574" custScaleY="160109" custLinFactY="58121" custLinFactNeighborX="458" custLinFactNeighborY="100000">
        <dgm:presLayoutVars>
          <dgm:bulletEnabled val="1"/>
        </dgm:presLayoutVars>
      </dgm:prSet>
      <dgm:spPr>
        <a:prstGeom prst="roundRect">
          <a:avLst/>
        </a:prstGeom>
      </dgm:spPr>
    </dgm:pt>
    <dgm:pt modelId="{583389DA-B490-4BE6-AABE-2F7CFDD7B841}" type="pres">
      <dgm:prSet presAssocID="{3DB54F7C-2D4B-4E21-A211-3FC0356AC35E}" presName="aSpace" presStyleCnt="0"/>
      <dgm:spPr/>
    </dgm:pt>
    <dgm:pt modelId="{2F698C8A-AEE4-4C8A-87A4-37F38AB63269}" type="pres">
      <dgm:prSet presAssocID="{6FE0A45D-011B-4FBD-B729-AB1C79869F74}" presName="aNode" presStyleLbl="fgAcc1" presStyleIdx="2" presStyleCnt="4" custScaleX="142308" custScaleY="176076" custLinFactY="77982" custLinFactNeighborX="916" custLinFactNeighborY="100000">
        <dgm:presLayoutVars>
          <dgm:bulletEnabled val="1"/>
        </dgm:presLayoutVars>
      </dgm:prSet>
      <dgm:spPr>
        <a:prstGeom prst="roundRect">
          <a:avLst/>
        </a:prstGeom>
      </dgm:spPr>
    </dgm:pt>
    <dgm:pt modelId="{4D215A83-94BA-43D3-8345-BB967128DD58}" type="pres">
      <dgm:prSet presAssocID="{6FE0A45D-011B-4FBD-B729-AB1C79869F74}" presName="aSpace" presStyleCnt="0"/>
      <dgm:spPr/>
    </dgm:pt>
    <dgm:pt modelId="{5BEDFB7A-F017-4278-BB0D-0A8FD1B10BAE}" type="pres">
      <dgm:prSet presAssocID="{20E679EF-278E-4D62-87FD-B99306B72378}" presName="aNode" presStyleLbl="fgAcc1" presStyleIdx="3" presStyleCnt="4" custScaleX="143222" custScaleY="373429" custLinFactY="91088" custLinFactNeighborX="915" custLinFactNeighborY="100000">
        <dgm:presLayoutVars>
          <dgm:bulletEnabled val="1"/>
        </dgm:presLayoutVars>
      </dgm:prSet>
      <dgm:spPr>
        <a:prstGeom prst="roundRect">
          <a:avLst/>
        </a:prstGeom>
      </dgm:spPr>
    </dgm:pt>
    <dgm:pt modelId="{4F664EAD-5449-44A6-A147-46A4B4329D5B}" type="pres">
      <dgm:prSet presAssocID="{20E679EF-278E-4D62-87FD-B99306B72378}" presName="aSpace" presStyleCnt="0"/>
      <dgm:spPr/>
    </dgm:pt>
  </dgm:ptLst>
  <dgm:cxnLst>
    <dgm:cxn modelId="{E42D7439-6ED9-43A3-B04F-F9F8136FA0CC}" type="presOf" srcId="{20E679EF-278E-4D62-87FD-B99306B72378}" destId="{5BEDFB7A-F017-4278-BB0D-0A8FD1B10BAE}" srcOrd="0" destOrd="0" presId="urn:microsoft.com/office/officeart/2005/8/layout/pyramid2"/>
    <dgm:cxn modelId="{29DCBB88-81D5-4EFA-9C5A-A3933958E195}" type="presOf" srcId="{6FE0A45D-011B-4FBD-B729-AB1C79869F74}" destId="{2F698C8A-AEE4-4C8A-87A4-37F38AB63269}" srcOrd="0" destOrd="0" presId="urn:microsoft.com/office/officeart/2005/8/layout/pyramid2"/>
    <dgm:cxn modelId="{70D2A59D-3E0E-4640-9E2E-4DE2AF2D393A}" srcId="{891D4171-FA7C-4379-BD32-5706BA6F4482}" destId="{AF4B0348-A775-45AF-BF72-3486566B3A18}" srcOrd="0" destOrd="0" parTransId="{C916EA26-6844-4641-A795-217CCABC3D27}" sibTransId="{2645AE39-F5A8-46B0-BAEE-3579762286F7}"/>
    <dgm:cxn modelId="{ECFD25C5-C840-49A2-B1D4-C5EE0DA9BAF4}" srcId="{891D4171-FA7C-4379-BD32-5706BA6F4482}" destId="{6FE0A45D-011B-4FBD-B729-AB1C79869F74}" srcOrd="2" destOrd="0" parTransId="{71ABD69C-38B1-4714-82A0-97286904A16B}" sibTransId="{CC85C95A-7FE9-4B9A-ACED-5AB249935CFB}"/>
    <dgm:cxn modelId="{DD1AE9CB-DB55-49BB-AE9D-10EB85369857}" type="presOf" srcId="{891D4171-FA7C-4379-BD32-5706BA6F4482}" destId="{AAE8B23D-AEEA-429D-8C7F-DBB00C38DDAD}" srcOrd="0" destOrd="0" presId="urn:microsoft.com/office/officeart/2005/8/layout/pyramid2"/>
    <dgm:cxn modelId="{6E7307DA-53EB-437A-B3D7-E67523C31F43}" type="presOf" srcId="{3DB54F7C-2D4B-4E21-A211-3FC0356AC35E}" destId="{3C691C2E-DFA0-49D2-A52A-2E363C1B4961}" srcOrd="0" destOrd="0" presId="urn:microsoft.com/office/officeart/2005/8/layout/pyramid2"/>
    <dgm:cxn modelId="{10E0D7E1-9D58-4494-BB78-133ADF2E9052}" srcId="{891D4171-FA7C-4379-BD32-5706BA6F4482}" destId="{3DB54F7C-2D4B-4E21-A211-3FC0356AC35E}" srcOrd="1" destOrd="0" parTransId="{8ACB44AE-43B3-4F98-BC4B-C1C30DE8E820}" sibTransId="{B6D9FB49-64AE-41E5-81E6-BD7C5C4C6D12}"/>
    <dgm:cxn modelId="{491A4FF1-66E9-45B4-AA5E-357314A62087}" type="presOf" srcId="{AF4B0348-A775-45AF-BF72-3486566B3A18}" destId="{7A57BDDA-10BA-40B5-93BB-7F7AE0B15741}" srcOrd="0" destOrd="0" presId="urn:microsoft.com/office/officeart/2005/8/layout/pyramid2"/>
    <dgm:cxn modelId="{44FBEFF8-935E-4C8A-8953-109B0A85F992}" srcId="{891D4171-FA7C-4379-BD32-5706BA6F4482}" destId="{20E679EF-278E-4D62-87FD-B99306B72378}" srcOrd="3" destOrd="0" parTransId="{02F265EB-E9FE-4E52-8D7D-F3F0B71CDD86}" sibTransId="{FC06D933-F76D-4897-A114-DC6822737DC4}"/>
    <dgm:cxn modelId="{96175C73-F53C-4D39-BA12-37E95BC02BF2}" type="presParOf" srcId="{AAE8B23D-AEEA-429D-8C7F-DBB00C38DDAD}" destId="{3A95C7AB-B263-4699-9828-2011F82015BC}" srcOrd="0" destOrd="0" presId="urn:microsoft.com/office/officeart/2005/8/layout/pyramid2"/>
    <dgm:cxn modelId="{5049C09B-A641-4880-B79F-5E52ABA3D1E1}" type="presParOf" srcId="{AAE8B23D-AEEA-429D-8C7F-DBB00C38DDAD}" destId="{2CF614F6-3224-4D0F-B217-51922B48ABD7}" srcOrd="1" destOrd="0" presId="urn:microsoft.com/office/officeart/2005/8/layout/pyramid2"/>
    <dgm:cxn modelId="{4FD06BC9-AAC5-4566-8E9D-F2EF20D3983B}" type="presParOf" srcId="{2CF614F6-3224-4D0F-B217-51922B48ABD7}" destId="{7A57BDDA-10BA-40B5-93BB-7F7AE0B15741}" srcOrd="0" destOrd="0" presId="urn:microsoft.com/office/officeart/2005/8/layout/pyramid2"/>
    <dgm:cxn modelId="{B02062F2-3511-4E3C-8AF4-FAC8434F51C1}" type="presParOf" srcId="{2CF614F6-3224-4D0F-B217-51922B48ABD7}" destId="{D5DD450A-B80D-499D-B201-AAD85B49D387}" srcOrd="1" destOrd="0" presId="urn:microsoft.com/office/officeart/2005/8/layout/pyramid2"/>
    <dgm:cxn modelId="{48830583-462D-43FA-8E90-30466BEFE8A2}" type="presParOf" srcId="{2CF614F6-3224-4D0F-B217-51922B48ABD7}" destId="{3C691C2E-DFA0-49D2-A52A-2E363C1B4961}" srcOrd="2" destOrd="0" presId="urn:microsoft.com/office/officeart/2005/8/layout/pyramid2"/>
    <dgm:cxn modelId="{C4395B19-10B7-421F-8B46-8EF7A7B5BD48}" type="presParOf" srcId="{2CF614F6-3224-4D0F-B217-51922B48ABD7}" destId="{583389DA-B490-4BE6-AABE-2F7CFDD7B841}" srcOrd="3" destOrd="0" presId="urn:microsoft.com/office/officeart/2005/8/layout/pyramid2"/>
    <dgm:cxn modelId="{0C310288-71FD-4953-882C-0B0074964071}" type="presParOf" srcId="{2CF614F6-3224-4D0F-B217-51922B48ABD7}" destId="{2F698C8A-AEE4-4C8A-87A4-37F38AB63269}" srcOrd="4" destOrd="0" presId="urn:microsoft.com/office/officeart/2005/8/layout/pyramid2"/>
    <dgm:cxn modelId="{4FDEC956-C42B-47D6-BC81-52AAE1F47C81}" type="presParOf" srcId="{2CF614F6-3224-4D0F-B217-51922B48ABD7}" destId="{4D215A83-94BA-43D3-8345-BB967128DD58}" srcOrd="5" destOrd="0" presId="urn:microsoft.com/office/officeart/2005/8/layout/pyramid2"/>
    <dgm:cxn modelId="{67A9A110-FB84-4933-9943-0CF052F00A68}" type="presParOf" srcId="{2CF614F6-3224-4D0F-B217-51922B48ABD7}" destId="{5BEDFB7A-F017-4278-BB0D-0A8FD1B10BAE}" srcOrd="6" destOrd="0" presId="urn:microsoft.com/office/officeart/2005/8/layout/pyramid2"/>
    <dgm:cxn modelId="{FB9CEB3F-3DE0-4B0F-8976-B1768882239F}" type="presParOf" srcId="{2CF614F6-3224-4D0F-B217-51922B48ABD7}" destId="{4F664EAD-5449-44A6-A147-46A4B4329D5B}" srcOrd="7" destOrd="0" presId="urn:microsoft.com/office/officeart/2005/8/layout/pyramid2"/>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57B2F7C-BFD6-491B-AFF6-2F3E92BC5D2C}" type="doc">
      <dgm:prSet loTypeId="urn:microsoft.com/office/officeart/2005/8/layout/chevron2" loCatId="process" qsTypeId="urn:microsoft.com/office/officeart/2005/8/quickstyle/simple1" qsCatId="simple" csTypeId="urn:microsoft.com/office/officeart/2005/8/colors/accent2_1" csCatId="accent2" phldr="1"/>
      <dgm:spPr/>
      <dgm:t>
        <a:bodyPr/>
        <a:lstStyle/>
        <a:p>
          <a:endParaRPr lang="en-AU"/>
        </a:p>
      </dgm:t>
    </dgm:pt>
    <dgm:pt modelId="{D925BEF0-575C-499C-AC64-CF24130E86C3}">
      <dgm:prSet phldrT="[Text]"/>
      <dgm:spPr>
        <a:xfrm rot="5400000">
          <a:off x="-180022" y="180877"/>
          <a:ext cx="1200150" cy="840105"/>
        </a:xfrm>
        <a:prstGeom prst="chevron">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AU" b="1">
              <a:solidFill>
                <a:sysClr val="windowText" lastClr="000000">
                  <a:hueOff val="0"/>
                  <a:satOff val="0"/>
                  <a:lumOff val="0"/>
                  <a:alphaOff val="0"/>
                </a:sysClr>
              </a:solidFill>
              <a:latin typeface="Calibri" panose="020F0502020204030204"/>
              <a:ea typeface="+mn-ea"/>
              <a:cs typeface="+mn-cs"/>
            </a:rPr>
            <a:t>Strategy 1</a:t>
          </a:r>
        </a:p>
      </dgm:t>
    </dgm:pt>
    <dgm:pt modelId="{B2BB8CB1-0E68-4C04-9CB0-C46483C6D04A}" type="parTrans" cxnId="{C23366B7-56EF-4BDC-91E1-168AF526775C}">
      <dgm:prSet/>
      <dgm:spPr/>
      <dgm:t>
        <a:bodyPr/>
        <a:lstStyle/>
        <a:p>
          <a:endParaRPr lang="en-AU"/>
        </a:p>
      </dgm:t>
    </dgm:pt>
    <dgm:pt modelId="{1B421E8D-8F8A-400C-A500-C014769C7632}" type="sibTrans" cxnId="{C23366B7-56EF-4BDC-91E1-168AF526775C}">
      <dgm:prSet/>
      <dgm:spPr/>
      <dgm:t>
        <a:bodyPr/>
        <a:lstStyle/>
        <a:p>
          <a:endParaRPr lang="en-AU"/>
        </a:p>
      </dgm:t>
    </dgm:pt>
    <dgm:pt modelId="{F2C7CB8D-80D0-4E67-8578-C7E01BAF7EBF}">
      <dgm:prSet phldrT="[Text]"/>
      <dgm:spPr>
        <a:xfrm rot="5400000">
          <a:off x="2773203" y="-1932243"/>
          <a:ext cx="780097" cy="4646295"/>
        </a:xfrm>
        <a:prstGeom prst="round2SameRect">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r>
            <a:rPr lang="en-AU">
              <a:solidFill>
                <a:sysClr val="windowText" lastClr="000000">
                  <a:hueOff val="0"/>
                  <a:satOff val="0"/>
                  <a:lumOff val="0"/>
                  <a:alphaOff val="0"/>
                </a:sysClr>
              </a:solidFill>
              <a:latin typeface="Calibri" panose="020F0502020204030204"/>
              <a:ea typeface="+mn-ea"/>
              <a:cs typeface="+mn-cs"/>
            </a:rPr>
            <a:t>Consultation with a panel of health practitioners who are experienced and expert in “on-the-ground” clinical renal health care delivery to Aboriginal and Torres Strait Islander peoples.</a:t>
          </a:r>
        </a:p>
      </dgm:t>
    </dgm:pt>
    <dgm:pt modelId="{7C9AA587-95A1-48C6-958F-C83539A8A3D4}" type="parTrans" cxnId="{33AD1FED-FD0A-4727-AAB8-D93E7B71D9A3}">
      <dgm:prSet/>
      <dgm:spPr/>
      <dgm:t>
        <a:bodyPr/>
        <a:lstStyle/>
        <a:p>
          <a:endParaRPr lang="en-AU"/>
        </a:p>
      </dgm:t>
    </dgm:pt>
    <dgm:pt modelId="{1D4CE22E-99F6-416E-8BCA-DE250C17EA8D}" type="sibTrans" cxnId="{33AD1FED-FD0A-4727-AAB8-D93E7B71D9A3}">
      <dgm:prSet/>
      <dgm:spPr/>
      <dgm:t>
        <a:bodyPr/>
        <a:lstStyle/>
        <a:p>
          <a:endParaRPr lang="en-AU"/>
        </a:p>
      </dgm:t>
    </dgm:pt>
    <dgm:pt modelId="{19CCCDB6-F72B-4D44-BFC3-1AFBA7976311}">
      <dgm:prSet phldrT="[Text]"/>
      <dgm:spPr>
        <a:xfrm rot="5400000">
          <a:off x="-180022" y="1180147"/>
          <a:ext cx="1200150" cy="840105"/>
        </a:xfrm>
        <a:prstGeom prst="chevron">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AU" b="1">
              <a:solidFill>
                <a:sysClr val="windowText" lastClr="000000">
                  <a:hueOff val="0"/>
                  <a:satOff val="0"/>
                  <a:lumOff val="0"/>
                  <a:alphaOff val="0"/>
                </a:sysClr>
              </a:solidFill>
              <a:latin typeface="Calibri" panose="020F0502020204030204"/>
              <a:ea typeface="+mn-ea"/>
              <a:cs typeface="+mn-cs"/>
            </a:rPr>
            <a:t>Strategy 2</a:t>
          </a:r>
        </a:p>
      </dgm:t>
    </dgm:pt>
    <dgm:pt modelId="{7DCF4652-8FAB-45BB-BDAA-11072F6436AD}" type="parTrans" cxnId="{9E1A73E8-1082-4D9E-8965-683A996457F6}">
      <dgm:prSet/>
      <dgm:spPr/>
      <dgm:t>
        <a:bodyPr/>
        <a:lstStyle/>
        <a:p>
          <a:endParaRPr lang="en-AU"/>
        </a:p>
      </dgm:t>
    </dgm:pt>
    <dgm:pt modelId="{2C7EE006-6054-4DEC-83EE-DA0D522BD95C}" type="sibTrans" cxnId="{9E1A73E8-1082-4D9E-8965-683A996457F6}">
      <dgm:prSet/>
      <dgm:spPr/>
      <dgm:t>
        <a:bodyPr/>
        <a:lstStyle/>
        <a:p>
          <a:endParaRPr lang="en-AU"/>
        </a:p>
      </dgm:t>
    </dgm:pt>
    <dgm:pt modelId="{31CE079F-145E-4967-B5C9-79833CC74FEB}">
      <dgm:prSet phldrT="[Text]"/>
      <dgm:spPr>
        <a:xfrm rot="5400000">
          <a:off x="2773203" y="-932973"/>
          <a:ext cx="780097" cy="4646295"/>
        </a:xfrm>
        <a:prstGeom prst="round2SameRect">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r>
            <a:rPr lang="en-AU">
              <a:solidFill>
                <a:sysClr val="windowText" lastClr="000000">
                  <a:hueOff val="0"/>
                  <a:satOff val="0"/>
                  <a:lumOff val="0"/>
                  <a:alphaOff val="0"/>
                </a:sysClr>
              </a:solidFill>
              <a:latin typeface="Calibri" panose="020F0502020204030204"/>
              <a:ea typeface="+mn-ea"/>
              <a:cs typeface="+mn-cs"/>
            </a:rPr>
            <a:t>Targeted site engagements with locally-based Aboriginal and Torres Strait Islander consumers and community members and service providers.</a:t>
          </a:r>
        </a:p>
      </dgm:t>
    </dgm:pt>
    <dgm:pt modelId="{2BBAF968-407E-4750-A55D-48B6A776D3CE}" type="parTrans" cxnId="{371CD106-A725-4915-B7B5-E5B9CF225670}">
      <dgm:prSet/>
      <dgm:spPr/>
      <dgm:t>
        <a:bodyPr/>
        <a:lstStyle/>
        <a:p>
          <a:endParaRPr lang="en-AU"/>
        </a:p>
      </dgm:t>
    </dgm:pt>
    <dgm:pt modelId="{EF39C52B-7C08-4F4E-875F-0784287A3825}" type="sibTrans" cxnId="{371CD106-A725-4915-B7B5-E5B9CF225670}">
      <dgm:prSet/>
      <dgm:spPr/>
      <dgm:t>
        <a:bodyPr/>
        <a:lstStyle/>
        <a:p>
          <a:endParaRPr lang="en-AU"/>
        </a:p>
      </dgm:t>
    </dgm:pt>
    <dgm:pt modelId="{1E563B68-CC65-4562-AEA8-749CA6B02080}">
      <dgm:prSet phldrT="[Text]"/>
      <dgm:spPr>
        <a:xfrm rot="5400000">
          <a:off x="-180022" y="2179417"/>
          <a:ext cx="1200150" cy="840105"/>
        </a:xfrm>
        <a:prstGeom prst="chevron">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AU" b="1">
              <a:solidFill>
                <a:sysClr val="windowText" lastClr="000000">
                  <a:hueOff val="0"/>
                  <a:satOff val="0"/>
                  <a:lumOff val="0"/>
                  <a:alphaOff val="0"/>
                </a:sysClr>
              </a:solidFill>
              <a:latin typeface="Calibri" panose="020F0502020204030204"/>
              <a:ea typeface="+mn-ea"/>
              <a:cs typeface="+mn-cs"/>
            </a:rPr>
            <a:t>Strategy 3</a:t>
          </a:r>
        </a:p>
      </dgm:t>
    </dgm:pt>
    <dgm:pt modelId="{B016CF9E-3E68-4E8A-B04F-A60C0A1E66AD}" type="parTrans" cxnId="{F830DACA-69F9-42E6-971D-5E6D7E4C13A7}">
      <dgm:prSet/>
      <dgm:spPr/>
      <dgm:t>
        <a:bodyPr/>
        <a:lstStyle/>
        <a:p>
          <a:endParaRPr lang="en-AU"/>
        </a:p>
      </dgm:t>
    </dgm:pt>
    <dgm:pt modelId="{B48D495C-0908-414D-B3AD-0183AA9ADDBD}" type="sibTrans" cxnId="{F830DACA-69F9-42E6-971D-5E6D7E4C13A7}">
      <dgm:prSet/>
      <dgm:spPr/>
      <dgm:t>
        <a:bodyPr/>
        <a:lstStyle/>
        <a:p>
          <a:endParaRPr lang="en-AU"/>
        </a:p>
      </dgm:t>
    </dgm:pt>
    <dgm:pt modelId="{528EF948-5721-481E-99B0-FE1CD83F1FBE}">
      <dgm:prSet phldrT="[Text]"/>
      <dgm:spPr>
        <a:xfrm rot="5400000">
          <a:off x="2773203" y="66296"/>
          <a:ext cx="780097" cy="4646295"/>
        </a:xfrm>
        <a:prstGeom prst="round2SameRect">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r>
            <a:rPr lang="en-AU">
              <a:solidFill>
                <a:sysClr val="windowText" lastClr="000000">
                  <a:hueOff val="0"/>
                  <a:satOff val="0"/>
                  <a:lumOff val="0"/>
                  <a:alphaOff val="0"/>
                </a:sysClr>
              </a:solidFill>
              <a:latin typeface="Calibri" panose="020F0502020204030204"/>
              <a:ea typeface="+mn-ea"/>
              <a:cs typeface="+mn-cs"/>
            </a:rPr>
            <a:t>Consultation and feedback from national peak organisations who are working in the area of kidney health.</a:t>
          </a:r>
        </a:p>
      </dgm:t>
    </dgm:pt>
    <dgm:pt modelId="{E91BF0E1-7749-45CB-AB9E-EF99DCEDE146}" type="parTrans" cxnId="{22CCD2E3-A9E3-4093-B264-157F899D9473}">
      <dgm:prSet/>
      <dgm:spPr/>
      <dgm:t>
        <a:bodyPr/>
        <a:lstStyle/>
        <a:p>
          <a:endParaRPr lang="en-AU"/>
        </a:p>
      </dgm:t>
    </dgm:pt>
    <dgm:pt modelId="{55CC8681-5FB3-4E13-AD65-8033D5636097}" type="sibTrans" cxnId="{22CCD2E3-A9E3-4093-B264-157F899D9473}">
      <dgm:prSet/>
      <dgm:spPr/>
      <dgm:t>
        <a:bodyPr/>
        <a:lstStyle/>
        <a:p>
          <a:endParaRPr lang="en-AU"/>
        </a:p>
      </dgm:t>
    </dgm:pt>
    <dgm:pt modelId="{1731CB30-3A52-4F2E-9D76-5D9E225884B4}" type="pres">
      <dgm:prSet presAssocID="{457B2F7C-BFD6-491B-AFF6-2F3E92BC5D2C}" presName="linearFlow" presStyleCnt="0">
        <dgm:presLayoutVars>
          <dgm:dir/>
          <dgm:animLvl val="lvl"/>
          <dgm:resizeHandles val="exact"/>
        </dgm:presLayoutVars>
      </dgm:prSet>
      <dgm:spPr/>
    </dgm:pt>
    <dgm:pt modelId="{3F641133-EA77-4120-90DA-563080BDB583}" type="pres">
      <dgm:prSet presAssocID="{D925BEF0-575C-499C-AC64-CF24130E86C3}" presName="composite" presStyleCnt="0"/>
      <dgm:spPr/>
    </dgm:pt>
    <dgm:pt modelId="{D7394E1F-3013-4DE8-B937-62CA4FE3D60D}" type="pres">
      <dgm:prSet presAssocID="{D925BEF0-575C-499C-AC64-CF24130E86C3}" presName="parentText" presStyleLbl="alignNode1" presStyleIdx="0" presStyleCnt="3">
        <dgm:presLayoutVars>
          <dgm:chMax val="1"/>
          <dgm:bulletEnabled val="1"/>
        </dgm:presLayoutVars>
      </dgm:prSet>
      <dgm:spPr/>
    </dgm:pt>
    <dgm:pt modelId="{5CA3B670-B678-4E78-BBB9-46ECE46C59DC}" type="pres">
      <dgm:prSet presAssocID="{D925BEF0-575C-499C-AC64-CF24130E86C3}" presName="descendantText" presStyleLbl="alignAcc1" presStyleIdx="0" presStyleCnt="3">
        <dgm:presLayoutVars>
          <dgm:bulletEnabled val="1"/>
        </dgm:presLayoutVars>
      </dgm:prSet>
      <dgm:spPr/>
    </dgm:pt>
    <dgm:pt modelId="{97CE9660-183E-4877-8122-BD69FAD67C6C}" type="pres">
      <dgm:prSet presAssocID="{1B421E8D-8F8A-400C-A500-C014769C7632}" presName="sp" presStyleCnt="0"/>
      <dgm:spPr/>
    </dgm:pt>
    <dgm:pt modelId="{EEEC7790-ED83-4FA5-9361-5987479B0A1F}" type="pres">
      <dgm:prSet presAssocID="{19CCCDB6-F72B-4D44-BFC3-1AFBA7976311}" presName="composite" presStyleCnt="0"/>
      <dgm:spPr/>
    </dgm:pt>
    <dgm:pt modelId="{0681C37F-55CA-4343-B3F4-FB8291782651}" type="pres">
      <dgm:prSet presAssocID="{19CCCDB6-F72B-4D44-BFC3-1AFBA7976311}" presName="parentText" presStyleLbl="alignNode1" presStyleIdx="1" presStyleCnt="3">
        <dgm:presLayoutVars>
          <dgm:chMax val="1"/>
          <dgm:bulletEnabled val="1"/>
        </dgm:presLayoutVars>
      </dgm:prSet>
      <dgm:spPr/>
    </dgm:pt>
    <dgm:pt modelId="{DDEB9EF7-DEB1-465F-8CC7-70AC26756AA1}" type="pres">
      <dgm:prSet presAssocID="{19CCCDB6-F72B-4D44-BFC3-1AFBA7976311}" presName="descendantText" presStyleLbl="alignAcc1" presStyleIdx="1" presStyleCnt="3">
        <dgm:presLayoutVars>
          <dgm:bulletEnabled val="1"/>
        </dgm:presLayoutVars>
      </dgm:prSet>
      <dgm:spPr/>
    </dgm:pt>
    <dgm:pt modelId="{75F26EDF-D9CA-492C-9701-B4BF3538AFA3}" type="pres">
      <dgm:prSet presAssocID="{2C7EE006-6054-4DEC-83EE-DA0D522BD95C}" presName="sp" presStyleCnt="0"/>
      <dgm:spPr/>
    </dgm:pt>
    <dgm:pt modelId="{CDF4036C-AFA2-442D-AC2D-C1C1507D08D2}" type="pres">
      <dgm:prSet presAssocID="{1E563B68-CC65-4562-AEA8-749CA6B02080}" presName="composite" presStyleCnt="0"/>
      <dgm:spPr/>
    </dgm:pt>
    <dgm:pt modelId="{106BE7D6-1CCC-4306-81D8-7A2BF0348CEA}" type="pres">
      <dgm:prSet presAssocID="{1E563B68-CC65-4562-AEA8-749CA6B02080}" presName="parentText" presStyleLbl="alignNode1" presStyleIdx="2" presStyleCnt="3">
        <dgm:presLayoutVars>
          <dgm:chMax val="1"/>
          <dgm:bulletEnabled val="1"/>
        </dgm:presLayoutVars>
      </dgm:prSet>
      <dgm:spPr/>
    </dgm:pt>
    <dgm:pt modelId="{7CDCCC49-DB7D-43AA-B48E-1E16A1CA2D27}" type="pres">
      <dgm:prSet presAssocID="{1E563B68-CC65-4562-AEA8-749CA6B02080}" presName="descendantText" presStyleLbl="alignAcc1" presStyleIdx="2" presStyleCnt="3">
        <dgm:presLayoutVars>
          <dgm:bulletEnabled val="1"/>
        </dgm:presLayoutVars>
      </dgm:prSet>
      <dgm:spPr/>
    </dgm:pt>
  </dgm:ptLst>
  <dgm:cxnLst>
    <dgm:cxn modelId="{371CD106-A725-4915-B7B5-E5B9CF225670}" srcId="{19CCCDB6-F72B-4D44-BFC3-1AFBA7976311}" destId="{31CE079F-145E-4967-B5C9-79833CC74FEB}" srcOrd="0" destOrd="0" parTransId="{2BBAF968-407E-4750-A55D-48B6A776D3CE}" sibTransId="{EF39C52B-7C08-4F4E-875F-0784287A3825}"/>
    <dgm:cxn modelId="{352DBF24-3F4C-4090-A459-80131C185607}" type="presOf" srcId="{31CE079F-145E-4967-B5C9-79833CC74FEB}" destId="{DDEB9EF7-DEB1-465F-8CC7-70AC26756AA1}" srcOrd="0" destOrd="0" presId="urn:microsoft.com/office/officeart/2005/8/layout/chevron2"/>
    <dgm:cxn modelId="{21086E2F-A84F-400B-BF10-9702843D74BF}" type="presOf" srcId="{F2C7CB8D-80D0-4E67-8578-C7E01BAF7EBF}" destId="{5CA3B670-B678-4E78-BBB9-46ECE46C59DC}" srcOrd="0" destOrd="0" presId="urn:microsoft.com/office/officeart/2005/8/layout/chevron2"/>
    <dgm:cxn modelId="{37EBE432-4E80-4AAF-84C3-0ED0D5FFBFE3}" type="presOf" srcId="{D925BEF0-575C-499C-AC64-CF24130E86C3}" destId="{D7394E1F-3013-4DE8-B937-62CA4FE3D60D}" srcOrd="0" destOrd="0" presId="urn:microsoft.com/office/officeart/2005/8/layout/chevron2"/>
    <dgm:cxn modelId="{531CDC69-790E-4596-83B0-EB6E21E6D093}" type="presOf" srcId="{19CCCDB6-F72B-4D44-BFC3-1AFBA7976311}" destId="{0681C37F-55CA-4343-B3F4-FB8291782651}" srcOrd="0" destOrd="0" presId="urn:microsoft.com/office/officeart/2005/8/layout/chevron2"/>
    <dgm:cxn modelId="{3A92297D-4166-4B8B-B255-FBE9C8DFF7F3}" type="presOf" srcId="{1E563B68-CC65-4562-AEA8-749CA6B02080}" destId="{106BE7D6-1CCC-4306-81D8-7A2BF0348CEA}" srcOrd="0" destOrd="0" presId="urn:microsoft.com/office/officeart/2005/8/layout/chevron2"/>
    <dgm:cxn modelId="{27BD1293-A313-4081-9009-6ADF4202B5CE}" type="presOf" srcId="{528EF948-5721-481E-99B0-FE1CD83F1FBE}" destId="{7CDCCC49-DB7D-43AA-B48E-1E16A1CA2D27}" srcOrd="0" destOrd="0" presId="urn:microsoft.com/office/officeart/2005/8/layout/chevron2"/>
    <dgm:cxn modelId="{C23366B7-56EF-4BDC-91E1-168AF526775C}" srcId="{457B2F7C-BFD6-491B-AFF6-2F3E92BC5D2C}" destId="{D925BEF0-575C-499C-AC64-CF24130E86C3}" srcOrd="0" destOrd="0" parTransId="{B2BB8CB1-0E68-4C04-9CB0-C46483C6D04A}" sibTransId="{1B421E8D-8F8A-400C-A500-C014769C7632}"/>
    <dgm:cxn modelId="{F830DACA-69F9-42E6-971D-5E6D7E4C13A7}" srcId="{457B2F7C-BFD6-491B-AFF6-2F3E92BC5D2C}" destId="{1E563B68-CC65-4562-AEA8-749CA6B02080}" srcOrd="2" destOrd="0" parTransId="{B016CF9E-3E68-4E8A-B04F-A60C0A1E66AD}" sibTransId="{B48D495C-0908-414D-B3AD-0183AA9ADDBD}"/>
    <dgm:cxn modelId="{22CCD2E3-A9E3-4093-B264-157F899D9473}" srcId="{1E563B68-CC65-4562-AEA8-749CA6B02080}" destId="{528EF948-5721-481E-99B0-FE1CD83F1FBE}" srcOrd="0" destOrd="0" parTransId="{E91BF0E1-7749-45CB-AB9E-EF99DCEDE146}" sibTransId="{55CC8681-5FB3-4E13-AD65-8033D5636097}"/>
    <dgm:cxn modelId="{41A9C2E5-BF09-46B4-8380-2621624189B1}" type="presOf" srcId="{457B2F7C-BFD6-491B-AFF6-2F3E92BC5D2C}" destId="{1731CB30-3A52-4F2E-9D76-5D9E225884B4}" srcOrd="0" destOrd="0" presId="urn:microsoft.com/office/officeart/2005/8/layout/chevron2"/>
    <dgm:cxn modelId="{9E1A73E8-1082-4D9E-8965-683A996457F6}" srcId="{457B2F7C-BFD6-491B-AFF6-2F3E92BC5D2C}" destId="{19CCCDB6-F72B-4D44-BFC3-1AFBA7976311}" srcOrd="1" destOrd="0" parTransId="{7DCF4652-8FAB-45BB-BDAA-11072F6436AD}" sibTransId="{2C7EE006-6054-4DEC-83EE-DA0D522BD95C}"/>
    <dgm:cxn modelId="{33AD1FED-FD0A-4727-AAB8-D93E7B71D9A3}" srcId="{D925BEF0-575C-499C-AC64-CF24130E86C3}" destId="{F2C7CB8D-80D0-4E67-8578-C7E01BAF7EBF}" srcOrd="0" destOrd="0" parTransId="{7C9AA587-95A1-48C6-958F-C83539A8A3D4}" sibTransId="{1D4CE22E-99F6-416E-8BCA-DE250C17EA8D}"/>
    <dgm:cxn modelId="{EE81DD7E-4816-4487-97CD-CBF33A49B4F3}" type="presParOf" srcId="{1731CB30-3A52-4F2E-9D76-5D9E225884B4}" destId="{3F641133-EA77-4120-90DA-563080BDB583}" srcOrd="0" destOrd="0" presId="urn:microsoft.com/office/officeart/2005/8/layout/chevron2"/>
    <dgm:cxn modelId="{69A8CF53-6462-45FE-83C3-2705E6090259}" type="presParOf" srcId="{3F641133-EA77-4120-90DA-563080BDB583}" destId="{D7394E1F-3013-4DE8-B937-62CA4FE3D60D}" srcOrd="0" destOrd="0" presId="urn:microsoft.com/office/officeart/2005/8/layout/chevron2"/>
    <dgm:cxn modelId="{9E5ABA7A-970F-401E-969B-E2EE7B02157A}" type="presParOf" srcId="{3F641133-EA77-4120-90DA-563080BDB583}" destId="{5CA3B670-B678-4E78-BBB9-46ECE46C59DC}" srcOrd="1" destOrd="0" presId="urn:microsoft.com/office/officeart/2005/8/layout/chevron2"/>
    <dgm:cxn modelId="{49DBE3A2-40DD-4BF4-A9ED-977FF7236312}" type="presParOf" srcId="{1731CB30-3A52-4F2E-9D76-5D9E225884B4}" destId="{97CE9660-183E-4877-8122-BD69FAD67C6C}" srcOrd="1" destOrd="0" presId="urn:microsoft.com/office/officeart/2005/8/layout/chevron2"/>
    <dgm:cxn modelId="{2463BF15-DA5E-47A9-B76A-097CA0001113}" type="presParOf" srcId="{1731CB30-3A52-4F2E-9D76-5D9E225884B4}" destId="{EEEC7790-ED83-4FA5-9361-5987479B0A1F}" srcOrd="2" destOrd="0" presId="urn:microsoft.com/office/officeart/2005/8/layout/chevron2"/>
    <dgm:cxn modelId="{E82E1BF9-6F17-4797-82DF-76CAF8FBB07D}" type="presParOf" srcId="{EEEC7790-ED83-4FA5-9361-5987479B0A1F}" destId="{0681C37F-55CA-4343-B3F4-FB8291782651}" srcOrd="0" destOrd="0" presId="urn:microsoft.com/office/officeart/2005/8/layout/chevron2"/>
    <dgm:cxn modelId="{18F2689B-65C7-44F1-8643-52EEEEF3C840}" type="presParOf" srcId="{EEEC7790-ED83-4FA5-9361-5987479B0A1F}" destId="{DDEB9EF7-DEB1-465F-8CC7-70AC26756AA1}" srcOrd="1" destOrd="0" presId="urn:microsoft.com/office/officeart/2005/8/layout/chevron2"/>
    <dgm:cxn modelId="{CF2E69D7-D0D4-40F6-B600-32F88086D313}" type="presParOf" srcId="{1731CB30-3A52-4F2E-9D76-5D9E225884B4}" destId="{75F26EDF-D9CA-492C-9701-B4BF3538AFA3}" srcOrd="3" destOrd="0" presId="urn:microsoft.com/office/officeart/2005/8/layout/chevron2"/>
    <dgm:cxn modelId="{3CE425D6-DD8B-4F9D-9E1B-F01571D09A5C}" type="presParOf" srcId="{1731CB30-3A52-4F2E-9D76-5D9E225884B4}" destId="{CDF4036C-AFA2-442D-AC2D-C1C1507D08D2}" srcOrd="4" destOrd="0" presId="urn:microsoft.com/office/officeart/2005/8/layout/chevron2"/>
    <dgm:cxn modelId="{92529834-2CAF-4FB1-80A8-CD73434D677D}" type="presParOf" srcId="{CDF4036C-AFA2-442D-AC2D-C1C1507D08D2}" destId="{106BE7D6-1CCC-4306-81D8-7A2BF0348CEA}" srcOrd="0" destOrd="0" presId="urn:microsoft.com/office/officeart/2005/8/layout/chevron2"/>
    <dgm:cxn modelId="{A139BC70-B48F-45D9-B544-5FA306D9DAC7}" type="presParOf" srcId="{CDF4036C-AFA2-442D-AC2D-C1C1507D08D2}" destId="{7CDCCC49-DB7D-43AA-B48E-1E16A1CA2D27}" srcOrd="1" destOrd="0" presId="urn:microsoft.com/office/officeart/2005/8/layout/chevron2"/>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85A511-B596-4DA9-9126-B0A0CCE9F2ED}">
      <dsp:nvSpPr>
        <dsp:cNvPr id="0" name=""/>
        <dsp:cNvSpPr/>
      </dsp:nvSpPr>
      <dsp:spPr>
        <a:xfrm>
          <a:off x="0" y="0"/>
          <a:ext cx="5848347" cy="1251585"/>
        </a:xfrm>
        <a:prstGeom prst="rightArrow">
          <a:avLst/>
        </a:prstGeom>
        <a:solidFill>
          <a:srgbClr val="44546A">
            <a:lumMod val="50000"/>
          </a:srgbClr>
        </a:solidFill>
        <a:ln>
          <a:noFill/>
        </a:ln>
        <a:effectLst/>
      </dsp:spPr>
      <dsp:style>
        <a:lnRef idx="0">
          <a:scrgbClr r="0" g="0" b="0"/>
        </a:lnRef>
        <a:fillRef idx="1">
          <a:scrgbClr r="0" g="0" b="0"/>
        </a:fillRef>
        <a:effectRef idx="0">
          <a:scrgbClr r="0" g="0" b="0"/>
        </a:effectRef>
        <a:fontRef idx="minor"/>
      </dsp:style>
    </dsp:sp>
    <dsp:sp modelId="{A9449DB4-B865-43CF-ACF3-A396AC545DFC}">
      <dsp:nvSpPr>
        <dsp:cNvPr id="0" name=""/>
        <dsp:cNvSpPr/>
      </dsp:nvSpPr>
      <dsp:spPr>
        <a:xfrm>
          <a:off x="39323" y="375475"/>
          <a:ext cx="859324" cy="500634"/>
        </a:xfrm>
        <a:prstGeom prst="roundRect">
          <a:avLst/>
        </a:prstGeom>
        <a:solidFill>
          <a:srgbClr val="FFC000">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Text" lastClr="000000"/>
              </a:solidFill>
              <a:latin typeface="Candara" panose="020E0502030303020204" pitchFamily="34" charset="0"/>
              <a:ea typeface="+mn-ea"/>
              <a:cs typeface="+mn-cs"/>
            </a:rPr>
            <a:t>Information sharing</a:t>
          </a:r>
        </a:p>
      </dsp:txBody>
      <dsp:txXfrm>
        <a:off x="63762" y="399914"/>
        <a:ext cx="810446" cy="451756"/>
      </dsp:txXfrm>
    </dsp:sp>
    <dsp:sp modelId="{D34096FE-DAE5-4371-B966-C2652ADD22B8}">
      <dsp:nvSpPr>
        <dsp:cNvPr id="0" name=""/>
        <dsp:cNvSpPr/>
      </dsp:nvSpPr>
      <dsp:spPr>
        <a:xfrm>
          <a:off x="996413" y="375475"/>
          <a:ext cx="712270" cy="500634"/>
        </a:xfrm>
        <a:prstGeom prst="roundRect">
          <a:avLst/>
        </a:prstGeom>
        <a:solidFill>
          <a:srgbClr val="FFC000">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Text" lastClr="000000"/>
              </a:solidFill>
              <a:latin typeface="Calibri" panose="020F0502020204030204"/>
              <a:ea typeface="+mn-ea"/>
              <a:cs typeface="+mn-cs"/>
            </a:rPr>
            <a:t>Addressing health issues</a:t>
          </a:r>
        </a:p>
      </dsp:txBody>
      <dsp:txXfrm>
        <a:off x="1020852" y="399914"/>
        <a:ext cx="663392" cy="451756"/>
      </dsp:txXfrm>
    </dsp:sp>
    <dsp:sp modelId="{528D6B51-A5A3-4C38-876A-F0F94366DC2E}">
      <dsp:nvSpPr>
        <dsp:cNvPr id="0" name=""/>
        <dsp:cNvSpPr/>
      </dsp:nvSpPr>
      <dsp:spPr>
        <a:xfrm>
          <a:off x="1825091" y="375475"/>
          <a:ext cx="784380" cy="500634"/>
        </a:xfrm>
        <a:prstGeom prst="roundRect">
          <a:avLst/>
        </a:prstGeom>
        <a:solidFill>
          <a:srgbClr val="FFC000">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Text" lastClr="000000"/>
              </a:solidFill>
              <a:latin typeface="Calibri" panose="020F0502020204030204"/>
              <a:ea typeface="+mn-ea"/>
              <a:cs typeface="+mn-cs"/>
            </a:rPr>
            <a:t>Completing workup tests</a:t>
          </a:r>
        </a:p>
      </dsp:txBody>
      <dsp:txXfrm>
        <a:off x="1849530" y="399914"/>
        <a:ext cx="735502" cy="451756"/>
      </dsp:txXfrm>
    </dsp:sp>
    <dsp:sp modelId="{D9259C89-04DA-4439-B6CF-84ECB27DDE07}">
      <dsp:nvSpPr>
        <dsp:cNvPr id="0" name=""/>
        <dsp:cNvSpPr/>
      </dsp:nvSpPr>
      <dsp:spPr>
        <a:xfrm>
          <a:off x="2716558" y="366063"/>
          <a:ext cx="748258" cy="500634"/>
        </a:xfrm>
        <a:prstGeom prst="roundRect">
          <a:avLst/>
        </a:prstGeom>
        <a:solidFill>
          <a:srgbClr val="FFC000">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Text" lastClr="000000"/>
              </a:solidFill>
              <a:latin typeface="Calibri" panose="020F0502020204030204"/>
              <a:ea typeface="+mn-ea"/>
              <a:cs typeface="+mn-cs"/>
            </a:rPr>
            <a:t>Assessment for waiting list</a:t>
          </a:r>
        </a:p>
      </dsp:txBody>
      <dsp:txXfrm>
        <a:off x="2740997" y="390502"/>
        <a:ext cx="699380" cy="451756"/>
      </dsp:txXfrm>
    </dsp:sp>
    <dsp:sp modelId="{4152C039-E4F7-4CE5-B939-A36843C9CC95}">
      <dsp:nvSpPr>
        <dsp:cNvPr id="0" name=""/>
        <dsp:cNvSpPr/>
      </dsp:nvSpPr>
      <dsp:spPr>
        <a:xfrm>
          <a:off x="3562582" y="384887"/>
          <a:ext cx="686081" cy="500634"/>
        </a:xfrm>
        <a:prstGeom prst="roundRect">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Text" lastClr="000000"/>
              </a:solidFill>
              <a:latin typeface="Calibri" panose="020F0502020204030204"/>
              <a:ea typeface="+mn-ea"/>
              <a:cs typeface="+mn-cs"/>
            </a:rPr>
            <a:t>Placement on waiting list</a:t>
          </a:r>
        </a:p>
      </dsp:txBody>
      <dsp:txXfrm>
        <a:off x="3587021" y="409326"/>
        <a:ext cx="637203" cy="451756"/>
      </dsp:txXfrm>
    </dsp:sp>
    <dsp:sp modelId="{18ECE4D4-4498-4FAD-B488-63D433DEB869}">
      <dsp:nvSpPr>
        <dsp:cNvPr id="0" name=""/>
        <dsp:cNvSpPr/>
      </dsp:nvSpPr>
      <dsp:spPr>
        <a:xfrm>
          <a:off x="4346430" y="366063"/>
          <a:ext cx="701900" cy="500634"/>
        </a:xfrm>
        <a:prstGeom prst="roundRect">
          <a:avLst/>
        </a:prstGeom>
        <a:solidFill>
          <a:srgbClr val="FFC000">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Text" lastClr="000000"/>
              </a:solidFill>
              <a:latin typeface="Calibri" panose="020F0502020204030204"/>
              <a:ea typeface="+mn-ea"/>
              <a:cs typeface="+mn-cs"/>
            </a:rPr>
            <a:t>Staying on the list</a:t>
          </a:r>
        </a:p>
      </dsp:txBody>
      <dsp:txXfrm>
        <a:off x="4370869" y="390502"/>
        <a:ext cx="653022" cy="451756"/>
      </dsp:txXfrm>
    </dsp:sp>
    <dsp:sp modelId="{3CB8A83A-7A02-4590-93D2-744C5B918522}">
      <dsp:nvSpPr>
        <dsp:cNvPr id="0" name=""/>
        <dsp:cNvSpPr/>
      </dsp:nvSpPr>
      <dsp:spPr>
        <a:xfrm>
          <a:off x="5127454" y="356656"/>
          <a:ext cx="709533" cy="500634"/>
        </a:xfrm>
        <a:prstGeom prst="roundRect">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Text" lastClr="000000"/>
              </a:solidFill>
              <a:latin typeface="Calibri" panose="020F0502020204030204"/>
              <a:ea typeface="+mn-ea"/>
              <a:cs typeface="+mn-cs"/>
            </a:rPr>
            <a:t>Allocation of kidney</a:t>
          </a:r>
        </a:p>
      </dsp:txBody>
      <dsp:txXfrm>
        <a:off x="5151893" y="381095"/>
        <a:ext cx="660655" cy="4517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85A511-B596-4DA9-9126-B0A0CCE9F2ED}">
      <dsp:nvSpPr>
        <dsp:cNvPr id="0" name=""/>
        <dsp:cNvSpPr/>
      </dsp:nvSpPr>
      <dsp:spPr>
        <a:xfrm>
          <a:off x="0" y="0"/>
          <a:ext cx="6076946" cy="1352550"/>
        </a:xfrm>
        <a:prstGeom prst="rightArrow">
          <a:avLst/>
        </a:prstGeom>
        <a:solidFill>
          <a:srgbClr val="44546A">
            <a:lumMod val="50000"/>
          </a:srgbClr>
        </a:solidFill>
        <a:ln>
          <a:noFill/>
        </a:ln>
        <a:effectLst/>
      </dsp:spPr>
      <dsp:style>
        <a:lnRef idx="0">
          <a:scrgbClr r="0" g="0" b="0"/>
        </a:lnRef>
        <a:fillRef idx="1">
          <a:scrgbClr r="0" g="0" b="0"/>
        </a:fillRef>
        <a:effectRef idx="0">
          <a:scrgbClr r="0" g="0" b="0"/>
        </a:effectRef>
        <a:fontRef idx="minor"/>
      </dsp:style>
    </dsp:sp>
    <dsp:sp modelId="{A9449DB4-B865-43CF-ACF3-A396AC545DFC}">
      <dsp:nvSpPr>
        <dsp:cNvPr id="0" name=""/>
        <dsp:cNvSpPr/>
      </dsp:nvSpPr>
      <dsp:spPr>
        <a:xfrm>
          <a:off x="47271" y="409568"/>
          <a:ext cx="850727" cy="514358"/>
        </a:xfrm>
        <a:prstGeom prst="roundRect">
          <a:avLst/>
        </a:prstGeom>
        <a:solidFill>
          <a:srgbClr val="FFC000">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Text" lastClr="000000"/>
              </a:solidFill>
              <a:latin typeface="Candara" panose="020E0502030303020204" pitchFamily="34" charset="0"/>
              <a:ea typeface="+mn-ea"/>
              <a:cs typeface="+mn-cs"/>
            </a:rPr>
            <a:t>Perioperative period</a:t>
          </a:r>
        </a:p>
      </dsp:txBody>
      <dsp:txXfrm>
        <a:off x="72380" y="434677"/>
        <a:ext cx="800509" cy="464140"/>
      </dsp:txXfrm>
    </dsp:sp>
    <dsp:sp modelId="{D34096FE-DAE5-4371-B966-C2652ADD22B8}">
      <dsp:nvSpPr>
        <dsp:cNvPr id="0" name=""/>
        <dsp:cNvSpPr/>
      </dsp:nvSpPr>
      <dsp:spPr>
        <a:xfrm>
          <a:off x="982491" y="419101"/>
          <a:ext cx="907807" cy="514347"/>
        </a:xfrm>
        <a:prstGeom prst="roundRect">
          <a:avLst/>
        </a:prstGeom>
        <a:solidFill>
          <a:srgbClr val="FFC000">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Text" lastClr="000000"/>
              </a:solidFill>
              <a:latin typeface="Calibri" panose="020F0502020204030204"/>
              <a:ea typeface="+mn-ea"/>
              <a:cs typeface="+mn-cs"/>
            </a:rPr>
            <a:t>Immuno-suppression</a:t>
          </a:r>
        </a:p>
      </dsp:txBody>
      <dsp:txXfrm>
        <a:off x="1007599" y="444209"/>
        <a:ext cx="857591" cy="464131"/>
      </dsp:txXfrm>
    </dsp:sp>
    <dsp:sp modelId="{528D6B51-A5A3-4C38-876A-F0F94366DC2E}">
      <dsp:nvSpPr>
        <dsp:cNvPr id="0" name=""/>
        <dsp:cNvSpPr/>
      </dsp:nvSpPr>
      <dsp:spPr>
        <a:xfrm>
          <a:off x="2021154" y="409576"/>
          <a:ext cx="975697" cy="533397"/>
        </a:xfrm>
        <a:prstGeom prst="roundRect">
          <a:avLst/>
        </a:prstGeom>
        <a:solidFill>
          <a:srgbClr val="FFC000">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Text" lastClr="000000"/>
              </a:solidFill>
              <a:latin typeface="Calibri" panose="020F0502020204030204"/>
              <a:ea typeface="+mn-ea"/>
              <a:cs typeface="+mn-cs"/>
            </a:rPr>
            <a:t>Infective Prophylaxis</a:t>
          </a:r>
        </a:p>
      </dsp:txBody>
      <dsp:txXfrm>
        <a:off x="2047192" y="435614"/>
        <a:ext cx="923621" cy="481321"/>
      </dsp:txXfrm>
    </dsp:sp>
    <dsp:sp modelId="{D9259C89-04DA-4439-B6CF-84ECB27DDE07}">
      <dsp:nvSpPr>
        <dsp:cNvPr id="0" name=""/>
        <dsp:cNvSpPr/>
      </dsp:nvSpPr>
      <dsp:spPr>
        <a:xfrm>
          <a:off x="3127708" y="409573"/>
          <a:ext cx="873402" cy="533402"/>
        </a:xfrm>
        <a:prstGeom prst="roundRect">
          <a:avLst/>
        </a:prstGeom>
        <a:solidFill>
          <a:srgbClr val="FFC000">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Text" lastClr="000000"/>
              </a:solidFill>
              <a:latin typeface="Calibri" panose="020F0502020204030204"/>
              <a:ea typeface="+mn-ea"/>
              <a:cs typeface="+mn-cs"/>
            </a:rPr>
            <a:t>CV/metabolic protection</a:t>
          </a:r>
        </a:p>
      </dsp:txBody>
      <dsp:txXfrm>
        <a:off x="3153747" y="435612"/>
        <a:ext cx="821324" cy="481324"/>
      </dsp:txXfrm>
    </dsp:sp>
    <dsp:sp modelId="{4152C039-E4F7-4CE5-B939-A36843C9CC95}">
      <dsp:nvSpPr>
        <dsp:cNvPr id="0" name=""/>
        <dsp:cNvSpPr/>
      </dsp:nvSpPr>
      <dsp:spPr>
        <a:xfrm>
          <a:off x="4131966" y="421895"/>
          <a:ext cx="955519" cy="508758"/>
        </a:xfrm>
        <a:prstGeom prst="roundRect">
          <a:avLst/>
        </a:prstGeom>
        <a:solidFill>
          <a:srgbClr val="FFC000">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Text" lastClr="000000"/>
              </a:solidFill>
              <a:latin typeface="Calibri" panose="020F0502020204030204"/>
              <a:ea typeface="+mn-ea"/>
              <a:cs typeface="+mn-cs"/>
            </a:rPr>
            <a:t>Remote clinic support</a:t>
          </a:r>
        </a:p>
      </dsp:txBody>
      <dsp:txXfrm>
        <a:off x="4156802" y="446731"/>
        <a:ext cx="905847" cy="459086"/>
      </dsp:txXfrm>
    </dsp:sp>
    <dsp:sp modelId="{18ECE4D4-4498-4FAD-B488-63D433DEB869}">
      <dsp:nvSpPr>
        <dsp:cNvPr id="0" name=""/>
        <dsp:cNvSpPr/>
      </dsp:nvSpPr>
      <dsp:spPr>
        <a:xfrm>
          <a:off x="5218342" y="405764"/>
          <a:ext cx="857699" cy="541020"/>
        </a:xfrm>
        <a:prstGeom prst="roundRect">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Text" lastClr="000000"/>
              </a:solidFill>
              <a:latin typeface="Calibri" panose="020F0502020204030204"/>
              <a:ea typeface="+mn-ea"/>
              <a:cs typeface="+mn-cs"/>
            </a:rPr>
            <a:t>Graft survival</a:t>
          </a:r>
        </a:p>
      </dsp:txBody>
      <dsp:txXfrm>
        <a:off x="5244752" y="432174"/>
        <a:ext cx="804879" cy="4882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D02EAF-8708-47E0-BC62-1E40083B0C5E}">
      <dsp:nvSpPr>
        <dsp:cNvPr id="0" name=""/>
        <dsp:cNvSpPr/>
      </dsp:nvSpPr>
      <dsp:spPr>
        <a:xfrm rot="5400000">
          <a:off x="3132978" y="-1744619"/>
          <a:ext cx="691897" cy="4501001"/>
        </a:xfrm>
        <a:prstGeom prst="round2SameRect">
          <a:avLst/>
        </a:prstGeom>
        <a:solidFill>
          <a:srgbClr val="70AD47">
            <a:lumMod val="20000"/>
            <a:lumOff val="80000"/>
            <a:alpha val="90000"/>
          </a:srgb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n-AU" sz="1050" kern="1200">
              <a:solidFill>
                <a:sysClr val="windowText" lastClr="000000">
                  <a:hueOff val="0"/>
                  <a:satOff val="0"/>
                  <a:lumOff val="0"/>
                  <a:alphaOff val="0"/>
                </a:sysClr>
              </a:solidFill>
              <a:latin typeface="Calibri"/>
              <a:ea typeface="+mn-ea"/>
              <a:cs typeface="+mn-cs"/>
            </a:rPr>
            <a:t>Yes</a:t>
          </a:r>
        </a:p>
        <a:p>
          <a:pPr marL="57150" lvl="1" indent="-57150" algn="l" defTabSz="466725">
            <a:lnSpc>
              <a:spcPct val="90000"/>
            </a:lnSpc>
            <a:spcBef>
              <a:spcPct val="0"/>
            </a:spcBef>
            <a:spcAft>
              <a:spcPct val="15000"/>
            </a:spcAft>
            <a:buChar char="•"/>
          </a:pPr>
          <a:r>
            <a:rPr lang="en-AU" sz="1050" kern="1200">
              <a:solidFill>
                <a:sysClr val="windowText" lastClr="000000">
                  <a:hueOff val="0"/>
                  <a:satOff val="0"/>
                  <a:lumOff val="0"/>
                  <a:alphaOff val="0"/>
                </a:sysClr>
              </a:solidFill>
              <a:latin typeface="Calibri"/>
              <a:ea typeface="+mn-ea"/>
              <a:cs typeface="+mn-cs"/>
            </a:rPr>
            <a:t>Not now (record reasons, i.e. treatable infections, comorbidities, patient preference)</a:t>
          </a:r>
        </a:p>
        <a:p>
          <a:pPr marL="57150" lvl="1" indent="-57150" algn="l" defTabSz="466725">
            <a:lnSpc>
              <a:spcPct val="90000"/>
            </a:lnSpc>
            <a:spcBef>
              <a:spcPct val="0"/>
            </a:spcBef>
            <a:spcAft>
              <a:spcPct val="15000"/>
            </a:spcAft>
            <a:buChar char="•"/>
          </a:pPr>
          <a:r>
            <a:rPr lang="en-AU" sz="1050" kern="1200">
              <a:solidFill>
                <a:sysClr val="windowText" lastClr="000000">
                  <a:hueOff val="0"/>
                  <a:satOff val="0"/>
                  <a:lumOff val="0"/>
                  <a:alphaOff val="0"/>
                </a:sysClr>
              </a:solidFill>
              <a:latin typeface="Calibri"/>
              <a:ea typeface="+mn-ea"/>
              <a:cs typeface="+mn-cs"/>
            </a:rPr>
            <a:t>Never (record reasons, i.e. age, severe comorbidities)</a:t>
          </a:r>
        </a:p>
      </dsp:txBody>
      <dsp:txXfrm rot="-5400000">
        <a:off x="1228426" y="193709"/>
        <a:ext cx="4467225" cy="624345"/>
      </dsp:txXfrm>
    </dsp:sp>
    <dsp:sp modelId="{B2FD3754-D7E3-474C-AD39-6ECAB5B18CEA}">
      <dsp:nvSpPr>
        <dsp:cNvPr id="0" name=""/>
        <dsp:cNvSpPr/>
      </dsp:nvSpPr>
      <dsp:spPr>
        <a:xfrm>
          <a:off x="1438" y="389"/>
          <a:ext cx="1226987" cy="1010982"/>
        </a:xfrm>
        <a:prstGeom prst="roundRect">
          <a:avLst/>
        </a:prstGeom>
        <a:solidFill>
          <a:srgbClr val="70AD47"/>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n-AU" sz="1600" b="1" kern="1200">
              <a:solidFill>
                <a:sysClr val="windowText" lastClr="000000"/>
              </a:solidFill>
              <a:latin typeface="Calibri"/>
              <a:ea typeface="+mn-ea"/>
              <a:cs typeface="+mn-cs"/>
            </a:rPr>
            <a:t>Eligibility</a:t>
          </a:r>
          <a:r>
            <a:rPr lang="en-AU" sz="1600" kern="1200">
              <a:solidFill>
                <a:sysClr val="window" lastClr="FFFFFF"/>
              </a:solidFill>
              <a:latin typeface="Calibri"/>
              <a:ea typeface="+mn-ea"/>
              <a:cs typeface="+mn-cs"/>
            </a:rPr>
            <a:t> </a:t>
          </a:r>
          <a:endParaRPr lang="en-AU" sz="2400" kern="1200">
            <a:solidFill>
              <a:sysClr val="window" lastClr="FFFFFF"/>
            </a:solidFill>
            <a:latin typeface="Calibri"/>
            <a:ea typeface="+mn-ea"/>
            <a:cs typeface="+mn-cs"/>
          </a:endParaRPr>
        </a:p>
      </dsp:txBody>
      <dsp:txXfrm>
        <a:off x="50790" y="49741"/>
        <a:ext cx="1128283" cy="912278"/>
      </dsp:txXfrm>
    </dsp:sp>
    <dsp:sp modelId="{1827607E-A413-49E4-847B-00E176850AF4}">
      <dsp:nvSpPr>
        <dsp:cNvPr id="0" name=""/>
        <dsp:cNvSpPr/>
      </dsp:nvSpPr>
      <dsp:spPr>
        <a:xfrm rot="5400000">
          <a:off x="2988623" y="-672617"/>
          <a:ext cx="968441" cy="4517330"/>
        </a:xfrm>
        <a:prstGeom prst="round2SameRect">
          <a:avLst/>
        </a:prstGeom>
        <a:solidFill>
          <a:srgbClr val="70AD47">
            <a:lumMod val="20000"/>
            <a:lumOff val="80000"/>
            <a:alpha val="90000"/>
          </a:srgb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n-AU" sz="1050" kern="1200">
              <a:solidFill>
                <a:sysClr val="windowText" lastClr="000000">
                  <a:hueOff val="0"/>
                  <a:satOff val="0"/>
                  <a:lumOff val="0"/>
                  <a:alphaOff val="0"/>
                </a:sysClr>
              </a:solidFill>
              <a:latin typeface="Calibri"/>
              <a:ea typeface="+mn-ea"/>
              <a:cs typeface="+mn-cs"/>
            </a:rPr>
            <a:t>Workup completed and successful - progression to pre-transplant assessment </a:t>
          </a:r>
        </a:p>
        <a:p>
          <a:pPr marL="57150" lvl="1" indent="-57150" algn="l" defTabSz="466725">
            <a:lnSpc>
              <a:spcPct val="90000"/>
            </a:lnSpc>
            <a:spcBef>
              <a:spcPct val="0"/>
            </a:spcBef>
            <a:spcAft>
              <a:spcPct val="15000"/>
            </a:spcAft>
            <a:buChar char="•"/>
          </a:pPr>
          <a:r>
            <a:rPr lang="en-AU" sz="1050" kern="1200">
              <a:solidFill>
                <a:sysClr val="windowText" lastClr="000000">
                  <a:hueOff val="0"/>
                  <a:satOff val="0"/>
                  <a:lumOff val="0"/>
                  <a:alphaOff val="0"/>
                </a:sysClr>
              </a:solidFill>
              <a:latin typeface="Calibri"/>
              <a:ea typeface="+mn-ea"/>
              <a:cs typeface="+mn-cs"/>
            </a:rPr>
            <a:t>Workup completed and not referred for pre-transplant assessment (record reasons, i.e. severe comorbidities)</a:t>
          </a:r>
        </a:p>
        <a:p>
          <a:pPr marL="57150" lvl="1" indent="-57150" algn="l" defTabSz="466725">
            <a:lnSpc>
              <a:spcPct val="90000"/>
            </a:lnSpc>
            <a:spcBef>
              <a:spcPct val="0"/>
            </a:spcBef>
            <a:spcAft>
              <a:spcPct val="15000"/>
            </a:spcAft>
            <a:buChar char="•"/>
          </a:pPr>
          <a:r>
            <a:rPr lang="en-AU" sz="1050" kern="1200">
              <a:solidFill>
                <a:sysClr val="windowText" lastClr="000000">
                  <a:hueOff val="0"/>
                  <a:satOff val="0"/>
                  <a:lumOff val="0"/>
                  <a:alphaOff val="0"/>
                </a:sysClr>
              </a:solidFill>
              <a:latin typeface="Calibri"/>
              <a:ea typeface="+mn-ea"/>
              <a:cs typeface="+mn-cs"/>
            </a:rPr>
            <a:t>Workup not completed (record reasons, i.e. patient nonattendance, decision not to pursue a transplant)</a:t>
          </a:r>
        </a:p>
      </dsp:txBody>
      <dsp:txXfrm rot="-5400000">
        <a:off x="1214179" y="1149102"/>
        <a:ext cx="4470055" cy="873891"/>
      </dsp:txXfrm>
    </dsp:sp>
    <dsp:sp modelId="{4EC09846-7978-4C51-99D4-1B283DA97C6C}">
      <dsp:nvSpPr>
        <dsp:cNvPr id="0" name=""/>
        <dsp:cNvSpPr/>
      </dsp:nvSpPr>
      <dsp:spPr>
        <a:xfrm>
          <a:off x="1438" y="1070378"/>
          <a:ext cx="1208962" cy="1031339"/>
        </a:xfrm>
        <a:prstGeom prst="roundRect">
          <a:avLst/>
        </a:prstGeom>
        <a:solidFill>
          <a:srgbClr val="70AD47"/>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n-AU" sz="1600" b="1" kern="1200">
              <a:solidFill>
                <a:sysClr val="windowText" lastClr="000000"/>
              </a:solidFill>
              <a:latin typeface="Calibri"/>
              <a:ea typeface="+mn-ea"/>
              <a:cs typeface="+mn-cs"/>
            </a:rPr>
            <a:t>Workup</a:t>
          </a:r>
        </a:p>
      </dsp:txBody>
      <dsp:txXfrm>
        <a:off x="51784" y="1120724"/>
        <a:ext cx="1108270" cy="930647"/>
      </dsp:txXfrm>
    </dsp:sp>
    <dsp:sp modelId="{426897CE-1FA3-4531-BB7C-C509FFED33AB}">
      <dsp:nvSpPr>
        <dsp:cNvPr id="0" name=""/>
        <dsp:cNvSpPr/>
      </dsp:nvSpPr>
      <dsp:spPr>
        <a:xfrm rot="5400000">
          <a:off x="3049061" y="405226"/>
          <a:ext cx="873333" cy="4488686"/>
        </a:xfrm>
        <a:prstGeom prst="round2SameRect">
          <a:avLst/>
        </a:prstGeom>
        <a:solidFill>
          <a:srgbClr val="70AD47">
            <a:lumMod val="20000"/>
            <a:lumOff val="80000"/>
            <a:alpha val="90000"/>
          </a:srgb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n-AU" sz="1050" kern="1200">
              <a:solidFill>
                <a:sysClr val="windowText" lastClr="000000">
                  <a:hueOff val="0"/>
                  <a:satOff val="0"/>
                  <a:lumOff val="0"/>
                  <a:alphaOff val="0"/>
                </a:sysClr>
              </a:solidFill>
              <a:latin typeface="Calibri"/>
              <a:ea typeface="+mn-ea"/>
              <a:cs typeface="+mn-cs"/>
            </a:rPr>
            <a:t>Patient deemed fit and admitted to the waitlist</a:t>
          </a:r>
        </a:p>
        <a:p>
          <a:pPr marL="57150" lvl="1" indent="-57150" algn="l" defTabSz="466725">
            <a:lnSpc>
              <a:spcPct val="90000"/>
            </a:lnSpc>
            <a:spcBef>
              <a:spcPct val="0"/>
            </a:spcBef>
            <a:spcAft>
              <a:spcPct val="15000"/>
            </a:spcAft>
            <a:buChar char="•"/>
          </a:pPr>
          <a:r>
            <a:rPr lang="en-AU" sz="1050" kern="1200">
              <a:solidFill>
                <a:sysClr val="windowText" lastClr="000000">
                  <a:hueOff val="0"/>
                  <a:satOff val="0"/>
                  <a:lumOff val="0"/>
                  <a:alphaOff val="0"/>
                </a:sysClr>
              </a:solidFill>
              <a:latin typeface="Calibri"/>
              <a:ea typeface="+mn-ea"/>
              <a:cs typeface="+mn-cs"/>
            </a:rPr>
            <a:t>Patient not admitted to the waitlist at this stage (record reasons, i.e. active infections/comorbidities)</a:t>
          </a:r>
        </a:p>
        <a:p>
          <a:pPr marL="57150" lvl="1" indent="-57150" algn="l" defTabSz="466725">
            <a:lnSpc>
              <a:spcPct val="90000"/>
            </a:lnSpc>
            <a:spcBef>
              <a:spcPct val="0"/>
            </a:spcBef>
            <a:spcAft>
              <a:spcPct val="15000"/>
            </a:spcAft>
            <a:buChar char="•"/>
          </a:pPr>
          <a:r>
            <a:rPr lang="en-AU" sz="1050" kern="1200">
              <a:solidFill>
                <a:sysClr val="windowText" lastClr="000000">
                  <a:hueOff val="0"/>
                  <a:satOff val="0"/>
                  <a:lumOff val="0"/>
                  <a:alphaOff val="0"/>
                </a:sysClr>
              </a:solidFill>
              <a:latin typeface="Calibri"/>
              <a:ea typeface="+mn-ea"/>
              <a:cs typeface="+mn-cs"/>
            </a:rPr>
            <a:t>Patient deemded not suitable for the waitlist (record reasons, i.e. untreatable comorbidities or nonadherence)</a:t>
          </a:r>
        </a:p>
      </dsp:txBody>
      <dsp:txXfrm rot="-5400000">
        <a:off x="1241385" y="2255536"/>
        <a:ext cx="4446053" cy="788067"/>
      </dsp:txXfrm>
    </dsp:sp>
    <dsp:sp modelId="{4A99BF86-0527-403F-945E-2E36C95A0B91}">
      <dsp:nvSpPr>
        <dsp:cNvPr id="0" name=""/>
        <dsp:cNvSpPr/>
      </dsp:nvSpPr>
      <dsp:spPr>
        <a:xfrm>
          <a:off x="1438" y="2160723"/>
          <a:ext cx="1239946" cy="977691"/>
        </a:xfrm>
        <a:prstGeom prst="roundRect">
          <a:avLst/>
        </a:prstGeom>
        <a:solidFill>
          <a:srgbClr val="70AD47"/>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n-AU" sz="1600" b="1" kern="1200">
              <a:solidFill>
                <a:sysClr val="windowText" lastClr="000000"/>
              </a:solidFill>
              <a:latin typeface="Calibri"/>
              <a:ea typeface="+mn-ea"/>
              <a:cs typeface="+mn-cs"/>
            </a:rPr>
            <a:t>Assessment</a:t>
          </a:r>
          <a:endParaRPr lang="en-AU" sz="1800" b="1" kern="1200">
            <a:solidFill>
              <a:sysClr val="windowText" lastClr="000000"/>
            </a:solidFill>
            <a:latin typeface="Calibri"/>
            <a:ea typeface="+mn-ea"/>
            <a:cs typeface="+mn-cs"/>
          </a:endParaRPr>
        </a:p>
      </dsp:txBody>
      <dsp:txXfrm>
        <a:off x="49165" y="2208450"/>
        <a:ext cx="1144492" cy="88223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95C7AB-B263-4699-9828-2011F82015BC}">
      <dsp:nvSpPr>
        <dsp:cNvPr id="0" name=""/>
        <dsp:cNvSpPr/>
      </dsp:nvSpPr>
      <dsp:spPr>
        <a:xfrm>
          <a:off x="936314" y="0"/>
          <a:ext cx="2800349" cy="2800349"/>
        </a:xfrm>
        <a:prstGeom prst="triangle">
          <a:avLst/>
        </a:prstGeom>
        <a:solidFill>
          <a:srgbClr val="70AD47">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A57BDDA-10BA-40B5-93BB-7F7AE0B15741}">
      <dsp:nvSpPr>
        <dsp:cNvPr id="0" name=""/>
        <dsp:cNvSpPr/>
      </dsp:nvSpPr>
      <dsp:spPr>
        <a:xfrm>
          <a:off x="1972288" y="381922"/>
          <a:ext cx="2581974" cy="630911"/>
        </a:xfrm>
        <a:prstGeom prst="roundRect">
          <a:avLst/>
        </a:prstGeom>
        <a:solidFill>
          <a:sysClr val="window" lastClr="FFFFFF">
            <a:alpha val="90000"/>
            <a:hueOff val="0"/>
            <a:satOff val="0"/>
            <a:lumOff val="0"/>
            <a:alphaOff val="0"/>
          </a:sysClr>
        </a:solidFill>
        <a:ln w="12700" cap="flat" cmpd="sng" algn="ctr">
          <a:solidFill>
            <a:srgbClr val="70AD47">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hueOff val="0"/>
                  <a:satOff val="0"/>
                  <a:lumOff val="0"/>
                  <a:alphaOff val="0"/>
                </a:sysClr>
              </a:solidFill>
              <a:latin typeface="Calibri" panose="020F0502020204030204"/>
              <a:ea typeface="+mn-ea"/>
              <a:cs typeface="+mn-cs"/>
            </a:rPr>
            <a:t>Patients' residential address at 1, 3, 6 and 12 months post-transplant (i.e. transplant centre/regional centre/home)</a:t>
          </a:r>
          <a:endParaRPr lang="en-AU" sz="1200" kern="1200">
            <a:solidFill>
              <a:sysClr val="windowText" lastClr="000000">
                <a:hueOff val="0"/>
                <a:satOff val="0"/>
                <a:lumOff val="0"/>
                <a:alphaOff val="0"/>
              </a:sysClr>
            </a:solidFill>
            <a:latin typeface="Calibri" panose="020F0502020204030204"/>
            <a:ea typeface="+mn-ea"/>
            <a:cs typeface="+mn-cs"/>
          </a:endParaRPr>
        </a:p>
      </dsp:txBody>
      <dsp:txXfrm>
        <a:off x="2003087" y="412721"/>
        <a:ext cx="2520376" cy="569313"/>
      </dsp:txXfrm>
    </dsp:sp>
    <dsp:sp modelId="{3C691C2E-DFA0-49D2-A52A-2E363C1B4961}">
      <dsp:nvSpPr>
        <dsp:cNvPr id="0" name=""/>
        <dsp:cNvSpPr/>
      </dsp:nvSpPr>
      <dsp:spPr>
        <a:xfrm>
          <a:off x="1966455" y="1087644"/>
          <a:ext cx="2576968" cy="338898"/>
        </a:xfrm>
        <a:prstGeom prst="roundRect">
          <a:avLst/>
        </a:prstGeom>
        <a:solidFill>
          <a:sysClr val="window" lastClr="FFFFFF">
            <a:alpha val="90000"/>
            <a:hueOff val="0"/>
            <a:satOff val="0"/>
            <a:lumOff val="0"/>
            <a:alphaOff val="0"/>
          </a:sysClr>
        </a:solidFill>
        <a:ln w="12700" cap="flat" cmpd="sng" algn="ctr">
          <a:solidFill>
            <a:srgbClr val="70AD47">
              <a:alpha val="90000"/>
              <a:hueOff val="0"/>
              <a:satOff val="0"/>
              <a:lumOff val="0"/>
              <a:alphaOff val="-2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hueOff val="0"/>
                  <a:satOff val="0"/>
                  <a:lumOff val="0"/>
                  <a:alphaOff val="0"/>
                </a:sysClr>
              </a:solidFill>
              <a:latin typeface="Calibri" panose="020F0502020204030204"/>
              <a:ea typeface="+mn-ea"/>
              <a:cs typeface="+mn-cs"/>
            </a:rPr>
            <a:t>Post-transplant hospitalisations</a:t>
          </a:r>
        </a:p>
      </dsp:txBody>
      <dsp:txXfrm>
        <a:off x="1982999" y="1104188"/>
        <a:ext cx="2543880" cy="305810"/>
      </dsp:txXfrm>
    </dsp:sp>
    <dsp:sp modelId="{2F698C8A-AEE4-4C8A-87A4-37F38AB63269}">
      <dsp:nvSpPr>
        <dsp:cNvPr id="0" name=""/>
        <dsp:cNvSpPr/>
      </dsp:nvSpPr>
      <dsp:spPr>
        <a:xfrm>
          <a:off x="1968111" y="1495039"/>
          <a:ext cx="2590329" cy="372694"/>
        </a:xfrm>
        <a:prstGeom prst="roundRect">
          <a:avLst/>
        </a:prstGeom>
        <a:solidFill>
          <a:sysClr val="window" lastClr="FFFFFF">
            <a:alpha val="90000"/>
            <a:hueOff val="0"/>
            <a:satOff val="0"/>
            <a:lumOff val="0"/>
            <a:alphaOff val="0"/>
          </a:sysClr>
        </a:solidFill>
        <a:ln w="12700" cap="flat" cmpd="sng" algn="ctr">
          <a:solidFill>
            <a:srgbClr val="70AD47">
              <a:alpha val="90000"/>
              <a:hueOff val="0"/>
              <a:satOff val="0"/>
              <a:lumOff val="0"/>
              <a:alphaOff val="-3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hueOff val="0"/>
                  <a:satOff val="0"/>
                  <a:lumOff val="0"/>
                  <a:alphaOff val="0"/>
                </a:sysClr>
              </a:solidFill>
              <a:latin typeface="Calibri" panose="020F0502020204030204"/>
              <a:ea typeface="+mn-ea"/>
              <a:cs typeface="+mn-cs"/>
            </a:rPr>
            <a:t>Active infections</a:t>
          </a:r>
        </a:p>
      </dsp:txBody>
      <dsp:txXfrm>
        <a:off x="1986304" y="1513232"/>
        <a:ext cx="2553943" cy="336308"/>
      </dsp:txXfrm>
    </dsp:sp>
    <dsp:sp modelId="{5BEDFB7A-F017-4278-BB0D-0A8FD1B10BAE}">
      <dsp:nvSpPr>
        <dsp:cNvPr id="0" name=""/>
        <dsp:cNvSpPr/>
      </dsp:nvSpPr>
      <dsp:spPr>
        <a:xfrm>
          <a:off x="1959774" y="1921934"/>
          <a:ext cx="2606966" cy="790426"/>
        </a:xfrm>
        <a:prstGeom prst="roundRect">
          <a:avLst/>
        </a:prstGeom>
        <a:solidFill>
          <a:sysClr val="window" lastClr="FFFFFF">
            <a:alpha val="90000"/>
            <a:hueOff val="0"/>
            <a:satOff val="0"/>
            <a:lumOff val="0"/>
            <a:alphaOff val="0"/>
          </a:sysClr>
        </a:solidFill>
        <a:ln w="12700" cap="flat" cmpd="sng" algn="ctr">
          <a:solidFill>
            <a:srgbClr val="70AD47">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hueOff val="0"/>
                  <a:satOff val="0"/>
                  <a:lumOff val="0"/>
                  <a:alphaOff val="0"/>
                </a:sysClr>
              </a:solidFill>
              <a:latin typeface="Calibri" panose="020F0502020204030204"/>
              <a:ea typeface="+mn-ea"/>
              <a:cs typeface="+mn-cs"/>
            </a:rPr>
            <a:t>Immunosuppressant blood levels of patients who are experiencing nephrotoxicity or rejection, to determine the role of medication adherence in poor transplant outcomes</a:t>
          </a:r>
        </a:p>
      </dsp:txBody>
      <dsp:txXfrm>
        <a:off x="1998359" y="1960519"/>
        <a:ext cx="2529796" cy="71325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394E1F-3013-4DE8-B937-62CA4FE3D60D}">
      <dsp:nvSpPr>
        <dsp:cNvPr id="0" name=""/>
        <dsp:cNvSpPr/>
      </dsp:nvSpPr>
      <dsp:spPr>
        <a:xfrm rot="5400000">
          <a:off x="-180022" y="180877"/>
          <a:ext cx="1200150" cy="840105"/>
        </a:xfrm>
        <a:prstGeom prst="chevron">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AU" sz="1500" b="1" kern="1200">
              <a:solidFill>
                <a:sysClr val="windowText" lastClr="000000">
                  <a:hueOff val="0"/>
                  <a:satOff val="0"/>
                  <a:lumOff val="0"/>
                  <a:alphaOff val="0"/>
                </a:sysClr>
              </a:solidFill>
              <a:latin typeface="Calibri" panose="020F0502020204030204"/>
              <a:ea typeface="+mn-ea"/>
              <a:cs typeface="+mn-cs"/>
            </a:rPr>
            <a:t>Strategy 1</a:t>
          </a:r>
        </a:p>
      </dsp:txBody>
      <dsp:txXfrm rot="-5400000">
        <a:off x="1" y="420908"/>
        <a:ext cx="840105" cy="360045"/>
      </dsp:txXfrm>
    </dsp:sp>
    <dsp:sp modelId="{5CA3B670-B678-4E78-BBB9-46ECE46C59DC}">
      <dsp:nvSpPr>
        <dsp:cNvPr id="0" name=""/>
        <dsp:cNvSpPr/>
      </dsp:nvSpPr>
      <dsp:spPr>
        <a:xfrm rot="5400000">
          <a:off x="2773203" y="-1932243"/>
          <a:ext cx="780097" cy="4646295"/>
        </a:xfrm>
        <a:prstGeom prst="round2SameRect">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AU" sz="1300" kern="1200">
              <a:solidFill>
                <a:sysClr val="windowText" lastClr="000000">
                  <a:hueOff val="0"/>
                  <a:satOff val="0"/>
                  <a:lumOff val="0"/>
                  <a:alphaOff val="0"/>
                </a:sysClr>
              </a:solidFill>
              <a:latin typeface="Calibri" panose="020F0502020204030204"/>
              <a:ea typeface="+mn-ea"/>
              <a:cs typeface="+mn-cs"/>
            </a:rPr>
            <a:t>Consultation with a panel of health practitioners who are experienced and expert in “on-the-ground” clinical renal health care delivery to Aboriginal and Torres Strait Islander peoples.</a:t>
          </a:r>
        </a:p>
      </dsp:txBody>
      <dsp:txXfrm rot="-5400000">
        <a:off x="840105" y="38936"/>
        <a:ext cx="4608214" cy="703935"/>
      </dsp:txXfrm>
    </dsp:sp>
    <dsp:sp modelId="{0681C37F-55CA-4343-B3F4-FB8291782651}">
      <dsp:nvSpPr>
        <dsp:cNvPr id="0" name=""/>
        <dsp:cNvSpPr/>
      </dsp:nvSpPr>
      <dsp:spPr>
        <a:xfrm rot="5400000">
          <a:off x="-180022" y="1180147"/>
          <a:ext cx="1200150" cy="840105"/>
        </a:xfrm>
        <a:prstGeom prst="chevron">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AU" sz="1500" b="1" kern="1200">
              <a:solidFill>
                <a:sysClr val="windowText" lastClr="000000">
                  <a:hueOff val="0"/>
                  <a:satOff val="0"/>
                  <a:lumOff val="0"/>
                  <a:alphaOff val="0"/>
                </a:sysClr>
              </a:solidFill>
              <a:latin typeface="Calibri" panose="020F0502020204030204"/>
              <a:ea typeface="+mn-ea"/>
              <a:cs typeface="+mn-cs"/>
            </a:rPr>
            <a:t>Strategy 2</a:t>
          </a:r>
        </a:p>
      </dsp:txBody>
      <dsp:txXfrm rot="-5400000">
        <a:off x="1" y="1420178"/>
        <a:ext cx="840105" cy="360045"/>
      </dsp:txXfrm>
    </dsp:sp>
    <dsp:sp modelId="{DDEB9EF7-DEB1-465F-8CC7-70AC26756AA1}">
      <dsp:nvSpPr>
        <dsp:cNvPr id="0" name=""/>
        <dsp:cNvSpPr/>
      </dsp:nvSpPr>
      <dsp:spPr>
        <a:xfrm rot="5400000">
          <a:off x="2773203" y="-932973"/>
          <a:ext cx="780097" cy="4646295"/>
        </a:xfrm>
        <a:prstGeom prst="round2SameRect">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AU" sz="1300" kern="1200">
              <a:solidFill>
                <a:sysClr val="windowText" lastClr="000000">
                  <a:hueOff val="0"/>
                  <a:satOff val="0"/>
                  <a:lumOff val="0"/>
                  <a:alphaOff val="0"/>
                </a:sysClr>
              </a:solidFill>
              <a:latin typeface="Calibri" panose="020F0502020204030204"/>
              <a:ea typeface="+mn-ea"/>
              <a:cs typeface="+mn-cs"/>
            </a:rPr>
            <a:t>Targeted site engagements with locally-based Aboriginal and Torres Strait Islander consumers and community members and service providers.</a:t>
          </a:r>
        </a:p>
      </dsp:txBody>
      <dsp:txXfrm rot="-5400000">
        <a:off x="840105" y="1038206"/>
        <a:ext cx="4608214" cy="703935"/>
      </dsp:txXfrm>
    </dsp:sp>
    <dsp:sp modelId="{106BE7D6-1CCC-4306-81D8-7A2BF0348CEA}">
      <dsp:nvSpPr>
        <dsp:cNvPr id="0" name=""/>
        <dsp:cNvSpPr/>
      </dsp:nvSpPr>
      <dsp:spPr>
        <a:xfrm rot="5400000">
          <a:off x="-180022" y="2179417"/>
          <a:ext cx="1200150" cy="840105"/>
        </a:xfrm>
        <a:prstGeom prst="chevron">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AU" sz="1500" b="1" kern="1200">
              <a:solidFill>
                <a:sysClr val="windowText" lastClr="000000">
                  <a:hueOff val="0"/>
                  <a:satOff val="0"/>
                  <a:lumOff val="0"/>
                  <a:alphaOff val="0"/>
                </a:sysClr>
              </a:solidFill>
              <a:latin typeface="Calibri" panose="020F0502020204030204"/>
              <a:ea typeface="+mn-ea"/>
              <a:cs typeface="+mn-cs"/>
            </a:rPr>
            <a:t>Strategy 3</a:t>
          </a:r>
        </a:p>
      </dsp:txBody>
      <dsp:txXfrm rot="-5400000">
        <a:off x="1" y="2419448"/>
        <a:ext cx="840105" cy="360045"/>
      </dsp:txXfrm>
    </dsp:sp>
    <dsp:sp modelId="{7CDCCC49-DB7D-43AA-B48E-1E16A1CA2D27}">
      <dsp:nvSpPr>
        <dsp:cNvPr id="0" name=""/>
        <dsp:cNvSpPr/>
      </dsp:nvSpPr>
      <dsp:spPr>
        <a:xfrm rot="5400000">
          <a:off x="2773203" y="66296"/>
          <a:ext cx="780097" cy="4646295"/>
        </a:xfrm>
        <a:prstGeom prst="round2SameRect">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AU" sz="1300" kern="1200">
              <a:solidFill>
                <a:sysClr val="windowText" lastClr="000000">
                  <a:hueOff val="0"/>
                  <a:satOff val="0"/>
                  <a:lumOff val="0"/>
                  <a:alphaOff val="0"/>
                </a:sysClr>
              </a:solidFill>
              <a:latin typeface="Calibri" panose="020F0502020204030204"/>
              <a:ea typeface="+mn-ea"/>
              <a:cs typeface="+mn-cs"/>
            </a:rPr>
            <a:t>Consultation and feedback from national peak organisations who are working in the area of kidney health.</a:t>
          </a:r>
        </a:p>
      </dsp:txBody>
      <dsp:txXfrm rot="-5400000">
        <a:off x="840105" y="2037476"/>
        <a:ext cx="4608214" cy="70393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Joh13</b:Tag>
    <b:SourceType>JournalArticle</b:SourceType>
    <b:Guid>{954C9DC9-A2D5-4FEA-BF2D-A83249F5EC3F}</b:Guid>
    <b:Title>KHA-CARI Guideline: Early chronic kidney disease: Detection, prevention and management</b:Title>
    <b:Year>2013</b:Year>
    <b:Author>
      <b:Author>
        <b:NameList>
          <b:Person>
            <b:Last>Johnson DW</b:Last>
            <b:First>Atai</b:First>
            <b:Middle>E, Chan M, Phoon RKS, Scott C, Toussaint ND, Turner GL, Usherwood T, Wiggins KJ.</b:Middle>
          </b:Person>
        </b:NameList>
      </b:Author>
    </b:Author>
    <b:JournalName>Nephrology </b:JournalName>
    <b:Pages>18(5): 340-50</b:Pages>
    <b:RefOrder>1</b:RefOrder>
  </b:Source>
</b:Sources>
</file>

<file path=customXml/itemProps1.xml><?xml version="1.0" encoding="utf-8"?>
<ds:datastoreItem xmlns:ds="http://schemas.openxmlformats.org/officeDocument/2006/customXml" ds:itemID="{C3BB8FA9-D42F-4D36-BEA5-E2000D95A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183</Pages>
  <Words>88978</Words>
  <Characters>507181</Characters>
  <Application>Microsoft Office Word</Application>
  <DocSecurity>0</DocSecurity>
  <Lines>4226</Lines>
  <Paragraphs>1189</Paragraphs>
  <ScaleCrop>false</ScaleCrop>
  <HeadingPairs>
    <vt:vector size="2" baseType="variant">
      <vt:variant>
        <vt:lpstr>Title</vt:lpstr>
      </vt:variant>
      <vt:variant>
        <vt:i4>1</vt:i4>
      </vt:variant>
    </vt:vector>
  </HeadingPairs>
  <TitlesOfParts>
    <vt:vector size="1" baseType="lpstr">
      <vt:lpstr>Improving Access to and Outcomes of Kidney Transplantation for Aboriginal and Torres Strait Islander People in Australia</vt:lpstr>
    </vt:vector>
  </TitlesOfParts>
  <Company/>
  <LinksUpToDate>false</LinksUpToDate>
  <CharactersWithSpaces>594970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Improving Access to and Outcomes of Kidney Transplantation for Aboriginal and Torres Strait Islander People in Australia</dc:title>
  <dc:subject>Performance Report</dc:subject>
  <dc:creator>Emma Tinning</dc:creator>
  <cp:keywords/>
  <dc:description/>
  <cp:lastModifiedBy>Alexis Kolsky</cp:lastModifiedBy>
  <cp:revision>14</cp:revision>
  <cp:lastPrinted>2019-10-17T03:22:00Z</cp:lastPrinted>
  <dcterms:created xsi:type="dcterms:W3CDTF">2019-11-12T20:54:00Z</dcterms:created>
  <dcterms:modified xsi:type="dcterms:W3CDTF">2021-02-08T05:58:00Z</dcterms:modified>
</cp:coreProperties>
</file>