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4EEE0" w14:textId="77777777" w:rsidR="007453EB" w:rsidRPr="007453EB" w:rsidRDefault="007453EB" w:rsidP="007453EB">
      <w:pPr>
        <w:rPr>
          <w:rFonts w:asciiTheme="majorHAnsi" w:hAnsiTheme="majorHAnsi"/>
          <w:b/>
          <w:color w:val="C00000"/>
          <w:sz w:val="48"/>
          <w:szCs w:val="48"/>
        </w:rPr>
      </w:pPr>
      <w:r w:rsidRPr="007453EB">
        <w:rPr>
          <w:rFonts w:asciiTheme="majorHAnsi" w:hAnsiTheme="majorHAnsi"/>
          <w:b/>
          <w:color w:val="C00000"/>
          <w:sz w:val="48"/>
          <w:szCs w:val="48"/>
        </w:rPr>
        <w:t>Evidence Document</w:t>
      </w:r>
    </w:p>
    <w:p w14:paraId="059A4EE0" w14:textId="4B305FC1" w:rsidR="007C1818" w:rsidRPr="00171265" w:rsidRDefault="007453EB" w:rsidP="00E838EB">
      <w:pPr>
        <w:rPr>
          <w:rFonts w:asciiTheme="majorHAnsi" w:hAnsiTheme="majorHAnsi"/>
          <w:b/>
          <w:color w:val="C00000"/>
          <w:sz w:val="48"/>
          <w:szCs w:val="48"/>
        </w:rPr>
      </w:pPr>
      <w:r w:rsidRPr="007453EB">
        <w:rPr>
          <w:rFonts w:asciiTheme="majorHAnsi" w:hAnsiTheme="majorHAnsi"/>
          <w:b/>
          <w:color w:val="C00000"/>
          <w:sz w:val="48"/>
          <w:szCs w:val="48"/>
        </w:rPr>
        <w:t>A compendium to the National Strategic Action Plan for Kidney Disease</w:t>
      </w:r>
    </w:p>
    <w:p w14:paraId="1E097612" w14:textId="77777777" w:rsidR="00365846" w:rsidRPr="00171265" w:rsidRDefault="00365846" w:rsidP="00E838EB">
      <w:pPr>
        <w:rPr>
          <w:rFonts w:asciiTheme="majorHAnsi" w:hAnsiTheme="majorHAnsi"/>
          <w:b/>
          <w:color w:val="FF0000"/>
          <w:sz w:val="48"/>
          <w:szCs w:val="48"/>
        </w:rPr>
      </w:pPr>
    </w:p>
    <w:p w14:paraId="78E0572D" w14:textId="1449DBB2" w:rsidR="007453EB" w:rsidRDefault="00365846" w:rsidP="00E838EB">
      <w:pPr>
        <w:rPr>
          <w:rFonts w:ascii="Calibri" w:eastAsia="Calibri" w:hAnsi="Calibri" w:cs="Times New Roman"/>
          <w:i/>
          <w:iCs/>
          <w:szCs w:val="24"/>
        </w:rPr>
      </w:pPr>
      <w:r>
        <w:rPr>
          <w:rFonts w:asciiTheme="majorHAnsi" w:hAnsiTheme="majorHAnsi"/>
          <w:b/>
          <w:noProof/>
          <w:color w:val="FF0000"/>
          <w:sz w:val="48"/>
          <w:szCs w:val="48"/>
          <w:lang w:eastAsia="en-AU"/>
        </w:rPr>
        <w:drawing>
          <wp:inline distT="0" distB="0" distL="0" distR="0" wp14:anchorId="1130742B" wp14:editId="5CC91240">
            <wp:extent cx="5905500" cy="5026171"/>
            <wp:effectExtent l="0" t="0" r="0" b="3175"/>
            <wp:docPr id="3" name="Picture 3" descr="Compendium 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Cover.jpg"/>
                    <pic:cNvPicPr/>
                  </pic:nvPicPr>
                  <pic:blipFill rotWithShape="1">
                    <a:blip r:embed="rId8"/>
                    <a:srcRect t="20356" b="19423"/>
                    <a:stretch/>
                  </pic:blipFill>
                  <pic:spPr bwMode="auto">
                    <a:xfrm>
                      <a:off x="0" y="0"/>
                      <a:ext cx="5919254" cy="5037877"/>
                    </a:xfrm>
                    <a:prstGeom prst="rect">
                      <a:avLst/>
                    </a:prstGeom>
                    <a:ln>
                      <a:noFill/>
                    </a:ln>
                    <a:extLst>
                      <a:ext uri="{53640926-AAD7-44D8-BBD7-CCE9431645EC}">
                        <a14:shadowObscured xmlns:a14="http://schemas.microsoft.com/office/drawing/2010/main"/>
                      </a:ext>
                    </a:extLst>
                  </pic:spPr>
                </pic:pic>
              </a:graphicData>
            </a:graphic>
          </wp:inline>
        </w:drawing>
      </w:r>
    </w:p>
    <w:p w14:paraId="4EC7C014" w14:textId="6B03EC9F" w:rsidR="007453EB" w:rsidRDefault="007453EB" w:rsidP="00E838EB">
      <w:pPr>
        <w:rPr>
          <w:rFonts w:ascii="Calibri" w:eastAsia="Calibri" w:hAnsi="Calibri" w:cs="Times New Roman"/>
          <w:i/>
          <w:iCs/>
          <w:szCs w:val="24"/>
        </w:rPr>
      </w:pPr>
    </w:p>
    <w:p w14:paraId="5E0E8D6F" w14:textId="439A0053" w:rsidR="007453EB" w:rsidRDefault="007453EB" w:rsidP="00E838EB">
      <w:pPr>
        <w:rPr>
          <w:rFonts w:ascii="Calibri" w:eastAsia="Calibri" w:hAnsi="Calibri" w:cs="Times New Roman"/>
          <w:i/>
          <w:iCs/>
          <w:szCs w:val="24"/>
        </w:rPr>
      </w:pPr>
    </w:p>
    <w:p w14:paraId="244E890A" w14:textId="224B5908" w:rsidR="007453EB" w:rsidRDefault="007453EB" w:rsidP="00E838EB">
      <w:pPr>
        <w:rPr>
          <w:rFonts w:ascii="Calibri" w:eastAsia="Calibri" w:hAnsi="Calibri" w:cs="Times New Roman"/>
          <w:i/>
          <w:iCs/>
          <w:szCs w:val="24"/>
        </w:rPr>
      </w:pPr>
    </w:p>
    <w:p w14:paraId="3EEA9839" w14:textId="0E97E397" w:rsidR="007453EB" w:rsidRDefault="007453EB" w:rsidP="00E838EB">
      <w:pPr>
        <w:rPr>
          <w:rFonts w:ascii="Calibri" w:eastAsia="Calibri" w:hAnsi="Calibri" w:cs="Times New Roman"/>
          <w:i/>
          <w:iCs/>
          <w:szCs w:val="24"/>
        </w:rPr>
      </w:pPr>
    </w:p>
    <w:p w14:paraId="1F117991" w14:textId="71AF50A4" w:rsidR="007453EB" w:rsidRDefault="007453EB" w:rsidP="00E838EB">
      <w:pPr>
        <w:rPr>
          <w:rFonts w:ascii="Calibri" w:eastAsia="Calibri" w:hAnsi="Calibri" w:cs="Times New Roman"/>
          <w:i/>
          <w:iCs/>
          <w:szCs w:val="24"/>
        </w:rPr>
      </w:pPr>
    </w:p>
    <w:p w14:paraId="7555EA3A" w14:textId="26DC571A" w:rsidR="007453EB" w:rsidRDefault="007453EB" w:rsidP="00E838EB">
      <w:pPr>
        <w:rPr>
          <w:rFonts w:ascii="Calibri" w:eastAsia="Calibri" w:hAnsi="Calibri" w:cs="Times New Roman"/>
          <w:i/>
          <w:iCs/>
          <w:szCs w:val="24"/>
        </w:rPr>
      </w:pPr>
    </w:p>
    <w:p w14:paraId="20DAF594" w14:textId="77777777" w:rsidR="007453EB" w:rsidRDefault="007453EB" w:rsidP="00E838EB">
      <w:pPr>
        <w:rPr>
          <w:rFonts w:ascii="Calibri" w:eastAsia="Calibri" w:hAnsi="Calibri" w:cs="Times New Roman"/>
          <w:i/>
          <w:iCs/>
          <w:szCs w:val="24"/>
        </w:rPr>
      </w:pPr>
    </w:p>
    <w:p w14:paraId="0BD092FD" w14:textId="34223F16" w:rsidR="007C1818" w:rsidRDefault="007453EB" w:rsidP="00E838EB">
      <w:pPr>
        <w:rPr>
          <w:rFonts w:asciiTheme="majorHAnsi" w:hAnsiTheme="majorHAnsi"/>
          <w:b/>
          <w:color w:val="FF0000"/>
          <w:sz w:val="36"/>
          <w:szCs w:val="36"/>
        </w:rPr>
      </w:pPr>
      <w:r w:rsidRPr="007453EB">
        <w:rPr>
          <w:rFonts w:ascii="Calibri" w:eastAsia="Calibri" w:hAnsi="Calibri" w:cs="Times New Roman"/>
          <w:i/>
          <w:iCs/>
          <w:szCs w:val="24"/>
        </w:rPr>
        <w:t>We want to be active partners in our own care, advocates for better kidney health and finally we want to know that our efforts and the work of clinical carers and researchers will lead to better outcomes for future patients – all patients, no matter where they live, how much they earn, their age or gender or how they are valued by the wider society. Every person with chronic kidney disease deserves nothing less</w:t>
      </w:r>
      <w:r w:rsidRPr="007453EB">
        <w:rPr>
          <w:rFonts w:ascii="Calibri" w:eastAsia="Calibri" w:hAnsi="Calibri" w:cs="Times New Roman"/>
          <w:b/>
          <w:bCs/>
          <w:szCs w:val="24"/>
        </w:rPr>
        <w:t>.</w:t>
      </w:r>
      <w:r w:rsidR="007C1818">
        <w:rPr>
          <w:rFonts w:asciiTheme="majorHAnsi" w:hAnsiTheme="majorHAnsi"/>
          <w:b/>
          <w:color w:val="FF0000"/>
          <w:sz w:val="36"/>
          <w:szCs w:val="36"/>
        </w:rPr>
        <w:br w:type="page"/>
      </w:r>
    </w:p>
    <w:p w14:paraId="594AAA71" w14:textId="77777777" w:rsidR="00CC30CA" w:rsidRPr="00CE3831" w:rsidRDefault="00CC30CA" w:rsidP="00CC30CA">
      <w:pPr>
        <w:rPr>
          <w:rFonts w:ascii="Calibri" w:eastAsia="MS Mincho" w:hAnsi="Calibri" w:cs="Arial"/>
          <w:lang w:val="en-US"/>
        </w:rPr>
      </w:pPr>
      <w:bookmarkStart w:id="0" w:name="_Hlk11152383"/>
      <w:r w:rsidRPr="00CE3831">
        <w:rPr>
          <w:rFonts w:ascii="Calibri" w:eastAsia="MS Mincho" w:hAnsi="Calibri" w:cs="Arial"/>
          <w:b/>
          <w:bCs/>
          <w:lang w:val="en-US"/>
        </w:rPr>
        <w:lastRenderedPageBreak/>
        <w:t>Quote from front page:</w:t>
      </w:r>
      <w:r w:rsidRPr="00CE3831">
        <w:rPr>
          <w:rFonts w:ascii="Calibri" w:eastAsia="MS Mincho" w:hAnsi="Calibri" w:cs="Arial"/>
          <w:lang w:val="en-US"/>
        </w:rPr>
        <w:t xml:space="preserve"> Phil Carwsell OAM, </w:t>
      </w:r>
      <w:r>
        <w:rPr>
          <w:rFonts w:ascii="Calibri" w:eastAsia="MS Mincho" w:hAnsi="Calibri" w:cs="Arial"/>
          <w:lang w:val="en-US"/>
        </w:rPr>
        <w:t>P</w:t>
      </w:r>
      <w:r w:rsidRPr="00CE3831">
        <w:rPr>
          <w:rFonts w:ascii="Calibri" w:eastAsia="MS Mincho" w:hAnsi="Calibri" w:cs="Arial"/>
          <w:lang w:val="en-US"/>
        </w:rPr>
        <w:t xml:space="preserve">atient </w:t>
      </w:r>
      <w:r>
        <w:rPr>
          <w:rFonts w:ascii="Calibri" w:eastAsia="MS Mincho" w:hAnsi="Calibri" w:cs="Arial"/>
          <w:lang w:val="en-US"/>
        </w:rPr>
        <w:t>P</w:t>
      </w:r>
      <w:r w:rsidRPr="00CE3831">
        <w:rPr>
          <w:rFonts w:ascii="Calibri" w:eastAsia="MS Mincho" w:hAnsi="Calibri" w:cs="Arial"/>
          <w:lang w:val="en-US"/>
        </w:rPr>
        <w:t>artner</w:t>
      </w:r>
    </w:p>
    <w:p w14:paraId="20799994" w14:textId="77777777" w:rsidR="00CC30CA" w:rsidRPr="00CE3831" w:rsidRDefault="00CC30CA" w:rsidP="00CC30CA">
      <w:pPr>
        <w:rPr>
          <w:rFonts w:ascii="Calibri" w:eastAsia="MS Mincho" w:hAnsi="Calibri" w:cs="Arial"/>
          <w:lang w:val="en-US"/>
        </w:rPr>
      </w:pPr>
    </w:p>
    <w:p w14:paraId="74058526" w14:textId="77777777" w:rsidR="00CC30CA" w:rsidRPr="00CC30CA" w:rsidRDefault="00CC30CA" w:rsidP="00CC30CA">
      <w:pPr>
        <w:rPr>
          <w:color w:val="FF0000"/>
          <w:lang w:val="en-US"/>
        </w:rPr>
      </w:pPr>
      <w:r w:rsidRPr="001B118D">
        <w:rPr>
          <w:color w:val="C00000"/>
          <w:lang w:val="en-US"/>
        </w:rPr>
        <w:t>We acknowledge the Traditional Owners of Country throughout Australia and recognise their continuing connection to lands, waters and communities. We pay our respect to Aboriginal and Torres Strait Islander cultures; and to Elders both past, present and emerging.</w:t>
      </w:r>
    </w:p>
    <w:p w14:paraId="12D20076" w14:textId="77777777" w:rsidR="00CC30CA" w:rsidRPr="00AE383C" w:rsidRDefault="00CC30CA" w:rsidP="00CC30CA">
      <w:pPr>
        <w:rPr>
          <w:rFonts w:ascii="Calibri" w:eastAsia="MS Mincho" w:hAnsi="Calibri" w:cs="Arial"/>
          <w:lang w:val="en-US"/>
        </w:rPr>
      </w:pPr>
    </w:p>
    <w:p w14:paraId="1D6879DF" w14:textId="77777777" w:rsidR="00CC30CA" w:rsidRPr="00FB67EE" w:rsidRDefault="00CC30CA" w:rsidP="00CC30CA">
      <w:pPr>
        <w:rPr>
          <w:b/>
          <w:bCs/>
        </w:rPr>
      </w:pPr>
      <w:r w:rsidRPr="00FB67EE">
        <w:rPr>
          <w:rFonts w:ascii="Calibri" w:eastAsia="MS Mincho" w:hAnsi="Calibri" w:cs="Arial"/>
          <w:b/>
          <w:bCs/>
          <w:lang w:val="en-US"/>
        </w:rPr>
        <w:t>The National Strategic Action Plan for Kidney Disease was led by Kidney Health Australia with funding from the Australian Government Department of Health.</w:t>
      </w:r>
    </w:p>
    <w:p w14:paraId="4C183308" w14:textId="77777777" w:rsidR="00CC30CA" w:rsidRPr="00AE383C" w:rsidRDefault="00CC30CA" w:rsidP="00CC30CA">
      <w:pPr>
        <w:rPr>
          <w:rFonts w:ascii="Calibri" w:eastAsia="MS Mincho" w:hAnsi="Calibri" w:cs="Arial"/>
          <w:lang w:val="en-US"/>
        </w:rPr>
      </w:pPr>
    </w:p>
    <w:p w14:paraId="576A9DA2" w14:textId="44C47125" w:rsidR="00CC30CA" w:rsidRPr="00AE383C" w:rsidRDefault="00CC30CA" w:rsidP="00CC30CA">
      <w:pPr>
        <w:rPr>
          <w:rFonts w:ascii="Calibri" w:eastAsia="MS Mincho" w:hAnsi="Calibri" w:cs="Arial"/>
          <w:b/>
          <w:bCs/>
          <w:lang w:val="en-US"/>
        </w:rPr>
      </w:pPr>
      <w:bookmarkStart w:id="1" w:name="_Hlk11166008"/>
      <w:r w:rsidRPr="00AE383C">
        <w:rPr>
          <w:rFonts w:ascii="Calibri" w:eastAsia="MS Mincho" w:hAnsi="Calibri" w:cs="Arial"/>
          <w:lang w:val="en-US"/>
        </w:rPr>
        <w:t xml:space="preserve">For enquiries about the National Strategic Action Plan for Kidney Disease, and for information about kidney health and support, please contact the Kidney Health Australia </w:t>
      </w:r>
      <w:r w:rsidRPr="00AE383C">
        <w:rPr>
          <w:rFonts w:ascii="Calibri" w:eastAsia="MS Mincho" w:hAnsi="Calibri" w:cs="Arial"/>
          <w:b/>
          <w:bCs/>
          <w:lang w:val="en-US"/>
        </w:rPr>
        <w:t>Kidney Helpline</w:t>
      </w:r>
      <w:r w:rsidRPr="00AE383C">
        <w:rPr>
          <w:rFonts w:ascii="Calibri" w:eastAsia="MS Mincho" w:hAnsi="Calibri" w:cs="Arial"/>
          <w:lang w:val="en-US"/>
        </w:rPr>
        <w:t xml:space="preserve"> on </w:t>
      </w:r>
      <w:r w:rsidRPr="00AE383C">
        <w:rPr>
          <w:rFonts w:ascii="Calibri" w:eastAsia="MS Mincho" w:hAnsi="Calibri" w:cs="Arial"/>
          <w:b/>
          <w:bCs/>
          <w:lang w:val="en-US"/>
        </w:rPr>
        <w:t>1800 454 363</w:t>
      </w:r>
      <w:r w:rsidRPr="00AE383C">
        <w:rPr>
          <w:rFonts w:ascii="Calibri" w:eastAsia="MS Mincho" w:hAnsi="Calibri" w:cs="Arial"/>
          <w:lang w:val="en-US"/>
        </w:rPr>
        <w:t xml:space="preserve"> or visit the website </w:t>
      </w:r>
      <w:r w:rsidR="00A51E12" w:rsidRPr="00A51E12">
        <w:rPr>
          <w:rFonts w:ascii="Calibri" w:eastAsia="MS Mincho" w:hAnsi="Calibri" w:cs="Arial"/>
          <w:b/>
          <w:lang w:val="en-US"/>
        </w:rPr>
        <w:t>www.</w:t>
      </w:r>
      <w:r w:rsidRPr="00AE383C">
        <w:rPr>
          <w:rFonts w:ascii="Calibri" w:eastAsia="MS Mincho" w:hAnsi="Calibri" w:cs="Arial"/>
          <w:b/>
          <w:bCs/>
          <w:lang w:val="en-US"/>
        </w:rPr>
        <w:t>kidney.org.au</w:t>
      </w:r>
      <w:bookmarkEnd w:id="1"/>
      <w:r w:rsidRPr="00AE383C">
        <w:rPr>
          <w:rFonts w:ascii="Calibri" w:eastAsia="MS Mincho" w:hAnsi="Calibri" w:cs="Arial"/>
          <w:b/>
          <w:bCs/>
          <w:lang w:val="en-US"/>
        </w:rPr>
        <w:t>.</w:t>
      </w:r>
    </w:p>
    <w:p w14:paraId="302E46FD" w14:textId="77777777" w:rsidR="00CC30CA" w:rsidRDefault="00CC30CA" w:rsidP="00CC30CA">
      <w:pPr>
        <w:jc w:val="right"/>
        <w:rPr>
          <w:rFonts w:ascii="Calibri" w:eastAsia="MS Mincho" w:hAnsi="Calibri" w:cs="Arial"/>
          <w:color w:val="000000" w:themeColor="text1"/>
          <w:lang w:val="en-US"/>
        </w:rPr>
      </w:pPr>
    </w:p>
    <w:p w14:paraId="7A662A67" w14:textId="77777777" w:rsidR="00CC30CA" w:rsidRPr="001F7D30" w:rsidRDefault="00CC30CA" w:rsidP="00CC30CA">
      <w:pPr>
        <w:rPr>
          <w:rFonts w:ascii="Calibri" w:eastAsia="MS Mincho" w:hAnsi="Calibri" w:cs="Arial"/>
          <w:b/>
          <w:bCs/>
          <w:color w:val="000000" w:themeColor="text1"/>
          <w:lang w:val="en-US"/>
        </w:rPr>
      </w:pPr>
      <w:r w:rsidRPr="001F7D30">
        <w:rPr>
          <w:rFonts w:ascii="Calibri" w:eastAsia="MS Mincho" w:hAnsi="Calibri" w:cs="Arial"/>
          <w:b/>
          <w:bCs/>
          <w:color w:val="000000" w:themeColor="text1"/>
          <w:lang w:val="en-US"/>
        </w:rPr>
        <w:t>Citation</w:t>
      </w:r>
    </w:p>
    <w:p w14:paraId="03918231" w14:textId="77777777" w:rsidR="0036108D" w:rsidRDefault="0036108D" w:rsidP="0036108D">
      <w:r w:rsidRPr="006044E4">
        <w:t xml:space="preserve">Kidney Health Australia 2019. </w:t>
      </w:r>
      <w:r>
        <w:t xml:space="preserve">Evidence Document: A compendium to the </w:t>
      </w:r>
      <w:r w:rsidRPr="006044E4">
        <w:t>National Strategic Action Plan for Kidney Disease. Available from kidney.org.au</w:t>
      </w:r>
    </w:p>
    <w:p w14:paraId="5ABBBA42" w14:textId="6EE56804" w:rsidR="006044E4" w:rsidRDefault="006044E4" w:rsidP="006044E4">
      <w:pPr>
        <w:rPr>
          <w:color w:val="000000" w:themeColor="text1"/>
          <w:sz w:val="24"/>
          <w:szCs w:val="24"/>
        </w:rPr>
      </w:pPr>
    </w:p>
    <w:p w14:paraId="71D44CD3" w14:textId="70700128" w:rsidR="006044E4" w:rsidRDefault="006044E4" w:rsidP="00CC30CA">
      <w:r>
        <w:t xml:space="preserve">ISBN: </w:t>
      </w:r>
      <w:r w:rsidR="00DB58F8">
        <w:t>978-0-645845-1-3</w:t>
      </w:r>
    </w:p>
    <w:p w14:paraId="630854DB" w14:textId="7D472064" w:rsidR="00CC30CA" w:rsidRDefault="006044E4" w:rsidP="00CC30CA">
      <w:r>
        <w:t>Online ISBN:</w:t>
      </w:r>
      <w:r w:rsidR="00DB58F8">
        <w:t xml:space="preserve"> 978-0-6485845-0-6</w:t>
      </w:r>
    </w:p>
    <w:p w14:paraId="5A7A15FC" w14:textId="77777777" w:rsidR="00CC30CA" w:rsidRDefault="00CC30CA" w:rsidP="006044E4">
      <w:pPr>
        <w:rPr>
          <w:color w:val="000000" w:themeColor="text1"/>
          <w:sz w:val="24"/>
          <w:szCs w:val="24"/>
        </w:rPr>
      </w:pPr>
    </w:p>
    <w:p w14:paraId="18AA58D7" w14:textId="77777777" w:rsidR="00CC30CA" w:rsidRDefault="00CC30CA" w:rsidP="00CC30CA">
      <w:pPr>
        <w:rPr>
          <w:rFonts w:ascii="Calibri" w:eastAsia="MS Mincho" w:hAnsi="Calibri" w:cs="Arial"/>
          <w:color w:val="000000" w:themeColor="text1"/>
          <w:lang w:val="en-US"/>
        </w:rPr>
      </w:pPr>
      <w:r w:rsidRPr="00573809">
        <w:rPr>
          <w:rFonts w:ascii="Calibri" w:eastAsia="MS Mincho" w:hAnsi="Calibri" w:cs="Arial"/>
          <w:color w:val="000000" w:themeColor="text1"/>
          <w:lang w:val="en-US"/>
        </w:rPr>
        <w:t xml:space="preserve">The </w:t>
      </w:r>
      <w:r>
        <w:rPr>
          <w:rFonts w:ascii="Calibri" w:eastAsia="MS Mincho" w:hAnsi="Calibri" w:cs="Arial"/>
          <w:color w:val="000000" w:themeColor="text1"/>
          <w:lang w:val="en-US"/>
        </w:rPr>
        <w:t xml:space="preserve">National Strategic </w:t>
      </w:r>
      <w:r w:rsidRPr="00573809">
        <w:rPr>
          <w:rFonts w:ascii="Calibri" w:eastAsia="MS Mincho" w:hAnsi="Calibri" w:cs="Arial"/>
          <w:color w:val="000000" w:themeColor="text1"/>
          <w:lang w:val="en-US"/>
        </w:rPr>
        <w:t xml:space="preserve">Action Plan </w:t>
      </w:r>
      <w:r>
        <w:rPr>
          <w:rFonts w:ascii="Calibri" w:eastAsia="MS Mincho" w:hAnsi="Calibri" w:cs="Arial"/>
          <w:color w:val="000000" w:themeColor="text1"/>
          <w:lang w:val="en-US"/>
        </w:rPr>
        <w:t xml:space="preserve">for Kidney Disease and the compendium documents were </w:t>
      </w:r>
      <w:r w:rsidRPr="00573809">
        <w:rPr>
          <w:rFonts w:ascii="Calibri" w:eastAsia="MS Mincho" w:hAnsi="Calibri" w:cs="Arial"/>
          <w:color w:val="000000" w:themeColor="text1"/>
          <w:lang w:val="en-US"/>
        </w:rPr>
        <w:t>managed and written by Dr</w:t>
      </w:r>
      <w:r>
        <w:rPr>
          <w:rFonts w:ascii="Calibri" w:eastAsia="MS Mincho" w:hAnsi="Calibri" w:cs="Arial"/>
          <w:color w:val="000000" w:themeColor="text1"/>
          <w:lang w:val="en-US"/>
        </w:rPr>
        <w:t xml:space="preserve"> </w:t>
      </w:r>
      <w:r w:rsidRPr="00573809">
        <w:rPr>
          <w:rFonts w:ascii="Calibri" w:eastAsia="MS Mincho" w:hAnsi="Calibri" w:cs="Arial"/>
          <w:color w:val="000000" w:themeColor="text1"/>
          <w:lang w:val="en-US"/>
        </w:rPr>
        <w:t>Emma Tinning, Dr Lisa Murphy</w:t>
      </w:r>
      <w:r>
        <w:rPr>
          <w:rFonts w:ascii="Calibri" w:eastAsia="MS Mincho" w:hAnsi="Calibri" w:cs="Arial"/>
          <w:color w:val="000000" w:themeColor="text1"/>
          <w:lang w:val="en-US"/>
        </w:rPr>
        <w:t xml:space="preserve"> </w:t>
      </w:r>
      <w:r w:rsidRPr="00573809">
        <w:rPr>
          <w:rFonts w:ascii="Calibri" w:eastAsia="MS Mincho" w:hAnsi="Calibri" w:cs="Arial"/>
          <w:color w:val="000000" w:themeColor="text1"/>
          <w:lang w:val="en-US"/>
        </w:rPr>
        <w:t>and A/Prof Shilpa Jesudason</w:t>
      </w:r>
      <w:r>
        <w:rPr>
          <w:rFonts w:ascii="Calibri" w:eastAsia="MS Mincho" w:hAnsi="Calibri" w:cs="Arial"/>
          <w:color w:val="000000" w:themeColor="text1"/>
          <w:lang w:val="en-US"/>
        </w:rPr>
        <w:t xml:space="preserve"> </w:t>
      </w:r>
      <w:r w:rsidRPr="00573809">
        <w:rPr>
          <w:rFonts w:ascii="Calibri" w:eastAsia="MS Mincho" w:hAnsi="Calibri" w:cs="Arial"/>
          <w:color w:val="000000" w:themeColor="text1"/>
          <w:lang w:val="en-US"/>
        </w:rPr>
        <w:t>of Kidney Health Australia.</w:t>
      </w:r>
    </w:p>
    <w:p w14:paraId="47AEF12C" w14:textId="51AC4FB1" w:rsidR="006044E4" w:rsidRPr="006044E4" w:rsidRDefault="006044E4" w:rsidP="006044E4">
      <w:pPr>
        <w:rPr>
          <w:color w:val="000000" w:themeColor="text1"/>
          <w:sz w:val="24"/>
          <w:szCs w:val="24"/>
        </w:rPr>
      </w:pPr>
      <w:r>
        <w:rPr>
          <w:color w:val="000000" w:themeColor="text1"/>
          <w:sz w:val="24"/>
          <w:szCs w:val="24"/>
        </w:rPr>
        <w:t xml:space="preserve"> </w:t>
      </w:r>
    </w:p>
    <w:bookmarkEnd w:id="0"/>
    <w:p w14:paraId="75013CD7" w14:textId="50E2EB7A" w:rsidR="004F60C5" w:rsidRDefault="004F60C5" w:rsidP="00C95A35">
      <w:pPr>
        <w:pStyle w:val="Heading2"/>
        <w:jc w:val="right"/>
      </w:pPr>
      <w:r>
        <w:br w:type="page"/>
      </w:r>
    </w:p>
    <w:p w14:paraId="77E2B52C" w14:textId="77777777" w:rsidR="00DB5DE6" w:rsidRDefault="00DB5DE6" w:rsidP="00743873">
      <w:pPr>
        <w:pStyle w:val="Heading1"/>
        <w:rPr>
          <w:color w:val="C00000"/>
        </w:rPr>
      </w:pPr>
      <w:r>
        <w:rPr>
          <w:color w:val="C00000"/>
        </w:rPr>
        <w:lastRenderedPageBreak/>
        <w:t>Contents</w:t>
      </w:r>
    </w:p>
    <w:tbl>
      <w:tblPr>
        <w:tblStyle w:val="TableGrid"/>
        <w:tblW w:w="0" w:type="auto"/>
        <w:tblLook w:val="04A0" w:firstRow="1" w:lastRow="0" w:firstColumn="1" w:lastColumn="0" w:noHBand="0" w:noVBand="1"/>
      </w:tblPr>
      <w:tblGrid>
        <w:gridCol w:w="8359"/>
        <w:gridCol w:w="657"/>
      </w:tblGrid>
      <w:tr w:rsidR="00DB5DE6" w14:paraId="71ABEFF1" w14:textId="77777777" w:rsidTr="00DB5DE6">
        <w:tc>
          <w:tcPr>
            <w:tcW w:w="8359" w:type="dxa"/>
          </w:tcPr>
          <w:p w14:paraId="4DAEB330" w14:textId="32666333" w:rsidR="00DB5DE6" w:rsidRPr="00B021B1" w:rsidRDefault="00DB5DE6" w:rsidP="00DB5DE6">
            <w:pPr>
              <w:pStyle w:val="Heading1"/>
              <w:tabs>
                <w:tab w:val="left" w:pos="1230"/>
              </w:tabs>
              <w:rPr>
                <w:rFonts w:asciiTheme="minorHAnsi" w:hAnsiTheme="minorHAnsi" w:cstheme="minorHAnsi"/>
                <w:color w:val="auto"/>
                <w:sz w:val="22"/>
                <w:szCs w:val="22"/>
              </w:rPr>
            </w:pPr>
            <w:r w:rsidRPr="00B021B1">
              <w:rPr>
                <w:rFonts w:asciiTheme="minorHAnsi" w:hAnsiTheme="minorHAnsi" w:cstheme="minorHAnsi"/>
                <w:color w:val="auto"/>
                <w:sz w:val="22"/>
                <w:szCs w:val="22"/>
              </w:rPr>
              <w:t>Introduction</w:t>
            </w:r>
          </w:p>
        </w:tc>
        <w:tc>
          <w:tcPr>
            <w:tcW w:w="657" w:type="dxa"/>
          </w:tcPr>
          <w:p w14:paraId="421D1B45" w14:textId="270C5781" w:rsidR="00DB5DE6" w:rsidRPr="00B021B1" w:rsidRDefault="00DB5DE6" w:rsidP="00743873">
            <w:pPr>
              <w:pStyle w:val="Heading1"/>
              <w:rPr>
                <w:rFonts w:asciiTheme="minorHAnsi" w:hAnsiTheme="minorHAnsi" w:cstheme="minorHAnsi"/>
                <w:color w:val="auto"/>
                <w:sz w:val="22"/>
                <w:szCs w:val="22"/>
              </w:rPr>
            </w:pPr>
            <w:r w:rsidRPr="00B021B1">
              <w:rPr>
                <w:rFonts w:asciiTheme="minorHAnsi" w:hAnsiTheme="minorHAnsi" w:cstheme="minorHAnsi"/>
                <w:color w:val="auto"/>
                <w:sz w:val="22"/>
                <w:szCs w:val="22"/>
              </w:rPr>
              <w:t>4</w:t>
            </w:r>
          </w:p>
        </w:tc>
      </w:tr>
      <w:tr w:rsidR="00DB5DE6" w14:paraId="7C329FE2" w14:textId="77777777" w:rsidTr="00DB5DE6">
        <w:tc>
          <w:tcPr>
            <w:tcW w:w="8359" w:type="dxa"/>
          </w:tcPr>
          <w:p w14:paraId="6C20F47F" w14:textId="5836593C" w:rsidR="00DB5DE6" w:rsidRPr="00B021B1" w:rsidRDefault="00DB5DE6" w:rsidP="00743873">
            <w:pPr>
              <w:pStyle w:val="Heading1"/>
              <w:rPr>
                <w:rFonts w:asciiTheme="minorHAnsi" w:hAnsiTheme="minorHAnsi" w:cstheme="minorHAnsi"/>
                <w:color w:val="auto"/>
                <w:sz w:val="22"/>
                <w:szCs w:val="22"/>
              </w:rPr>
            </w:pPr>
            <w:r w:rsidRPr="00B021B1">
              <w:rPr>
                <w:rFonts w:asciiTheme="minorHAnsi" w:hAnsiTheme="minorHAnsi" w:cstheme="minorHAnsi"/>
                <w:color w:val="auto"/>
                <w:sz w:val="22"/>
                <w:szCs w:val="22"/>
              </w:rPr>
              <w:t>Kidney disease</w:t>
            </w:r>
          </w:p>
        </w:tc>
        <w:tc>
          <w:tcPr>
            <w:tcW w:w="657" w:type="dxa"/>
          </w:tcPr>
          <w:p w14:paraId="4750A765" w14:textId="131851F1" w:rsidR="00DB5DE6" w:rsidRPr="00B021B1" w:rsidRDefault="00DB5DE6" w:rsidP="00743873">
            <w:pPr>
              <w:pStyle w:val="Heading1"/>
              <w:rPr>
                <w:rFonts w:asciiTheme="minorHAnsi" w:hAnsiTheme="minorHAnsi" w:cstheme="minorHAnsi"/>
                <w:color w:val="auto"/>
                <w:sz w:val="22"/>
                <w:szCs w:val="22"/>
              </w:rPr>
            </w:pPr>
            <w:r w:rsidRPr="00B021B1">
              <w:rPr>
                <w:rFonts w:asciiTheme="minorHAnsi" w:hAnsiTheme="minorHAnsi" w:cstheme="minorHAnsi"/>
                <w:color w:val="auto"/>
                <w:sz w:val="22"/>
                <w:szCs w:val="22"/>
              </w:rPr>
              <w:t>5</w:t>
            </w:r>
          </w:p>
        </w:tc>
      </w:tr>
      <w:tr w:rsidR="00B021B1" w14:paraId="6B8ABA95" w14:textId="77777777" w:rsidTr="00DB5DE6">
        <w:tc>
          <w:tcPr>
            <w:tcW w:w="8359" w:type="dxa"/>
          </w:tcPr>
          <w:p w14:paraId="6C756633" w14:textId="4082EC96" w:rsidR="00B021B1" w:rsidRPr="00B021B1" w:rsidRDefault="00B021B1" w:rsidP="00B021B1">
            <w:pPr>
              <w:pStyle w:val="Heading1"/>
              <w:rPr>
                <w:rFonts w:asciiTheme="minorHAnsi" w:hAnsiTheme="minorHAnsi" w:cstheme="minorHAnsi"/>
                <w:color w:val="auto"/>
                <w:sz w:val="22"/>
                <w:szCs w:val="22"/>
              </w:rPr>
            </w:pPr>
            <w:r w:rsidRPr="00B021B1">
              <w:rPr>
                <w:rFonts w:asciiTheme="minorHAnsi" w:hAnsiTheme="minorHAnsi" w:cstheme="minorHAnsi"/>
                <w:color w:val="auto"/>
                <w:sz w:val="22"/>
                <w:szCs w:val="22"/>
              </w:rPr>
              <w:t>Evidence Base</w:t>
            </w:r>
          </w:p>
        </w:tc>
        <w:tc>
          <w:tcPr>
            <w:tcW w:w="657" w:type="dxa"/>
          </w:tcPr>
          <w:p w14:paraId="6EDE91C2" w14:textId="1862DF12" w:rsidR="00B021B1" w:rsidRPr="00B021B1" w:rsidRDefault="00B021B1" w:rsidP="00743873">
            <w:pPr>
              <w:pStyle w:val="Heading1"/>
              <w:rPr>
                <w:rFonts w:asciiTheme="minorHAnsi" w:hAnsiTheme="minorHAnsi" w:cstheme="minorHAnsi"/>
                <w:color w:val="auto"/>
                <w:sz w:val="22"/>
                <w:szCs w:val="22"/>
              </w:rPr>
            </w:pPr>
            <w:r>
              <w:rPr>
                <w:rFonts w:asciiTheme="minorHAnsi" w:hAnsiTheme="minorHAnsi" w:cstheme="minorHAnsi"/>
                <w:color w:val="auto"/>
                <w:sz w:val="22"/>
                <w:szCs w:val="22"/>
              </w:rPr>
              <w:t>10</w:t>
            </w:r>
          </w:p>
        </w:tc>
      </w:tr>
      <w:tr w:rsidR="00B021B1" w14:paraId="48D11EA9" w14:textId="77777777" w:rsidTr="00DB5DE6">
        <w:tc>
          <w:tcPr>
            <w:tcW w:w="8359" w:type="dxa"/>
          </w:tcPr>
          <w:p w14:paraId="22127FD6" w14:textId="6FF5B739" w:rsidR="00B021B1" w:rsidRPr="00B021B1" w:rsidRDefault="00B021B1" w:rsidP="00B021B1">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Priority 1.  Prevention, Detection and Education</w:t>
            </w:r>
          </w:p>
        </w:tc>
        <w:tc>
          <w:tcPr>
            <w:tcW w:w="657" w:type="dxa"/>
          </w:tcPr>
          <w:p w14:paraId="3ABEE7D8" w14:textId="407A7431" w:rsidR="00B021B1" w:rsidRPr="00B021B1" w:rsidRDefault="00B021B1"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10</w:t>
            </w:r>
          </w:p>
        </w:tc>
      </w:tr>
      <w:tr w:rsidR="00DB5DE6" w14:paraId="1497FA27" w14:textId="77777777" w:rsidTr="00DB5DE6">
        <w:tc>
          <w:tcPr>
            <w:tcW w:w="8359" w:type="dxa"/>
          </w:tcPr>
          <w:p w14:paraId="417CEC01" w14:textId="7C062723" w:rsidR="00DB5DE6" w:rsidRPr="00B021B1" w:rsidRDefault="00DB5DE6" w:rsidP="00B021B1">
            <w:pPr>
              <w:pStyle w:val="Heading1"/>
              <w:ind w:left="397"/>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1.1 Develop a nationally coordinated approach to increase the effectiveness of prevention the prevention of chronic conditions in Australia</w:t>
            </w:r>
          </w:p>
        </w:tc>
        <w:tc>
          <w:tcPr>
            <w:tcW w:w="657" w:type="dxa"/>
          </w:tcPr>
          <w:p w14:paraId="7076B202" w14:textId="65745EAA" w:rsidR="00DB5DE6" w:rsidRPr="00B021B1" w:rsidRDefault="00B021B1"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10</w:t>
            </w:r>
          </w:p>
        </w:tc>
      </w:tr>
      <w:tr w:rsidR="00DB5DE6" w14:paraId="7ABCCC92" w14:textId="77777777" w:rsidTr="00DB5DE6">
        <w:tc>
          <w:tcPr>
            <w:tcW w:w="8359" w:type="dxa"/>
          </w:tcPr>
          <w:p w14:paraId="3D2CAB45" w14:textId="3F6E6277" w:rsidR="00DB5DE6" w:rsidRPr="00B021B1" w:rsidRDefault="00DB5DE6" w:rsidP="00B021B1">
            <w:pPr>
              <w:pStyle w:val="Heading1"/>
              <w:ind w:left="397"/>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1.2. Increase early detection and management to slow progression of kidney disease and empower people to self-manage their conditions</w:t>
            </w:r>
          </w:p>
        </w:tc>
        <w:tc>
          <w:tcPr>
            <w:tcW w:w="657" w:type="dxa"/>
          </w:tcPr>
          <w:p w14:paraId="75B34DCE" w14:textId="5BBC805D" w:rsidR="00DB5DE6" w:rsidRPr="00B021B1" w:rsidRDefault="00DB5DE6"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13</w:t>
            </w:r>
          </w:p>
        </w:tc>
      </w:tr>
      <w:tr w:rsidR="00DB5DE6" w14:paraId="30D7086D" w14:textId="77777777" w:rsidTr="00DB5DE6">
        <w:tc>
          <w:tcPr>
            <w:tcW w:w="8359" w:type="dxa"/>
          </w:tcPr>
          <w:p w14:paraId="3800FD3E" w14:textId="2D49D9B4" w:rsidR="00DB5DE6" w:rsidRPr="00B021B1" w:rsidRDefault="00DB5DE6" w:rsidP="00B021B1">
            <w:pPr>
              <w:pStyle w:val="Heading1"/>
              <w:ind w:left="397"/>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1.3 Raise community and health profession</w:t>
            </w:r>
            <w:bookmarkStart w:id="2" w:name="_GoBack"/>
            <w:bookmarkEnd w:id="2"/>
            <w:r w:rsidRPr="00B021B1">
              <w:rPr>
                <w:rFonts w:asciiTheme="minorHAnsi" w:hAnsiTheme="minorHAnsi" w:cstheme="minorHAnsi"/>
                <w:b w:val="0"/>
                <w:bCs/>
                <w:color w:val="auto"/>
                <w:sz w:val="22"/>
                <w:szCs w:val="22"/>
              </w:rPr>
              <w:t>al awareness and understanding of CKD and other chronic conditions to support prevention and early detection targeted at priority groups</w:t>
            </w:r>
          </w:p>
        </w:tc>
        <w:tc>
          <w:tcPr>
            <w:tcW w:w="657" w:type="dxa"/>
          </w:tcPr>
          <w:p w14:paraId="19000546" w14:textId="5A7E9D2F" w:rsidR="00DB5DE6" w:rsidRPr="00B021B1" w:rsidRDefault="00DB5DE6"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13</w:t>
            </w:r>
          </w:p>
        </w:tc>
      </w:tr>
      <w:tr w:rsidR="00DB5DE6" w14:paraId="5504C6C5" w14:textId="77777777" w:rsidTr="00DB5DE6">
        <w:tc>
          <w:tcPr>
            <w:tcW w:w="8359" w:type="dxa"/>
          </w:tcPr>
          <w:p w14:paraId="446B07B4" w14:textId="5FD7073D" w:rsidR="00DB5DE6" w:rsidRPr="00B021B1" w:rsidRDefault="00DB5DE6" w:rsidP="00DB5DE6">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Priority 2.  Optimal Care and Support</w:t>
            </w:r>
          </w:p>
        </w:tc>
        <w:tc>
          <w:tcPr>
            <w:tcW w:w="657" w:type="dxa"/>
          </w:tcPr>
          <w:p w14:paraId="59135084" w14:textId="73C27CDC" w:rsidR="00DB5DE6" w:rsidRPr="00B021B1" w:rsidRDefault="00DB5DE6"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14</w:t>
            </w:r>
          </w:p>
        </w:tc>
      </w:tr>
      <w:tr w:rsidR="00DB5DE6" w14:paraId="53F40557" w14:textId="77777777" w:rsidTr="00DB5DE6">
        <w:tc>
          <w:tcPr>
            <w:tcW w:w="8359" w:type="dxa"/>
          </w:tcPr>
          <w:p w14:paraId="334A6635" w14:textId="366BC7A6" w:rsidR="00DB5DE6" w:rsidRPr="00B021B1" w:rsidRDefault="00DB5DE6" w:rsidP="00B021B1">
            <w:pPr>
              <w:pStyle w:val="Heading1"/>
              <w:ind w:left="397"/>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2.1 Deliver high quality, equitable kidney care across Australia</w:t>
            </w:r>
          </w:p>
        </w:tc>
        <w:tc>
          <w:tcPr>
            <w:tcW w:w="657" w:type="dxa"/>
          </w:tcPr>
          <w:p w14:paraId="483FD5A5" w14:textId="0FA25B09" w:rsidR="00DB5DE6" w:rsidRPr="00B021B1" w:rsidRDefault="00DB5DE6"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14</w:t>
            </w:r>
          </w:p>
        </w:tc>
      </w:tr>
      <w:tr w:rsidR="00DB5DE6" w14:paraId="469224DF" w14:textId="77777777" w:rsidTr="00DB5DE6">
        <w:tc>
          <w:tcPr>
            <w:tcW w:w="8359" w:type="dxa"/>
          </w:tcPr>
          <w:p w14:paraId="5893E595" w14:textId="5D2AA6BE" w:rsidR="00DB5DE6" w:rsidRPr="00B021B1" w:rsidRDefault="00DB5DE6" w:rsidP="00B021B1">
            <w:pPr>
              <w:pStyle w:val="Heading1"/>
              <w:ind w:left="397"/>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 xml:space="preserve">2.2 Reduce the financial impact of kidney disease on </w:t>
            </w:r>
            <w:proofErr w:type="gramStart"/>
            <w:r w:rsidRPr="00B021B1">
              <w:rPr>
                <w:rFonts w:asciiTheme="minorHAnsi" w:hAnsiTheme="minorHAnsi" w:cstheme="minorHAnsi"/>
                <w:b w:val="0"/>
                <w:bCs/>
                <w:color w:val="auto"/>
                <w:sz w:val="22"/>
                <w:szCs w:val="22"/>
              </w:rPr>
              <w:t>patients</w:t>
            </w:r>
            <w:proofErr w:type="gramEnd"/>
            <w:r w:rsidRPr="00B021B1">
              <w:rPr>
                <w:rFonts w:asciiTheme="minorHAnsi" w:hAnsiTheme="minorHAnsi" w:cstheme="minorHAnsi"/>
                <w:b w:val="0"/>
                <w:bCs/>
                <w:color w:val="auto"/>
                <w:sz w:val="22"/>
                <w:szCs w:val="22"/>
              </w:rPr>
              <w:t xml:space="preserve"> carers and families and the health system</w:t>
            </w:r>
          </w:p>
        </w:tc>
        <w:tc>
          <w:tcPr>
            <w:tcW w:w="657" w:type="dxa"/>
          </w:tcPr>
          <w:p w14:paraId="3CDB5D2C" w14:textId="17EE5564" w:rsidR="00DB5DE6" w:rsidRPr="00B021B1" w:rsidRDefault="00DB5DE6"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17</w:t>
            </w:r>
          </w:p>
        </w:tc>
      </w:tr>
      <w:tr w:rsidR="00DB5DE6" w14:paraId="4751AAA1" w14:textId="77777777" w:rsidTr="00DB5DE6">
        <w:tc>
          <w:tcPr>
            <w:tcW w:w="8359" w:type="dxa"/>
          </w:tcPr>
          <w:p w14:paraId="0E8E6E50" w14:textId="5D257239" w:rsidR="00DB5DE6" w:rsidRPr="00B021B1" w:rsidRDefault="00DB5DE6" w:rsidP="00B021B1">
            <w:pPr>
              <w:pStyle w:val="Heading1"/>
              <w:ind w:left="397"/>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2.3 Improve support for people affected by chronic kidney disease</w:t>
            </w:r>
          </w:p>
        </w:tc>
        <w:tc>
          <w:tcPr>
            <w:tcW w:w="657" w:type="dxa"/>
          </w:tcPr>
          <w:p w14:paraId="092ABAEC" w14:textId="74F93AE6" w:rsidR="00DB5DE6" w:rsidRPr="00B021B1" w:rsidRDefault="00DB5DE6"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19</w:t>
            </w:r>
          </w:p>
        </w:tc>
      </w:tr>
      <w:tr w:rsidR="00DB5DE6" w14:paraId="7C0B95BB" w14:textId="77777777" w:rsidTr="00DB5DE6">
        <w:tc>
          <w:tcPr>
            <w:tcW w:w="8359" w:type="dxa"/>
          </w:tcPr>
          <w:p w14:paraId="564C9FBA" w14:textId="68FD6FC7" w:rsidR="00DB5DE6" w:rsidRPr="00B021B1" w:rsidRDefault="00DB5DE6" w:rsidP="00B021B1">
            <w:pPr>
              <w:pStyle w:val="Heading1"/>
              <w:ind w:left="397"/>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2.4 Reduce the disproportionate burden of kidney disease on Aboriginal and Torres Strait Islander communities</w:t>
            </w:r>
          </w:p>
        </w:tc>
        <w:tc>
          <w:tcPr>
            <w:tcW w:w="657" w:type="dxa"/>
          </w:tcPr>
          <w:p w14:paraId="54989150" w14:textId="2BFDB686" w:rsidR="00DB5DE6" w:rsidRPr="00B021B1" w:rsidRDefault="00DB5DE6"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20</w:t>
            </w:r>
          </w:p>
        </w:tc>
      </w:tr>
      <w:tr w:rsidR="00DB5DE6" w14:paraId="45F6E998" w14:textId="77777777" w:rsidTr="00DB5DE6">
        <w:tc>
          <w:tcPr>
            <w:tcW w:w="8359" w:type="dxa"/>
          </w:tcPr>
          <w:p w14:paraId="5DCAD75E" w14:textId="4B8D1D2D" w:rsidR="00DB5DE6" w:rsidRPr="00B021B1" w:rsidRDefault="00DB5DE6" w:rsidP="00DB5DE6">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Priority 3. Research and Data</w:t>
            </w:r>
          </w:p>
        </w:tc>
        <w:tc>
          <w:tcPr>
            <w:tcW w:w="657" w:type="dxa"/>
          </w:tcPr>
          <w:p w14:paraId="49B5291C" w14:textId="7E38F19F" w:rsidR="00DB5DE6" w:rsidRPr="00B021B1" w:rsidRDefault="00DB5DE6"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22</w:t>
            </w:r>
          </w:p>
        </w:tc>
      </w:tr>
      <w:tr w:rsidR="00DB5DE6" w14:paraId="0F75690C" w14:textId="77777777" w:rsidTr="00DB5DE6">
        <w:tc>
          <w:tcPr>
            <w:tcW w:w="8359" w:type="dxa"/>
          </w:tcPr>
          <w:p w14:paraId="23404496" w14:textId="6D82BCAD" w:rsidR="00DB5DE6" w:rsidRPr="00B021B1" w:rsidRDefault="00DB5DE6" w:rsidP="00B021B1">
            <w:pPr>
              <w:pStyle w:val="Heading1"/>
              <w:ind w:left="397"/>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3.1 Establish a well-funded collaborative kidney research program to increase strategic research investment, foster cross collaboration and translate cutting edge research into real world outcomes</w:t>
            </w:r>
          </w:p>
        </w:tc>
        <w:tc>
          <w:tcPr>
            <w:tcW w:w="657" w:type="dxa"/>
          </w:tcPr>
          <w:p w14:paraId="7393FD9D" w14:textId="624D3810" w:rsidR="00DB5DE6" w:rsidRPr="00B021B1" w:rsidRDefault="00DB5DE6"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22</w:t>
            </w:r>
          </w:p>
        </w:tc>
      </w:tr>
      <w:tr w:rsidR="00DB5DE6" w14:paraId="49C9702F" w14:textId="77777777" w:rsidTr="00DB5DE6">
        <w:tc>
          <w:tcPr>
            <w:tcW w:w="8359" w:type="dxa"/>
          </w:tcPr>
          <w:p w14:paraId="357C562D" w14:textId="63AC4198" w:rsidR="00DB5DE6" w:rsidRPr="00B021B1" w:rsidRDefault="00DB5DE6" w:rsidP="00B021B1">
            <w:pPr>
              <w:pStyle w:val="Heading1"/>
              <w:ind w:left="397"/>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3.2 Use data, evidence and research to drive improvements in kidney disease prevention, treatment and outcomes</w:t>
            </w:r>
          </w:p>
        </w:tc>
        <w:tc>
          <w:tcPr>
            <w:tcW w:w="657" w:type="dxa"/>
          </w:tcPr>
          <w:p w14:paraId="7E02BAE9" w14:textId="2F814758" w:rsidR="00DB5DE6" w:rsidRPr="00B021B1" w:rsidRDefault="00DB5DE6"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22</w:t>
            </w:r>
          </w:p>
        </w:tc>
      </w:tr>
      <w:tr w:rsidR="00DB5DE6" w14:paraId="5AD16973" w14:textId="77777777" w:rsidTr="00DB5DE6">
        <w:tc>
          <w:tcPr>
            <w:tcW w:w="8359" w:type="dxa"/>
          </w:tcPr>
          <w:p w14:paraId="72AD1559" w14:textId="5E94E424" w:rsidR="00DB5DE6" w:rsidRPr="00B021B1" w:rsidRDefault="00DB5DE6" w:rsidP="00DB5DE6">
            <w:pPr>
              <w:pStyle w:val="Heading1"/>
              <w:rPr>
                <w:rFonts w:asciiTheme="minorHAnsi" w:hAnsiTheme="minorHAnsi" w:cstheme="minorHAnsi"/>
                <w:color w:val="auto"/>
                <w:sz w:val="22"/>
                <w:szCs w:val="22"/>
              </w:rPr>
            </w:pPr>
            <w:r w:rsidRPr="00B021B1">
              <w:rPr>
                <w:rFonts w:asciiTheme="minorHAnsi" w:hAnsiTheme="minorHAnsi" w:cstheme="minorHAnsi"/>
                <w:color w:val="auto"/>
                <w:sz w:val="22"/>
                <w:szCs w:val="22"/>
              </w:rPr>
              <w:t>Appendices</w:t>
            </w:r>
          </w:p>
        </w:tc>
        <w:tc>
          <w:tcPr>
            <w:tcW w:w="657" w:type="dxa"/>
          </w:tcPr>
          <w:p w14:paraId="7518FDE6" w14:textId="3A1AB1EC" w:rsidR="00DB5DE6" w:rsidRPr="00B021B1" w:rsidRDefault="00DB5DE6" w:rsidP="00743873">
            <w:pPr>
              <w:pStyle w:val="Heading1"/>
              <w:rPr>
                <w:rFonts w:asciiTheme="minorHAnsi" w:hAnsiTheme="minorHAnsi" w:cstheme="minorHAnsi"/>
                <w:color w:val="auto"/>
                <w:sz w:val="22"/>
                <w:szCs w:val="22"/>
              </w:rPr>
            </w:pPr>
            <w:r w:rsidRPr="00B021B1">
              <w:rPr>
                <w:rFonts w:asciiTheme="minorHAnsi" w:hAnsiTheme="minorHAnsi" w:cstheme="minorHAnsi"/>
                <w:color w:val="auto"/>
                <w:sz w:val="22"/>
                <w:szCs w:val="22"/>
              </w:rPr>
              <w:t>25</w:t>
            </w:r>
          </w:p>
        </w:tc>
      </w:tr>
      <w:tr w:rsidR="00DB5DE6" w14:paraId="62015F48" w14:textId="77777777" w:rsidTr="00DB5DE6">
        <w:tc>
          <w:tcPr>
            <w:tcW w:w="8359" w:type="dxa"/>
          </w:tcPr>
          <w:p w14:paraId="16E07C52" w14:textId="26E5B66E" w:rsidR="00DB5DE6" w:rsidRPr="00B021B1" w:rsidRDefault="00DB5DE6" w:rsidP="00DB5DE6">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Appendix 1: Glossary</w:t>
            </w:r>
          </w:p>
        </w:tc>
        <w:tc>
          <w:tcPr>
            <w:tcW w:w="657" w:type="dxa"/>
          </w:tcPr>
          <w:p w14:paraId="3D0E207E" w14:textId="3A061E56" w:rsidR="00DB5DE6" w:rsidRPr="00B021B1" w:rsidRDefault="00DB5DE6"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25</w:t>
            </w:r>
          </w:p>
        </w:tc>
      </w:tr>
      <w:tr w:rsidR="00DB5DE6" w14:paraId="152DDFC5" w14:textId="77777777" w:rsidTr="00DB5DE6">
        <w:tc>
          <w:tcPr>
            <w:tcW w:w="8359" w:type="dxa"/>
          </w:tcPr>
          <w:p w14:paraId="4FC9079A" w14:textId="6C76920A" w:rsidR="00DB5DE6" w:rsidRPr="00B021B1" w:rsidRDefault="00B021B1" w:rsidP="00DB5DE6">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Appendix 2: Abbreviations</w:t>
            </w:r>
          </w:p>
        </w:tc>
        <w:tc>
          <w:tcPr>
            <w:tcW w:w="657" w:type="dxa"/>
          </w:tcPr>
          <w:p w14:paraId="6E357DF4" w14:textId="2FE2CDA2" w:rsidR="00DB5DE6" w:rsidRPr="00B021B1" w:rsidRDefault="00B021B1" w:rsidP="00743873">
            <w:pPr>
              <w:pStyle w:val="Heading1"/>
              <w:rPr>
                <w:rFonts w:asciiTheme="minorHAnsi" w:hAnsiTheme="minorHAnsi" w:cstheme="minorHAnsi"/>
                <w:b w:val="0"/>
                <w:bCs/>
                <w:color w:val="auto"/>
                <w:sz w:val="22"/>
                <w:szCs w:val="22"/>
              </w:rPr>
            </w:pPr>
            <w:r w:rsidRPr="00B021B1">
              <w:rPr>
                <w:rFonts w:asciiTheme="minorHAnsi" w:hAnsiTheme="minorHAnsi" w:cstheme="minorHAnsi"/>
                <w:b w:val="0"/>
                <w:bCs/>
                <w:color w:val="auto"/>
                <w:sz w:val="22"/>
                <w:szCs w:val="22"/>
              </w:rPr>
              <w:t>27</w:t>
            </w:r>
          </w:p>
        </w:tc>
      </w:tr>
      <w:tr w:rsidR="00DB5DE6" w14:paraId="00D4C5E8" w14:textId="77777777" w:rsidTr="00DB5DE6">
        <w:tc>
          <w:tcPr>
            <w:tcW w:w="8359" w:type="dxa"/>
          </w:tcPr>
          <w:p w14:paraId="2AD54026" w14:textId="747D5D83" w:rsidR="00DB5DE6" w:rsidRPr="00B021B1" w:rsidRDefault="00B021B1" w:rsidP="00DB5DE6">
            <w:pPr>
              <w:pStyle w:val="Heading1"/>
              <w:rPr>
                <w:rFonts w:asciiTheme="minorHAnsi" w:hAnsiTheme="minorHAnsi" w:cstheme="minorHAnsi"/>
                <w:color w:val="auto"/>
                <w:sz w:val="22"/>
                <w:szCs w:val="22"/>
              </w:rPr>
            </w:pPr>
            <w:r w:rsidRPr="00B021B1">
              <w:rPr>
                <w:rFonts w:asciiTheme="minorHAnsi" w:hAnsiTheme="minorHAnsi" w:cstheme="minorHAnsi"/>
                <w:color w:val="auto"/>
                <w:sz w:val="22"/>
                <w:szCs w:val="22"/>
              </w:rPr>
              <w:t>References</w:t>
            </w:r>
          </w:p>
        </w:tc>
        <w:tc>
          <w:tcPr>
            <w:tcW w:w="657" w:type="dxa"/>
          </w:tcPr>
          <w:p w14:paraId="520ABBD5" w14:textId="338470C5" w:rsidR="00DB5DE6" w:rsidRPr="00B021B1" w:rsidRDefault="00B021B1" w:rsidP="00743873">
            <w:pPr>
              <w:pStyle w:val="Heading1"/>
              <w:rPr>
                <w:rFonts w:asciiTheme="minorHAnsi" w:hAnsiTheme="minorHAnsi" w:cstheme="minorHAnsi"/>
                <w:color w:val="auto"/>
                <w:sz w:val="22"/>
                <w:szCs w:val="22"/>
              </w:rPr>
            </w:pPr>
            <w:r w:rsidRPr="00B021B1">
              <w:rPr>
                <w:rFonts w:asciiTheme="minorHAnsi" w:hAnsiTheme="minorHAnsi" w:cstheme="minorHAnsi"/>
                <w:color w:val="auto"/>
                <w:sz w:val="22"/>
                <w:szCs w:val="22"/>
              </w:rPr>
              <w:t>28</w:t>
            </w:r>
          </w:p>
        </w:tc>
      </w:tr>
    </w:tbl>
    <w:p w14:paraId="334B643A" w14:textId="7B43ECDC" w:rsidR="00DB5DE6" w:rsidRDefault="00DB5DE6" w:rsidP="00743873">
      <w:pPr>
        <w:pStyle w:val="Heading1"/>
        <w:rPr>
          <w:color w:val="C00000"/>
        </w:rPr>
      </w:pPr>
      <w:r>
        <w:rPr>
          <w:color w:val="C00000"/>
        </w:rPr>
        <w:br w:type="page"/>
      </w:r>
    </w:p>
    <w:p w14:paraId="6E09DFEC" w14:textId="331B2446" w:rsidR="0092665A" w:rsidRPr="00FF54C9" w:rsidRDefault="0092665A" w:rsidP="00743873">
      <w:pPr>
        <w:pStyle w:val="Heading1"/>
        <w:rPr>
          <w:color w:val="C00000"/>
        </w:rPr>
      </w:pPr>
      <w:r w:rsidRPr="00FF54C9">
        <w:rPr>
          <w:color w:val="C00000"/>
        </w:rPr>
        <w:lastRenderedPageBreak/>
        <w:t>Introduction</w:t>
      </w:r>
    </w:p>
    <w:p w14:paraId="222BF2FF" w14:textId="77777777" w:rsidR="00C95A35" w:rsidRDefault="00C95A35" w:rsidP="0092665A">
      <w:pPr>
        <w:spacing w:line="276" w:lineRule="auto"/>
        <w:rPr>
          <w:rFonts w:cs="Arial"/>
        </w:rPr>
      </w:pPr>
    </w:p>
    <w:p w14:paraId="0BE044C4" w14:textId="0B324273" w:rsidR="00F14CE6" w:rsidRPr="00B019B2" w:rsidRDefault="0092665A" w:rsidP="00B019B2">
      <w:r w:rsidRPr="00B019B2">
        <w:t xml:space="preserve">The National Strategic Action Plan </w:t>
      </w:r>
      <w:r w:rsidR="0013311F" w:rsidRPr="00B019B2">
        <w:t xml:space="preserve">for </w:t>
      </w:r>
      <w:r w:rsidRPr="00B019B2">
        <w:t xml:space="preserve">Kidney </w:t>
      </w:r>
      <w:r w:rsidR="00BB242B" w:rsidRPr="00B019B2">
        <w:t>D</w:t>
      </w:r>
      <w:r w:rsidRPr="00B019B2">
        <w:t xml:space="preserve">isease (the Action Plan) provides a blueprint for </w:t>
      </w:r>
      <w:r w:rsidR="00F14CE6" w:rsidRPr="00B019B2">
        <w:t xml:space="preserve">transforming </w:t>
      </w:r>
      <w:r w:rsidRPr="00B019B2">
        <w:t>kidney health in Australia</w:t>
      </w:r>
      <w:r w:rsidR="00ED7509" w:rsidRPr="00B019B2">
        <w:t xml:space="preserve"> over the next </w:t>
      </w:r>
      <w:r w:rsidR="00F14CE6" w:rsidRPr="00B019B2">
        <w:t>ten years</w:t>
      </w:r>
      <w:r w:rsidR="0013311F" w:rsidRPr="00B019B2">
        <w:t xml:space="preserve">. The Action Plan articulates </w:t>
      </w:r>
      <w:r w:rsidR="00F14CE6" w:rsidRPr="00B019B2">
        <w:t xml:space="preserve">a vision for preventing </w:t>
      </w:r>
      <w:r w:rsidR="00907AA0" w:rsidRPr="00B019B2">
        <w:t>chronic kidney disease (</w:t>
      </w:r>
      <w:r w:rsidR="00F14CE6" w:rsidRPr="00B019B2">
        <w:t>CKD</w:t>
      </w:r>
      <w:r w:rsidR="00907AA0" w:rsidRPr="00B019B2">
        <w:t>)</w:t>
      </w:r>
      <w:r w:rsidR="00F14CE6" w:rsidRPr="00B019B2">
        <w:t xml:space="preserve"> and improving the lives of those affected by CKD, underpinned by the effective use of research, evidence and data.</w:t>
      </w:r>
    </w:p>
    <w:p w14:paraId="0E02EEC7" w14:textId="77777777" w:rsidR="00492DFB" w:rsidRPr="00B019B2" w:rsidRDefault="00492DFB" w:rsidP="00B019B2"/>
    <w:p w14:paraId="17924B3C" w14:textId="3B35912B" w:rsidR="00BB242B" w:rsidRDefault="00F14CE6" w:rsidP="006E03C1">
      <w:r w:rsidRPr="00B019B2">
        <w:t xml:space="preserve">The </w:t>
      </w:r>
      <w:r w:rsidR="00492DFB" w:rsidRPr="00B019B2">
        <w:t>A</w:t>
      </w:r>
      <w:r w:rsidRPr="00B019B2">
        <w:t xml:space="preserve">ction </w:t>
      </w:r>
      <w:r w:rsidR="00492DFB" w:rsidRPr="00B019B2">
        <w:t>P</w:t>
      </w:r>
      <w:r w:rsidRPr="00B019B2">
        <w:t xml:space="preserve">lan includes three </w:t>
      </w:r>
      <w:r w:rsidR="00C95A35" w:rsidRPr="00B019B2">
        <w:t>p</w:t>
      </w:r>
      <w:r w:rsidRPr="00B019B2">
        <w:t xml:space="preserve">riority </w:t>
      </w:r>
      <w:r w:rsidR="00C95A35" w:rsidRPr="00B019B2">
        <w:t>a</w:t>
      </w:r>
      <w:r w:rsidRPr="00B019B2">
        <w:t>reas</w:t>
      </w:r>
      <w:r w:rsidR="00492DFB" w:rsidRPr="00B019B2">
        <w:t xml:space="preserve"> with nine corresponding </w:t>
      </w:r>
      <w:r w:rsidR="00C95A35" w:rsidRPr="00B019B2">
        <w:t>o</w:t>
      </w:r>
      <w:r w:rsidR="00492DFB" w:rsidRPr="00B019B2">
        <w:t xml:space="preserve">bjectives, </w:t>
      </w:r>
      <w:r w:rsidRPr="00B019B2">
        <w:t xml:space="preserve">each with a range of </w:t>
      </w:r>
      <w:r w:rsidR="00492DFB" w:rsidRPr="00B019B2">
        <w:t xml:space="preserve">detailed </w:t>
      </w:r>
      <w:r w:rsidRPr="00B019B2">
        <w:t>actions designed to address the most pressing needs in kidney disease</w:t>
      </w:r>
      <w:r w:rsidR="0013311F" w:rsidRPr="00B019B2">
        <w:t xml:space="preserve"> (Table 1). These are</w:t>
      </w:r>
      <w:r w:rsidR="00492DFB" w:rsidRPr="00B019B2">
        <w:t xml:space="preserve"> </w:t>
      </w:r>
      <w:r w:rsidRPr="00B019B2">
        <w:t>supported by robust evidence</w:t>
      </w:r>
      <w:r w:rsidR="0013311F" w:rsidRPr="00B019B2">
        <w:t xml:space="preserve"> and developed through extensive stakeholder consultation</w:t>
      </w:r>
      <w:r w:rsidR="00743873" w:rsidRPr="00B019B2">
        <w:t>.</w:t>
      </w:r>
    </w:p>
    <w:p w14:paraId="110EE847" w14:textId="77777777" w:rsidR="006E03C1" w:rsidRPr="006E03C1" w:rsidRDefault="006E03C1" w:rsidP="006E03C1"/>
    <w:p w14:paraId="7DB3CF04" w14:textId="7075B9D5" w:rsidR="00F733A4" w:rsidRPr="00F733A4" w:rsidRDefault="00BB242B" w:rsidP="00F733A4">
      <w:pPr>
        <w:spacing w:line="276" w:lineRule="auto"/>
        <w:rPr>
          <w:rFonts w:cstheme="minorHAnsi"/>
          <w:b/>
          <w:bCs/>
          <w:color w:val="000000" w:themeColor="text1"/>
        </w:rPr>
      </w:pPr>
      <w:r w:rsidRPr="00743873">
        <w:rPr>
          <w:rFonts w:cstheme="minorHAnsi"/>
          <w:b/>
          <w:bCs/>
          <w:color w:val="000000" w:themeColor="text1"/>
        </w:rPr>
        <w:t>Table 1: Priority Areas and Objectives</w:t>
      </w:r>
    </w:p>
    <w:tbl>
      <w:tblPr>
        <w:tblStyle w:val="GridTable5Dark-Accent4"/>
        <w:tblW w:w="9071" w:type="dxa"/>
        <w:tblLayout w:type="fixed"/>
        <w:tblLook w:val="0420" w:firstRow="1" w:lastRow="0" w:firstColumn="0" w:lastColumn="0" w:noHBand="0" w:noVBand="1"/>
      </w:tblPr>
      <w:tblGrid>
        <w:gridCol w:w="9071"/>
      </w:tblGrid>
      <w:tr w:rsidR="00F733A4" w:rsidRPr="00F733A4" w14:paraId="55FE2417" w14:textId="77777777" w:rsidTr="00F733A4">
        <w:trPr>
          <w:cnfStyle w:val="100000000000" w:firstRow="1" w:lastRow="0" w:firstColumn="0" w:lastColumn="0" w:oddVBand="0" w:evenVBand="0" w:oddHBand="0" w:evenHBand="0" w:firstRowFirstColumn="0" w:firstRowLastColumn="0" w:lastRowFirstColumn="0" w:lastRowLastColumn="0"/>
          <w:trHeight w:val="567"/>
          <w:tblHeader/>
        </w:trPr>
        <w:tc>
          <w:tcPr>
            <w:tcW w:w="9071" w:type="dxa"/>
            <w:shd w:val="clear" w:color="auto" w:fill="FF9300"/>
            <w:vAlign w:val="center"/>
          </w:tcPr>
          <w:p w14:paraId="7619C742" w14:textId="77777777" w:rsidR="00F733A4" w:rsidRPr="00F733A4" w:rsidRDefault="00F733A4" w:rsidP="00F733A4">
            <w:pPr>
              <w:rPr>
                <w:rFonts w:ascii="Calibri" w:eastAsia="Calibri" w:hAnsi="Calibri" w:cs="Times New Roman"/>
                <w:color w:val="FFFFFF"/>
              </w:rPr>
            </w:pPr>
            <w:r w:rsidRPr="00F733A4">
              <w:rPr>
                <w:rFonts w:ascii="Calibri" w:eastAsia="Calibri" w:hAnsi="Calibri" w:cs="Times New Roman"/>
                <w:color w:val="000000"/>
              </w:rPr>
              <w:t xml:space="preserve">Priority One Prevention, Detection and Education </w:t>
            </w:r>
          </w:p>
        </w:tc>
      </w:tr>
      <w:tr w:rsidR="00F733A4" w:rsidRPr="00F733A4" w14:paraId="5BDC360B" w14:textId="77777777" w:rsidTr="00880BE1">
        <w:trPr>
          <w:cnfStyle w:val="000000100000" w:firstRow="0" w:lastRow="0" w:firstColumn="0" w:lastColumn="0" w:oddVBand="0" w:evenVBand="0" w:oddHBand="1" w:evenHBand="0" w:firstRowFirstColumn="0" w:firstRowLastColumn="0" w:lastRowFirstColumn="0" w:lastRowLastColumn="0"/>
          <w:trHeight w:val="737"/>
        </w:trPr>
        <w:tc>
          <w:tcPr>
            <w:tcW w:w="9071" w:type="dxa"/>
            <w:shd w:val="clear" w:color="auto" w:fill="FFE3B6"/>
            <w:vAlign w:val="center"/>
          </w:tcPr>
          <w:p w14:paraId="11BB5C9A" w14:textId="77777777" w:rsidR="00F733A4" w:rsidRPr="00F733A4" w:rsidRDefault="00F733A4" w:rsidP="00F733A4">
            <w:pPr>
              <w:ind w:left="567" w:hanging="567"/>
              <w:rPr>
                <w:rFonts w:ascii="Calibri" w:eastAsia="Calibri" w:hAnsi="Calibri" w:cs="Times New Roman"/>
              </w:rPr>
            </w:pPr>
            <w:r w:rsidRPr="00F733A4">
              <w:rPr>
                <w:rFonts w:ascii="Calibri" w:eastAsia="Calibri" w:hAnsi="Calibri" w:cs="Times New Roman"/>
              </w:rPr>
              <w:t>1.1</w:t>
            </w:r>
            <w:r w:rsidRPr="00F733A4">
              <w:rPr>
                <w:rFonts w:ascii="Calibri" w:eastAsia="Calibri" w:hAnsi="Calibri" w:cs="Times New Roman"/>
              </w:rPr>
              <w:tab/>
              <w:t>Develop a nationally coordinated approach to increase the effectiveness of the prevention of chronic conditions in Australia</w:t>
            </w:r>
          </w:p>
        </w:tc>
      </w:tr>
      <w:tr w:rsidR="00F733A4" w:rsidRPr="00F733A4" w14:paraId="14E422D9" w14:textId="77777777" w:rsidTr="00880BE1">
        <w:trPr>
          <w:trHeight w:val="737"/>
        </w:trPr>
        <w:tc>
          <w:tcPr>
            <w:tcW w:w="9071" w:type="dxa"/>
            <w:shd w:val="clear" w:color="auto" w:fill="FFEFD7"/>
            <w:vAlign w:val="center"/>
          </w:tcPr>
          <w:p w14:paraId="2A122362" w14:textId="77777777" w:rsidR="00F733A4" w:rsidRPr="00F733A4" w:rsidRDefault="00F733A4" w:rsidP="00F733A4">
            <w:pPr>
              <w:ind w:left="567" w:hanging="567"/>
              <w:rPr>
                <w:rFonts w:ascii="Calibri" w:eastAsia="Calibri" w:hAnsi="Calibri" w:cs="Times New Roman"/>
              </w:rPr>
            </w:pPr>
            <w:r w:rsidRPr="00F733A4">
              <w:rPr>
                <w:rFonts w:ascii="Calibri" w:eastAsia="Calibri" w:hAnsi="Calibri" w:cs="Times New Roman"/>
              </w:rPr>
              <w:t>1.2</w:t>
            </w:r>
            <w:r w:rsidRPr="00F733A4">
              <w:rPr>
                <w:rFonts w:ascii="Calibri" w:eastAsia="Calibri" w:hAnsi="Calibri" w:cs="Times New Roman"/>
              </w:rPr>
              <w:tab/>
              <w:t>Increase early detection and management to slow the progression of kidney disease and empower people to self-manage their conditions</w:t>
            </w:r>
          </w:p>
        </w:tc>
      </w:tr>
      <w:tr w:rsidR="00F733A4" w:rsidRPr="00F733A4" w14:paraId="63482FC8" w14:textId="77777777" w:rsidTr="00880BE1">
        <w:trPr>
          <w:cnfStyle w:val="000000100000" w:firstRow="0" w:lastRow="0" w:firstColumn="0" w:lastColumn="0" w:oddVBand="0" w:evenVBand="0" w:oddHBand="1" w:evenHBand="0" w:firstRowFirstColumn="0" w:firstRowLastColumn="0" w:lastRowFirstColumn="0" w:lastRowLastColumn="0"/>
          <w:trHeight w:val="737"/>
        </w:trPr>
        <w:tc>
          <w:tcPr>
            <w:tcW w:w="9071" w:type="dxa"/>
            <w:shd w:val="clear" w:color="auto" w:fill="FFE3B6"/>
            <w:vAlign w:val="center"/>
          </w:tcPr>
          <w:p w14:paraId="0F1993CF" w14:textId="77777777" w:rsidR="00F733A4" w:rsidRPr="00F733A4" w:rsidRDefault="00F733A4" w:rsidP="00F733A4">
            <w:pPr>
              <w:ind w:left="567" w:hanging="567"/>
              <w:rPr>
                <w:rFonts w:ascii="Calibri" w:eastAsia="Calibri" w:hAnsi="Calibri" w:cs="Times New Roman"/>
              </w:rPr>
            </w:pPr>
            <w:r w:rsidRPr="00F733A4">
              <w:rPr>
                <w:rFonts w:ascii="Calibri" w:eastAsia="Calibri" w:hAnsi="Calibri" w:cs="Times New Roman"/>
              </w:rPr>
              <w:t>1.3</w:t>
            </w:r>
            <w:r w:rsidRPr="00F733A4">
              <w:rPr>
                <w:rFonts w:ascii="Calibri" w:eastAsia="Calibri" w:hAnsi="Calibri" w:cs="Times New Roman"/>
              </w:rPr>
              <w:tab/>
              <w:t>Raise community and healthcare professional awareness and understanding of CKD and other chronic conditions to support prevention and early detection targeted at priority groups</w:t>
            </w:r>
          </w:p>
        </w:tc>
      </w:tr>
    </w:tbl>
    <w:p w14:paraId="635E05B6" w14:textId="77777777" w:rsidR="00F733A4" w:rsidRPr="00F733A4" w:rsidRDefault="00F733A4" w:rsidP="00F733A4">
      <w:pPr>
        <w:rPr>
          <w:rFonts w:ascii="Calibri" w:eastAsia="Calibri" w:hAnsi="Calibri" w:cs="Times New Roman"/>
          <w:szCs w:val="24"/>
        </w:rPr>
      </w:pPr>
    </w:p>
    <w:tbl>
      <w:tblPr>
        <w:tblStyle w:val="GridTable5Dark-Accent4"/>
        <w:tblW w:w="9071" w:type="dxa"/>
        <w:tblLayout w:type="fixed"/>
        <w:tblLook w:val="0420" w:firstRow="1" w:lastRow="0" w:firstColumn="0" w:lastColumn="0" w:noHBand="0" w:noVBand="1"/>
      </w:tblPr>
      <w:tblGrid>
        <w:gridCol w:w="9071"/>
      </w:tblGrid>
      <w:tr w:rsidR="00F733A4" w:rsidRPr="00F733A4" w14:paraId="1C035D94" w14:textId="77777777" w:rsidTr="00F733A4">
        <w:trPr>
          <w:cnfStyle w:val="100000000000" w:firstRow="1" w:lastRow="0" w:firstColumn="0" w:lastColumn="0" w:oddVBand="0" w:evenVBand="0" w:oddHBand="0" w:evenHBand="0" w:firstRowFirstColumn="0" w:firstRowLastColumn="0" w:lastRowFirstColumn="0" w:lastRowLastColumn="0"/>
          <w:trHeight w:val="567"/>
          <w:tblHeader/>
        </w:trPr>
        <w:tc>
          <w:tcPr>
            <w:tcW w:w="9071" w:type="dxa"/>
            <w:shd w:val="clear" w:color="auto" w:fill="E2397C"/>
            <w:vAlign w:val="center"/>
          </w:tcPr>
          <w:p w14:paraId="290E1333" w14:textId="77777777" w:rsidR="00F733A4" w:rsidRPr="00F733A4" w:rsidRDefault="00F733A4" w:rsidP="00F733A4">
            <w:pPr>
              <w:rPr>
                <w:rFonts w:ascii="Calibri" w:eastAsia="Calibri" w:hAnsi="Calibri" w:cs="Times New Roman"/>
                <w:color w:val="FFFFFF"/>
              </w:rPr>
            </w:pPr>
            <w:r w:rsidRPr="00F733A4">
              <w:rPr>
                <w:rFonts w:ascii="Calibri" w:eastAsia="Calibri" w:hAnsi="Calibri" w:cs="Times New Roman"/>
                <w:color w:val="000000"/>
              </w:rPr>
              <w:t>Priority Two Optimal Care and Support</w:t>
            </w:r>
          </w:p>
        </w:tc>
      </w:tr>
      <w:tr w:rsidR="00F733A4" w:rsidRPr="00F733A4" w14:paraId="00DC850E" w14:textId="77777777" w:rsidTr="00880BE1">
        <w:trPr>
          <w:cnfStyle w:val="000000100000" w:firstRow="0" w:lastRow="0" w:firstColumn="0" w:lastColumn="0" w:oddVBand="0" w:evenVBand="0" w:oddHBand="1" w:evenHBand="0" w:firstRowFirstColumn="0" w:firstRowLastColumn="0" w:lastRowFirstColumn="0" w:lastRowLastColumn="0"/>
          <w:trHeight w:val="567"/>
        </w:trPr>
        <w:tc>
          <w:tcPr>
            <w:tcW w:w="9071" w:type="dxa"/>
            <w:shd w:val="clear" w:color="auto" w:fill="F1B0C1"/>
            <w:vAlign w:val="center"/>
          </w:tcPr>
          <w:p w14:paraId="4829A645" w14:textId="77777777" w:rsidR="00F733A4" w:rsidRPr="00F733A4" w:rsidRDefault="00F733A4" w:rsidP="00F733A4">
            <w:pPr>
              <w:ind w:left="567" w:hanging="567"/>
              <w:rPr>
                <w:rFonts w:ascii="Calibri" w:eastAsia="Calibri" w:hAnsi="Calibri" w:cs="Times New Roman"/>
              </w:rPr>
            </w:pPr>
            <w:r w:rsidRPr="00F733A4">
              <w:rPr>
                <w:rFonts w:ascii="Calibri" w:eastAsia="Calibri" w:hAnsi="Calibri" w:cs="Times New Roman"/>
              </w:rPr>
              <w:t>2.1</w:t>
            </w:r>
            <w:r w:rsidRPr="00F733A4">
              <w:rPr>
                <w:rFonts w:ascii="Calibri" w:eastAsia="Calibri" w:hAnsi="Calibri" w:cs="Times New Roman"/>
              </w:rPr>
              <w:tab/>
              <w:t>Deliver high quality, equitable kidney care across Australia</w:t>
            </w:r>
          </w:p>
        </w:tc>
      </w:tr>
      <w:tr w:rsidR="00F733A4" w:rsidRPr="00F733A4" w14:paraId="564B6411" w14:textId="77777777" w:rsidTr="00880BE1">
        <w:trPr>
          <w:trHeight w:val="567"/>
        </w:trPr>
        <w:tc>
          <w:tcPr>
            <w:tcW w:w="9071" w:type="dxa"/>
            <w:shd w:val="clear" w:color="auto" w:fill="F8D6DD"/>
            <w:vAlign w:val="center"/>
          </w:tcPr>
          <w:p w14:paraId="26E9115A" w14:textId="77777777" w:rsidR="00F733A4" w:rsidRPr="00F733A4" w:rsidRDefault="00F733A4" w:rsidP="00F733A4">
            <w:pPr>
              <w:ind w:left="567" w:hanging="567"/>
              <w:rPr>
                <w:rFonts w:ascii="Calibri" w:eastAsia="Calibri" w:hAnsi="Calibri" w:cs="Times New Roman"/>
              </w:rPr>
            </w:pPr>
            <w:r w:rsidRPr="00F733A4">
              <w:rPr>
                <w:rFonts w:ascii="Calibri" w:eastAsia="Calibri" w:hAnsi="Calibri" w:cs="Times New Roman"/>
              </w:rPr>
              <w:t>2.2</w:t>
            </w:r>
            <w:r w:rsidRPr="00F733A4">
              <w:rPr>
                <w:rFonts w:ascii="Calibri" w:eastAsia="Calibri" w:hAnsi="Calibri" w:cs="Times New Roman"/>
              </w:rPr>
              <w:tab/>
              <w:t>Reduce the financial impact of kidney disease on patients, carers and families and the health system</w:t>
            </w:r>
          </w:p>
        </w:tc>
      </w:tr>
      <w:tr w:rsidR="00F733A4" w:rsidRPr="00F733A4" w14:paraId="3DA57A79" w14:textId="77777777" w:rsidTr="00880BE1">
        <w:trPr>
          <w:cnfStyle w:val="000000100000" w:firstRow="0" w:lastRow="0" w:firstColumn="0" w:lastColumn="0" w:oddVBand="0" w:evenVBand="0" w:oddHBand="1" w:evenHBand="0" w:firstRowFirstColumn="0" w:firstRowLastColumn="0" w:lastRowFirstColumn="0" w:lastRowLastColumn="0"/>
          <w:trHeight w:val="567"/>
        </w:trPr>
        <w:tc>
          <w:tcPr>
            <w:tcW w:w="9071" w:type="dxa"/>
            <w:shd w:val="clear" w:color="auto" w:fill="F1B0C1"/>
            <w:vAlign w:val="center"/>
          </w:tcPr>
          <w:p w14:paraId="254AB243" w14:textId="77777777" w:rsidR="00F733A4" w:rsidRPr="00F733A4" w:rsidRDefault="00F733A4" w:rsidP="00F733A4">
            <w:pPr>
              <w:ind w:left="567" w:hanging="567"/>
              <w:rPr>
                <w:rFonts w:ascii="Calibri" w:eastAsia="Calibri" w:hAnsi="Calibri" w:cs="Times New Roman"/>
              </w:rPr>
            </w:pPr>
            <w:r w:rsidRPr="00F733A4">
              <w:rPr>
                <w:rFonts w:ascii="Calibri" w:eastAsia="Calibri" w:hAnsi="Calibri" w:cs="Times New Roman"/>
              </w:rPr>
              <w:t>2.3</w:t>
            </w:r>
            <w:r w:rsidRPr="00F733A4">
              <w:rPr>
                <w:rFonts w:ascii="Calibri" w:eastAsia="Calibri" w:hAnsi="Calibri" w:cs="Times New Roman"/>
              </w:rPr>
              <w:tab/>
              <w:t>Improve support for people affected by CKD</w:t>
            </w:r>
          </w:p>
        </w:tc>
      </w:tr>
      <w:tr w:rsidR="00F733A4" w:rsidRPr="00F733A4" w14:paraId="26C45BC0" w14:textId="77777777" w:rsidTr="00880BE1">
        <w:trPr>
          <w:trHeight w:val="680"/>
        </w:trPr>
        <w:tc>
          <w:tcPr>
            <w:tcW w:w="9071" w:type="dxa"/>
            <w:shd w:val="clear" w:color="auto" w:fill="F8D6DD"/>
            <w:vAlign w:val="center"/>
          </w:tcPr>
          <w:p w14:paraId="10584E66" w14:textId="77777777" w:rsidR="00F733A4" w:rsidRPr="00F733A4" w:rsidRDefault="00F733A4" w:rsidP="00F733A4">
            <w:pPr>
              <w:ind w:left="567" w:hanging="567"/>
              <w:rPr>
                <w:rFonts w:ascii="Calibri" w:eastAsia="Calibri" w:hAnsi="Calibri" w:cs="Times New Roman"/>
              </w:rPr>
            </w:pPr>
            <w:r w:rsidRPr="00F733A4">
              <w:rPr>
                <w:rFonts w:ascii="Calibri" w:eastAsia="Calibri" w:hAnsi="Calibri" w:cs="Times New Roman"/>
              </w:rPr>
              <w:t>2</w:t>
            </w:r>
            <w:r w:rsidRPr="00F733A4">
              <w:rPr>
                <w:rFonts w:ascii="Calibri" w:eastAsia="Calibri" w:hAnsi="Calibri" w:cs="Times New Roman"/>
                <w:shd w:val="clear" w:color="auto" w:fill="F8D6DD"/>
              </w:rPr>
              <w:t>.</w:t>
            </w:r>
            <w:r w:rsidRPr="00F733A4">
              <w:rPr>
                <w:rFonts w:ascii="Calibri" w:eastAsia="Calibri" w:hAnsi="Calibri" w:cs="Times New Roman"/>
              </w:rPr>
              <w:t>4</w:t>
            </w:r>
            <w:r w:rsidRPr="00F733A4">
              <w:rPr>
                <w:rFonts w:ascii="Calibri" w:eastAsia="Calibri" w:hAnsi="Calibri" w:cs="Times New Roman"/>
              </w:rPr>
              <w:tab/>
              <w:t>Reduce the disproportionate burden of kidney disease on Aboriginal and Torres Strait Islander communities</w:t>
            </w:r>
          </w:p>
        </w:tc>
      </w:tr>
    </w:tbl>
    <w:p w14:paraId="56008D2C" w14:textId="77777777" w:rsidR="00F733A4" w:rsidRPr="00F733A4" w:rsidRDefault="00F733A4" w:rsidP="00F733A4">
      <w:pPr>
        <w:rPr>
          <w:rFonts w:ascii="Calibri" w:eastAsia="Calibri" w:hAnsi="Calibri" w:cs="Times New Roman"/>
          <w:szCs w:val="24"/>
        </w:rPr>
      </w:pPr>
    </w:p>
    <w:tbl>
      <w:tblPr>
        <w:tblStyle w:val="GridTable5Dark-Accent4"/>
        <w:tblW w:w="9071" w:type="dxa"/>
        <w:tblLayout w:type="fixed"/>
        <w:tblLook w:val="0420" w:firstRow="1" w:lastRow="0" w:firstColumn="0" w:lastColumn="0" w:noHBand="0" w:noVBand="1"/>
      </w:tblPr>
      <w:tblGrid>
        <w:gridCol w:w="9071"/>
      </w:tblGrid>
      <w:tr w:rsidR="00F733A4" w:rsidRPr="00F733A4" w14:paraId="743FA132" w14:textId="77777777" w:rsidTr="00F733A4">
        <w:trPr>
          <w:cnfStyle w:val="100000000000" w:firstRow="1" w:lastRow="0" w:firstColumn="0" w:lastColumn="0" w:oddVBand="0" w:evenVBand="0" w:oddHBand="0" w:evenHBand="0" w:firstRowFirstColumn="0" w:firstRowLastColumn="0" w:lastRowFirstColumn="0" w:lastRowLastColumn="0"/>
          <w:trHeight w:val="567"/>
          <w:tblHeader/>
        </w:trPr>
        <w:tc>
          <w:tcPr>
            <w:tcW w:w="9071" w:type="dxa"/>
            <w:shd w:val="clear" w:color="auto" w:fill="BD53A6"/>
            <w:vAlign w:val="center"/>
          </w:tcPr>
          <w:p w14:paraId="6E34A234" w14:textId="77777777" w:rsidR="00F733A4" w:rsidRPr="00F733A4" w:rsidRDefault="00F733A4" w:rsidP="00F733A4">
            <w:pPr>
              <w:rPr>
                <w:rFonts w:ascii="Calibri" w:eastAsia="Calibri" w:hAnsi="Calibri" w:cs="Times New Roman"/>
                <w:color w:val="FFFFFF"/>
              </w:rPr>
            </w:pPr>
            <w:r w:rsidRPr="00F733A4">
              <w:rPr>
                <w:rFonts w:ascii="Calibri" w:eastAsia="Calibri" w:hAnsi="Calibri" w:cs="Times New Roman"/>
                <w:color w:val="000000"/>
              </w:rPr>
              <w:t xml:space="preserve">Priority Three </w:t>
            </w:r>
            <w:r w:rsidRPr="00F733A4">
              <w:rPr>
                <w:rFonts w:ascii="Calibri" w:eastAsia="Calibri" w:hAnsi="Calibri" w:cs="Times New Roman (Body CS)"/>
                <w:color w:val="000000"/>
              </w:rPr>
              <w:t>Research and Data</w:t>
            </w:r>
          </w:p>
        </w:tc>
      </w:tr>
      <w:tr w:rsidR="00F733A4" w:rsidRPr="00F733A4" w14:paraId="574D4259" w14:textId="77777777" w:rsidTr="00880BE1">
        <w:trPr>
          <w:cnfStyle w:val="000000100000" w:firstRow="0" w:lastRow="0" w:firstColumn="0" w:lastColumn="0" w:oddVBand="0" w:evenVBand="0" w:oddHBand="1" w:evenHBand="0" w:firstRowFirstColumn="0" w:firstRowLastColumn="0" w:lastRowFirstColumn="0" w:lastRowLastColumn="0"/>
          <w:trHeight w:val="737"/>
        </w:trPr>
        <w:tc>
          <w:tcPr>
            <w:tcW w:w="9071" w:type="dxa"/>
            <w:shd w:val="clear" w:color="auto" w:fill="D8AED1"/>
            <w:vAlign w:val="center"/>
          </w:tcPr>
          <w:p w14:paraId="4817E231" w14:textId="77777777" w:rsidR="00F733A4" w:rsidRPr="00F733A4" w:rsidRDefault="00F733A4" w:rsidP="00F733A4">
            <w:pPr>
              <w:ind w:left="567" w:hanging="567"/>
              <w:rPr>
                <w:rFonts w:ascii="Calibri" w:eastAsia="Calibri" w:hAnsi="Calibri" w:cs="Times New Roman"/>
              </w:rPr>
            </w:pPr>
            <w:r w:rsidRPr="00F733A4">
              <w:rPr>
                <w:rFonts w:ascii="Calibri" w:eastAsia="Calibri" w:hAnsi="Calibri" w:cs="Times New Roman"/>
              </w:rPr>
              <w:t>3.1</w:t>
            </w:r>
            <w:r w:rsidRPr="00F733A4">
              <w:rPr>
                <w:rFonts w:ascii="Calibri" w:eastAsia="Calibri" w:hAnsi="Calibri" w:cs="Times New Roman"/>
              </w:rPr>
              <w:tab/>
              <w:t>Establish a well-funded collaborative kidney research program to increase strategic research investment, foster cross collaboration and translate cutting edge research into real world outcomes</w:t>
            </w:r>
          </w:p>
        </w:tc>
      </w:tr>
      <w:tr w:rsidR="00F733A4" w:rsidRPr="00F733A4" w14:paraId="2B9DBA33" w14:textId="77777777" w:rsidTr="00880BE1">
        <w:trPr>
          <w:trHeight w:val="567"/>
        </w:trPr>
        <w:tc>
          <w:tcPr>
            <w:tcW w:w="9071" w:type="dxa"/>
            <w:shd w:val="clear" w:color="auto" w:fill="E9D4E7"/>
            <w:vAlign w:val="center"/>
          </w:tcPr>
          <w:p w14:paraId="49F73449" w14:textId="77777777" w:rsidR="00F733A4" w:rsidRPr="00F733A4" w:rsidRDefault="00F733A4" w:rsidP="00F733A4">
            <w:pPr>
              <w:ind w:left="567" w:hanging="567"/>
              <w:rPr>
                <w:rFonts w:ascii="Calibri" w:eastAsia="Calibri" w:hAnsi="Calibri" w:cs="Times New Roman"/>
              </w:rPr>
            </w:pPr>
            <w:r w:rsidRPr="00F733A4">
              <w:rPr>
                <w:rFonts w:ascii="Calibri" w:eastAsia="Calibri" w:hAnsi="Calibri" w:cs="Times New Roman"/>
              </w:rPr>
              <w:t>3.2</w:t>
            </w:r>
            <w:r w:rsidRPr="00F733A4">
              <w:rPr>
                <w:rFonts w:ascii="Calibri" w:eastAsia="Calibri" w:hAnsi="Calibri" w:cs="Times New Roman"/>
              </w:rPr>
              <w:tab/>
              <w:t>Use data, evidence and research to drive improvements in kidney disease prevention, treatment and outcomes</w:t>
            </w:r>
          </w:p>
        </w:tc>
      </w:tr>
    </w:tbl>
    <w:p w14:paraId="5CFCFCA9" w14:textId="77777777" w:rsidR="00F733A4" w:rsidRDefault="00F733A4" w:rsidP="0092665A">
      <w:pPr>
        <w:spacing w:line="276" w:lineRule="auto"/>
        <w:rPr>
          <w:rFonts w:cs="Arial"/>
        </w:rPr>
      </w:pPr>
    </w:p>
    <w:p w14:paraId="0432BF6C" w14:textId="32AF6E40" w:rsidR="00975A25" w:rsidRPr="002523E0" w:rsidRDefault="00D90BDE" w:rsidP="0092665A">
      <w:pPr>
        <w:spacing w:line="276" w:lineRule="auto"/>
        <w:rPr>
          <w:rFonts w:cs="Arial"/>
        </w:rPr>
      </w:pPr>
      <w:r w:rsidRPr="00FB0D33">
        <w:rPr>
          <w:rFonts w:cs="Arial"/>
        </w:rPr>
        <w:t>This document provides the</w:t>
      </w:r>
      <w:r w:rsidR="009B658F" w:rsidRPr="00FB0D33">
        <w:rPr>
          <w:rFonts w:cs="Arial"/>
        </w:rPr>
        <w:t xml:space="preserve"> background and</w:t>
      </w:r>
      <w:r w:rsidRPr="00FB0D33">
        <w:rPr>
          <w:rFonts w:cs="Arial"/>
        </w:rPr>
        <w:t xml:space="preserve"> evidence base for the </w:t>
      </w:r>
      <w:r w:rsidR="009B658F" w:rsidRPr="00FB0D33">
        <w:rPr>
          <w:rFonts w:cs="Arial"/>
        </w:rPr>
        <w:t xml:space="preserve">strategy, including </w:t>
      </w:r>
      <w:r w:rsidR="002523E0">
        <w:rPr>
          <w:rFonts w:cs="Arial"/>
        </w:rPr>
        <w:t>information about kidney disease and treatment</w:t>
      </w:r>
      <w:r w:rsidR="00C95A35">
        <w:rPr>
          <w:rFonts w:cs="Arial"/>
        </w:rPr>
        <w:t xml:space="preserve">; </w:t>
      </w:r>
      <w:r w:rsidR="009B658F" w:rsidRPr="00FB0D33">
        <w:rPr>
          <w:rFonts w:cs="Arial"/>
        </w:rPr>
        <w:t xml:space="preserve">the health, </w:t>
      </w:r>
      <w:r w:rsidR="00C95A35">
        <w:rPr>
          <w:rFonts w:cs="Arial"/>
        </w:rPr>
        <w:t>psycho</w:t>
      </w:r>
      <w:r w:rsidR="009B658F" w:rsidRPr="00FB0D33">
        <w:rPr>
          <w:rFonts w:cs="Arial"/>
        </w:rPr>
        <w:t>social and economic impact of CKD on Australia</w:t>
      </w:r>
      <w:r w:rsidR="00C95A35">
        <w:rPr>
          <w:rFonts w:cs="Arial"/>
        </w:rPr>
        <w:t>;</w:t>
      </w:r>
      <w:r w:rsidR="009B658F" w:rsidRPr="00FB0D33">
        <w:rPr>
          <w:rFonts w:cs="Arial"/>
        </w:rPr>
        <w:t xml:space="preserve"> and the evidence supporting the priorities and actions. Additional supporting information is available in the </w:t>
      </w:r>
      <w:r w:rsidR="00C95A35">
        <w:rPr>
          <w:rFonts w:cs="Arial"/>
        </w:rPr>
        <w:t xml:space="preserve">compendium documents </w:t>
      </w:r>
      <w:r w:rsidR="009B658F" w:rsidRPr="00AA35C7">
        <w:rPr>
          <w:rFonts w:cs="Arial"/>
          <w:i/>
        </w:rPr>
        <w:t>Consultation Summary</w:t>
      </w:r>
      <w:r w:rsidR="009B658F" w:rsidRPr="002523E0">
        <w:rPr>
          <w:rFonts w:cs="Arial"/>
        </w:rPr>
        <w:t xml:space="preserve"> and </w:t>
      </w:r>
      <w:r w:rsidR="009B658F" w:rsidRPr="00AA35C7">
        <w:rPr>
          <w:rFonts w:cs="Arial"/>
          <w:i/>
        </w:rPr>
        <w:t>Stocktake of Existing Initiatives</w:t>
      </w:r>
      <w:r w:rsidR="009B658F" w:rsidRPr="002523E0">
        <w:rPr>
          <w:rFonts w:cs="Arial"/>
        </w:rPr>
        <w:t xml:space="preserve"> also accompanying the Action Plan.</w:t>
      </w:r>
    </w:p>
    <w:p w14:paraId="597494B4" w14:textId="744B7373" w:rsidR="007B5558" w:rsidRPr="00D94CB1" w:rsidRDefault="004F60C5" w:rsidP="002041EF">
      <w:pPr>
        <w:pStyle w:val="Heading2"/>
        <w:rPr>
          <w:szCs w:val="28"/>
        </w:rPr>
        <w:sectPr w:rsidR="007B5558" w:rsidRPr="00D94CB1" w:rsidSect="00CC30CA">
          <w:footerReference w:type="even" r:id="rId9"/>
          <w:footerReference w:type="default" r:id="rId10"/>
          <w:endnotePr>
            <w:numFmt w:val="decimal"/>
          </w:endnotePr>
          <w:pgSz w:w="11906" w:h="16838"/>
          <w:pgMar w:top="1440" w:right="1440" w:bottom="1440" w:left="1440" w:header="708" w:footer="708" w:gutter="0"/>
          <w:cols w:space="708"/>
          <w:titlePg/>
          <w:docGrid w:linePitch="360"/>
        </w:sectPr>
      </w:pPr>
      <w:r>
        <w:rPr>
          <w:szCs w:val="28"/>
        </w:rPr>
        <w:br w:type="page"/>
      </w:r>
    </w:p>
    <w:p w14:paraId="620B4041" w14:textId="3FC61D80" w:rsidR="00111734" w:rsidRDefault="00AE2E9A" w:rsidP="00171265">
      <w:pPr>
        <w:pStyle w:val="Heading1"/>
      </w:pPr>
      <w:r w:rsidRPr="001B118D">
        <w:rPr>
          <w:color w:val="C00000"/>
        </w:rPr>
        <w:lastRenderedPageBreak/>
        <w:t xml:space="preserve">Kidney </w:t>
      </w:r>
      <w:r w:rsidR="00B31EC5" w:rsidRPr="001B118D">
        <w:rPr>
          <w:color w:val="C00000"/>
        </w:rPr>
        <w:t>D</w:t>
      </w:r>
      <w:r w:rsidRPr="001B118D">
        <w:rPr>
          <w:color w:val="C00000"/>
        </w:rPr>
        <w:t>isease</w:t>
      </w:r>
    </w:p>
    <w:p w14:paraId="2ADF7A5F" w14:textId="7096BE31" w:rsidR="0090366C" w:rsidRPr="00FF54C9" w:rsidRDefault="0090366C" w:rsidP="00D94CB1">
      <w:pPr>
        <w:pStyle w:val="Heading3"/>
        <w:rPr>
          <w:sz w:val="24"/>
        </w:rPr>
      </w:pPr>
      <w:r w:rsidRPr="00FF54C9">
        <w:rPr>
          <w:color w:val="C00000"/>
          <w:sz w:val="24"/>
        </w:rPr>
        <w:t>Functions of the kidneys</w:t>
      </w:r>
    </w:p>
    <w:p w14:paraId="5A6648B1" w14:textId="77777777" w:rsidR="0090366C" w:rsidRPr="009F150C" w:rsidRDefault="0090366C" w:rsidP="00DA108B">
      <w:r w:rsidRPr="009F150C">
        <w:t xml:space="preserve">Kidneys have a vital role in keeping the body healthy and getting rid of body wastes. Most people have two kidneys, each with over 1 million tiny filters called nephrons that clean the blood removing wastes and toxins. Excess water is added to other wastes to make urine and control water balance in the body. Kidneys have a number of other less well-known functions that are central to health, including producing hormones essential for red blood cell production and controlling blood pressure, and activating vitamin D. </w:t>
      </w:r>
    </w:p>
    <w:p w14:paraId="20FF8602" w14:textId="77777777" w:rsidR="0090366C" w:rsidRPr="009F150C" w:rsidRDefault="0090366C" w:rsidP="00DA108B"/>
    <w:p w14:paraId="05C4B27A" w14:textId="77777777" w:rsidR="0090366C" w:rsidRPr="00FF54C9" w:rsidRDefault="0090366C" w:rsidP="00D94CB1">
      <w:pPr>
        <w:pStyle w:val="Heading3"/>
        <w:rPr>
          <w:color w:val="C00000"/>
          <w:sz w:val="24"/>
        </w:rPr>
      </w:pPr>
      <w:r w:rsidRPr="00FF54C9">
        <w:rPr>
          <w:color w:val="C00000"/>
          <w:sz w:val="24"/>
        </w:rPr>
        <w:t>Definition of chronic kidney disease</w:t>
      </w:r>
    </w:p>
    <w:p w14:paraId="65FFAB30" w14:textId="12F38A21" w:rsidR="0090366C" w:rsidRPr="009F150C" w:rsidRDefault="0090366C" w:rsidP="00DA108B">
      <w:r w:rsidRPr="009F150C">
        <w:t xml:space="preserve">CKD refers to all kidney conditions where a person has evidence of kidney damage </w:t>
      </w:r>
      <w:r w:rsidRPr="009F150C">
        <w:rPr>
          <w:rFonts w:cstheme="minorHAnsi"/>
        </w:rPr>
        <w:t xml:space="preserve">and/or reduced kidney function that lasts for three months. There are five recognised </w:t>
      </w:r>
      <w:r w:rsidRPr="009F150C">
        <w:t>CKD stages. Stage 1 is the mildest form, gradually progressing through to stage 5 also known as end stage kidney disease (ESKD).</w:t>
      </w:r>
      <w:r w:rsidRPr="009F150C">
        <w:rPr>
          <w:vertAlign w:val="superscript"/>
        </w:rPr>
        <w:t xml:space="preserve"> </w:t>
      </w:r>
      <w:bookmarkStart w:id="3" w:name="_Hlk24201602"/>
      <w:r w:rsidRPr="009F150C">
        <w:rPr>
          <w:i/>
        </w:rPr>
        <w:t xml:space="preserve">Table </w:t>
      </w:r>
      <w:r w:rsidR="00BB242B">
        <w:rPr>
          <w:i/>
        </w:rPr>
        <w:t>2</w:t>
      </w:r>
      <w:r w:rsidRPr="009F150C">
        <w:rPr>
          <w:i/>
        </w:rPr>
        <w:t xml:space="preserve"> </w:t>
      </w:r>
      <w:r w:rsidRPr="009F150C">
        <w:t>on the following page describes the symptoms of each of these stages.</w:t>
      </w:r>
    </w:p>
    <w:bookmarkEnd w:id="3"/>
    <w:p w14:paraId="1C574B79" w14:textId="77777777" w:rsidR="0090366C" w:rsidRPr="009F150C" w:rsidRDefault="0090366C" w:rsidP="00DA108B"/>
    <w:p w14:paraId="5BF71E2C" w14:textId="77777777" w:rsidR="0090366C" w:rsidRPr="00FF54C9" w:rsidRDefault="0090366C" w:rsidP="00D94CB1">
      <w:pPr>
        <w:pStyle w:val="Heading3"/>
        <w:rPr>
          <w:color w:val="C00000"/>
          <w:sz w:val="24"/>
        </w:rPr>
      </w:pPr>
      <w:r w:rsidRPr="00FF54C9">
        <w:rPr>
          <w:color w:val="C00000"/>
          <w:sz w:val="24"/>
        </w:rPr>
        <w:t>Diagnosis</w:t>
      </w:r>
    </w:p>
    <w:p w14:paraId="5AD06974" w14:textId="46473E6E" w:rsidR="00D94CB1" w:rsidRDefault="0090366C" w:rsidP="007B6D89">
      <w:r w:rsidRPr="007B6D89">
        <w:t xml:space="preserve">Kidney damage is diagnosed by one or more of: </w:t>
      </w:r>
    </w:p>
    <w:p w14:paraId="3632CE8A" w14:textId="77777777" w:rsidR="00B019B2" w:rsidRPr="007B6D89" w:rsidRDefault="00B019B2" w:rsidP="007B6D89"/>
    <w:p w14:paraId="69D9D83F" w14:textId="1F1B12DE" w:rsidR="00784CCE" w:rsidRPr="00DA108B" w:rsidRDefault="0090366C" w:rsidP="00D94CB1">
      <w:pPr>
        <w:pStyle w:val="ListBullet"/>
      </w:pPr>
      <w:r w:rsidRPr="00DA108B">
        <w:t xml:space="preserve">albuminuria (protein in the urine), </w:t>
      </w:r>
    </w:p>
    <w:p w14:paraId="5A754318" w14:textId="77777777" w:rsidR="00784CCE" w:rsidRPr="00DA108B" w:rsidRDefault="0090366C" w:rsidP="00D94CB1">
      <w:pPr>
        <w:pStyle w:val="ListBullet"/>
      </w:pPr>
      <w:r w:rsidRPr="00DA108B">
        <w:t xml:space="preserve">haematuria (blood in the urine) after exclusion of urological causes, </w:t>
      </w:r>
    </w:p>
    <w:p w14:paraId="77D51601" w14:textId="2B0135E2" w:rsidR="00784CCE" w:rsidRPr="00DA108B" w:rsidRDefault="0090366C" w:rsidP="00D94CB1">
      <w:pPr>
        <w:pStyle w:val="ListBullet"/>
      </w:pPr>
      <w:r w:rsidRPr="00DA108B">
        <w:t>structural abnormalities (e</w:t>
      </w:r>
      <w:r w:rsidR="00784CCE" w:rsidRPr="00DA108B">
        <w:t>.g. on kidney imaging tests)</w:t>
      </w:r>
    </w:p>
    <w:p w14:paraId="687CEE99" w14:textId="6EBD8994" w:rsidR="00784CCE" w:rsidRDefault="0090366C" w:rsidP="00D94CB1">
      <w:pPr>
        <w:pStyle w:val="ListBullet"/>
      </w:pPr>
      <w:r w:rsidRPr="00DA108B">
        <w:t xml:space="preserve">pathological abnormalities (e.g. renal biopsy). </w:t>
      </w:r>
    </w:p>
    <w:p w14:paraId="2BF22D6D" w14:textId="17BB3F8C" w:rsidR="00D94CB1" w:rsidRDefault="00BB242B" w:rsidP="00DA108B">
      <w:pPr>
        <w:pStyle w:val="ListBullet"/>
      </w:pPr>
      <w:r>
        <w:t>a</w:t>
      </w:r>
      <w:r w:rsidR="00A43797">
        <w:t>bnormal kidney function</w:t>
      </w:r>
      <w:r>
        <w:t>.</w:t>
      </w:r>
    </w:p>
    <w:p w14:paraId="27583626" w14:textId="77777777" w:rsidR="00D94CB1" w:rsidRDefault="00D94CB1" w:rsidP="00DA108B"/>
    <w:p w14:paraId="324D672F" w14:textId="04C57CFA" w:rsidR="0090366C" w:rsidRDefault="0090366C" w:rsidP="00DA108B">
      <w:r w:rsidRPr="009F150C">
        <w:t xml:space="preserve">Kidney function is measured by estimated or measured glomerular filtration rate (GFR) which measures how well the kidneys filter wastes from the blood. Reduced kidney function is defined as an estimated or measured </w:t>
      </w:r>
      <w:r w:rsidR="00A43797">
        <w:t>GFR</w:t>
      </w:r>
      <w:r w:rsidRPr="009F150C">
        <w:t xml:space="preserve"> &lt; 60mL/min/1.73m.</w:t>
      </w:r>
    </w:p>
    <w:p w14:paraId="07723C9E" w14:textId="77777777" w:rsidR="00DA108B" w:rsidRPr="009F150C" w:rsidRDefault="00DA108B" w:rsidP="00DA108B"/>
    <w:p w14:paraId="5E7C50D0" w14:textId="377204A3" w:rsidR="0090366C" w:rsidRPr="00FF54C9" w:rsidRDefault="00A43797" w:rsidP="00D94CB1">
      <w:pPr>
        <w:pStyle w:val="Heading3"/>
        <w:rPr>
          <w:sz w:val="24"/>
        </w:rPr>
      </w:pPr>
      <w:r w:rsidRPr="00FF54C9">
        <w:rPr>
          <w:color w:val="C00000"/>
          <w:sz w:val="24"/>
        </w:rPr>
        <w:t xml:space="preserve">Causes </w:t>
      </w:r>
      <w:r w:rsidR="0090366C" w:rsidRPr="00FF54C9">
        <w:rPr>
          <w:color w:val="C00000"/>
          <w:sz w:val="24"/>
        </w:rPr>
        <w:t>of CKD</w:t>
      </w:r>
    </w:p>
    <w:p w14:paraId="62351420" w14:textId="5E7FE184" w:rsidR="0090366C" w:rsidRDefault="0090366C" w:rsidP="00DA108B">
      <w:pPr>
        <w:rPr>
          <w:vertAlign w:val="superscript"/>
        </w:rPr>
      </w:pPr>
      <w:r w:rsidRPr="009F150C">
        <w:t>There are many different</w:t>
      </w:r>
      <w:r w:rsidR="00A43797">
        <w:t xml:space="preserve"> and varied</w:t>
      </w:r>
      <w:r w:rsidRPr="009F150C">
        <w:t xml:space="preserve"> </w:t>
      </w:r>
      <w:r w:rsidR="00A43797">
        <w:t>causes</w:t>
      </w:r>
      <w:r w:rsidR="00A43797" w:rsidRPr="009F150C">
        <w:t xml:space="preserve"> </w:t>
      </w:r>
      <w:r w:rsidRPr="009F150C">
        <w:t xml:space="preserve">of kidney disease. Currently </w:t>
      </w:r>
      <w:r w:rsidR="00A43797">
        <w:t xml:space="preserve">in Australia, </w:t>
      </w:r>
      <w:r w:rsidRPr="009F150C">
        <w:t xml:space="preserve">the most common cause of CKD is diabetes. Diabetes accounts for 36% of all new cases of ESKD, compared with 17% in 1994. The other common causes of ESKD include glomerulonephritis (18%) and hypertension (14%). </w:t>
      </w:r>
      <w:r w:rsidR="00A43797">
        <w:t xml:space="preserve">Other causes include immune diseases, conditions people may be born with (congenital) or genetic disorders.  </w:t>
      </w:r>
      <w:r w:rsidRPr="009F150C">
        <w:t>The most common gene</w:t>
      </w:r>
      <w:r w:rsidR="001118C8">
        <w:t>tic cause of kidney disease is polycystic kidney d</w:t>
      </w:r>
      <w:r w:rsidRPr="009F150C">
        <w:t xml:space="preserve">isease </w:t>
      </w:r>
      <w:r w:rsidR="007B6D89">
        <w:t xml:space="preserve">(PKD) </w:t>
      </w:r>
      <w:r w:rsidRPr="009F150C">
        <w:t>accounting for 6% of all new cases of ESKD</w:t>
      </w:r>
      <w:r w:rsidR="00144A6D">
        <w:t>.</w:t>
      </w:r>
      <w:r w:rsidR="00144A6D">
        <w:rPr>
          <w:rStyle w:val="EndnoteReference"/>
        </w:rPr>
        <w:endnoteReference w:id="1"/>
      </w:r>
    </w:p>
    <w:p w14:paraId="448C3424" w14:textId="77777777" w:rsidR="00DA108B" w:rsidRPr="009F150C" w:rsidRDefault="00DA108B" w:rsidP="00DA108B">
      <w:pPr>
        <w:rPr>
          <w:vertAlign w:val="superscript"/>
        </w:rPr>
      </w:pPr>
    </w:p>
    <w:p w14:paraId="66BB2F6A" w14:textId="640C9F03" w:rsidR="007B6D89" w:rsidRPr="00FF54C9" w:rsidRDefault="007B6D89" w:rsidP="00D94CB1">
      <w:pPr>
        <w:pStyle w:val="Heading3"/>
        <w:rPr>
          <w:color w:val="C00000"/>
          <w:sz w:val="24"/>
        </w:rPr>
      </w:pPr>
      <w:r w:rsidRPr="00FF54C9">
        <w:rPr>
          <w:color w:val="C00000"/>
          <w:sz w:val="24"/>
        </w:rPr>
        <w:t xml:space="preserve">Risk factors for </w:t>
      </w:r>
      <w:r w:rsidR="00FF54C9" w:rsidRPr="00FF54C9">
        <w:rPr>
          <w:color w:val="C00000"/>
          <w:sz w:val="24"/>
        </w:rPr>
        <w:t>CKD</w:t>
      </w:r>
    </w:p>
    <w:p w14:paraId="2463C7CD" w14:textId="562A5009" w:rsidR="007B6D89" w:rsidRDefault="007B6D89" w:rsidP="007B6D89">
      <w:r>
        <w:t>1</w:t>
      </w:r>
      <w:r w:rsidRPr="004D3AAC">
        <w:t xml:space="preserve"> in 3 Australians are at risk of developing CKD</w:t>
      </w:r>
      <w:r w:rsidR="00144A6D">
        <w:t>.</w:t>
      </w:r>
      <w:r w:rsidR="00144A6D">
        <w:rPr>
          <w:rStyle w:val="EndnoteReference"/>
        </w:rPr>
        <w:endnoteReference w:id="2"/>
      </w:r>
      <w:r w:rsidR="00144A6D">
        <w:rPr>
          <w:rStyle w:val="EndnoteReference"/>
        </w:rPr>
        <w:endnoteReference w:id="3"/>
      </w:r>
      <w:r w:rsidR="000D6FA5">
        <w:t xml:space="preserve"> </w:t>
      </w:r>
      <w:r w:rsidR="00A43797">
        <w:t xml:space="preserve">The main </w:t>
      </w:r>
      <w:r>
        <w:t>risk factors include:</w:t>
      </w:r>
    </w:p>
    <w:p w14:paraId="304D432F" w14:textId="77777777" w:rsidR="00B019B2" w:rsidRDefault="00B019B2" w:rsidP="007B6D89"/>
    <w:p w14:paraId="22F4C124" w14:textId="75FA3920" w:rsidR="007B6D89" w:rsidRDefault="007B6D89" w:rsidP="00D94CB1">
      <w:pPr>
        <w:pStyle w:val="ListBullet"/>
      </w:pPr>
      <w:r>
        <w:t>Diabetes</w:t>
      </w:r>
    </w:p>
    <w:p w14:paraId="22A2485D" w14:textId="78FADAA4" w:rsidR="007B6D89" w:rsidRDefault="007B6D89" w:rsidP="00D94CB1">
      <w:pPr>
        <w:pStyle w:val="ListBullet"/>
      </w:pPr>
      <w:r>
        <w:t>Cardiovascular disease (CVD) - heart attack, heart failure and vascular disease</w:t>
      </w:r>
    </w:p>
    <w:p w14:paraId="46BED9CC" w14:textId="5E0C638C" w:rsidR="007B6D89" w:rsidRDefault="007B6D89" w:rsidP="00D94CB1">
      <w:pPr>
        <w:pStyle w:val="ListBullet"/>
      </w:pPr>
      <w:r>
        <w:t>High blood pressure</w:t>
      </w:r>
    </w:p>
    <w:p w14:paraId="22B641ED" w14:textId="5801E972" w:rsidR="007B6D89" w:rsidRDefault="007B6D89" w:rsidP="00D94CB1">
      <w:pPr>
        <w:pStyle w:val="ListBullet"/>
      </w:pPr>
      <w:r>
        <w:t>Being of Aboriginal and Torres Strait Islander origin</w:t>
      </w:r>
    </w:p>
    <w:p w14:paraId="450BDA45" w14:textId="4100A742" w:rsidR="007B6D89" w:rsidRDefault="007B6D89" w:rsidP="00D94CB1">
      <w:pPr>
        <w:pStyle w:val="ListBullet"/>
      </w:pPr>
      <w:r>
        <w:t>Family history of kidney failure</w:t>
      </w:r>
    </w:p>
    <w:p w14:paraId="72C1533E" w14:textId="70480BB9" w:rsidR="007B6D89" w:rsidRDefault="007B6D89" w:rsidP="00D94CB1">
      <w:pPr>
        <w:pStyle w:val="ListBullet"/>
      </w:pPr>
      <w:r>
        <w:t>History of acute kidney injury</w:t>
      </w:r>
    </w:p>
    <w:p w14:paraId="7DA36AFB" w14:textId="129A3F7C" w:rsidR="007B6D89" w:rsidRDefault="007B6D89" w:rsidP="00D94CB1">
      <w:pPr>
        <w:pStyle w:val="ListBullet"/>
      </w:pPr>
      <w:r>
        <w:t>Obesity</w:t>
      </w:r>
    </w:p>
    <w:p w14:paraId="014C09F6" w14:textId="15373797" w:rsidR="007B6D89" w:rsidRDefault="007B6D89" w:rsidP="00D94CB1">
      <w:pPr>
        <w:pStyle w:val="ListBullet"/>
      </w:pPr>
      <w:r>
        <w:t>Age (60 years or older)</w:t>
      </w:r>
    </w:p>
    <w:p w14:paraId="5D26CFB3" w14:textId="2B2298A1" w:rsidR="007B6D89" w:rsidRDefault="007B6D89" w:rsidP="00D94CB1">
      <w:pPr>
        <w:pStyle w:val="ListBullet"/>
      </w:pPr>
      <w:r>
        <w:t>Tobacco smoking</w:t>
      </w:r>
    </w:p>
    <w:p w14:paraId="34FADBBF" w14:textId="4295E541" w:rsidR="007B6D89" w:rsidRDefault="007B6D89" w:rsidP="00D94CB1">
      <w:pPr>
        <w:pStyle w:val="ListBullet"/>
      </w:pPr>
      <w:r>
        <w:t>Lifestyle factors (sedentary lifestyle, alcohol excess, high salt and sugar diets).</w:t>
      </w:r>
    </w:p>
    <w:p w14:paraId="16CD0BE6" w14:textId="77777777" w:rsidR="007B6D89" w:rsidRDefault="007B6D89" w:rsidP="007B6D89"/>
    <w:p w14:paraId="534E4468" w14:textId="77777777" w:rsidR="007B6D89" w:rsidRDefault="007B6D89" w:rsidP="007B6D89">
      <w:r w:rsidRPr="007F42DC">
        <w:t>While some risk fact</w:t>
      </w:r>
      <w:r>
        <w:t>ors such as age, family history</w:t>
      </w:r>
      <w:r w:rsidRPr="007F42DC">
        <w:t xml:space="preserve"> and racial background cannot be changed, risk factors such as tobacco smoking</w:t>
      </w:r>
      <w:r>
        <w:t>,</w:t>
      </w:r>
      <w:r w:rsidRPr="007F42DC">
        <w:t xml:space="preserve"> overweight and obesity</w:t>
      </w:r>
      <w:r>
        <w:t>, high blood pressure</w:t>
      </w:r>
      <w:r w:rsidRPr="007F42DC">
        <w:t xml:space="preserve"> </w:t>
      </w:r>
      <w:r>
        <w:t xml:space="preserve">and </w:t>
      </w:r>
      <w:r w:rsidRPr="007F42DC">
        <w:t>diabetes can be modified</w:t>
      </w:r>
      <w:r>
        <w:t xml:space="preserve"> or well managed, reducing the risk of CKD</w:t>
      </w:r>
      <w:r w:rsidRPr="007F42DC">
        <w:t>.</w:t>
      </w:r>
      <w:r>
        <w:t xml:space="preserve"> </w:t>
      </w:r>
    </w:p>
    <w:p w14:paraId="2705C456" w14:textId="77777777" w:rsidR="007B6D89" w:rsidRDefault="007B6D89" w:rsidP="00DA108B">
      <w:pPr>
        <w:rPr>
          <w:b/>
        </w:rPr>
      </w:pPr>
    </w:p>
    <w:p w14:paraId="2952044A" w14:textId="45230E8E" w:rsidR="0090366C" w:rsidRPr="00FF54C9" w:rsidRDefault="0090366C" w:rsidP="00D94CB1">
      <w:pPr>
        <w:pStyle w:val="Heading3"/>
        <w:rPr>
          <w:sz w:val="24"/>
        </w:rPr>
      </w:pPr>
      <w:r w:rsidRPr="00FF54C9">
        <w:rPr>
          <w:color w:val="C00000"/>
          <w:sz w:val="24"/>
        </w:rPr>
        <w:lastRenderedPageBreak/>
        <w:t xml:space="preserve">Symptoms and </w:t>
      </w:r>
      <w:r w:rsidR="009864DA" w:rsidRPr="00FF54C9">
        <w:rPr>
          <w:color w:val="C00000"/>
          <w:sz w:val="24"/>
        </w:rPr>
        <w:t>complications</w:t>
      </w:r>
    </w:p>
    <w:p w14:paraId="726B61C2" w14:textId="0F325C32" w:rsidR="002D1661" w:rsidRDefault="007B6D89" w:rsidP="009864DA">
      <w:r>
        <w:t>Kidney disease is a largely asymptomatic condition and up to 90% of kidney function can be lost before symptoms are evident. Symptoms typically appear very late in the disease course</w:t>
      </w:r>
      <w:r w:rsidR="00D437E5">
        <w:t xml:space="preserve"> (Table 2)</w:t>
      </w:r>
      <w:r>
        <w:t>; a person with stage 4 kidney disease may not have any symptoms</w:t>
      </w:r>
      <w:r w:rsidR="00A43797">
        <w:t xml:space="preserve"> or may only have vague, non-specific symptoms such as feeling tired or slightly “off colour”</w:t>
      </w:r>
      <w:r>
        <w:t>.</w:t>
      </w:r>
      <w:r w:rsidR="00BB242B">
        <w:t xml:space="preserve"> </w:t>
      </w:r>
      <w:r w:rsidR="002D1661">
        <w:t xml:space="preserve">Symptoms may be present earlier in the disease course in some </w:t>
      </w:r>
      <w:r w:rsidR="00C95A35">
        <w:t xml:space="preserve">causes of kidney disease </w:t>
      </w:r>
      <w:r w:rsidR="002D1661">
        <w:t xml:space="preserve">(for example PKD), or symptoms may be present as a result of damage to other organs such as the heart or blood vessels. </w:t>
      </w:r>
    </w:p>
    <w:p w14:paraId="31F0F003" w14:textId="77777777" w:rsidR="002D1661" w:rsidRDefault="002D1661" w:rsidP="009864DA"/>
    <w:p w14:paraId="19B36B9B" w14:textId="1C9241BF" w:rsidR="009864DA" w:rsidRDefault="007B6D89" w:rsidP="009864DA">
      <w:pPr>
        <w:rPr>
          <w:rFonts w:asciiTheme="majorHAnsi" w:hAnsiTheme="majorHAnsi"/>
          <w:color w:val="FF0000"/>
        </w:rPr>
      </w:pPr>
      <w:r>
        <w:t>When symptoms do occur they include: oedema (swelling), fatigue, foamy dark urine, difficulty concentrating, tingling of fingers and toes, decreased appetite, sleep problems, severe fatigue and weakness, easy bruising and bleeding, anaemia, thirst, skin colour change, nausea and vomiting, and little or no urine.</w:t>
      </w:r>
      <w:r w:rsidR="00A43797">
        <w:t xml:space="preserve"> </w:t>
      </w:r>
    </w:p>
    <w:p w14:paraId="6A028217" w14:textId="77777777" w:rsidR="009864DA" w:rsidRPr="00AA35C7" w:rsidRDefault="009864DA" w:rsidP="009864DA">
      <w:pPr>
        <w:rPr>
          <w:rFonts w:asciiTheme="majorHAnsi" w:hAnsiTheme="majorHAnsi"/>
          <w:color w:val="FF0000"/>
        </w:rPr>
      </w:pPr>
    </w:p>
    <w:p w14:paraId="1333E165" w14:textId="28495A27" w:rsidR="009864DA" w:rsidRDefault="009864DA" w:rsidP="009864DA">
      <w:r>
        <w:t xml:space="preserve">CKD affects every organ system in the body, and damage accumulates over time. There are many serious complications of </w:t>
      </w:r>
      <w:r w:rsidR="0013601D">
        <w:t>CKD that</w:t>
      </w:r>
      <w:r>
        <w:t xml:space="preserve"> greatly affect overall health and wellbeing. These include cardiovascular disease, hypertension, bone disease, anaemia, sleep apnoea, hyperlipidaemia, and malnutrition. Some of these problems, for example the increased risk of cardiovascular disease, are already evident at an early stage of CKD</w:t>
      </w:r>
      <w:r w:rsidR="0056163D">
        <w:t>.</w:t>
      </w:r>
      <w:r w:rsidR="00144A6D">
        <w:rPr>
          <w:rStyle w:val="EndnoteReference"/>
        </w:rPr>
        <w:endnoteReference w:id="4"/>
      </w:r>
    </w:p>
    <w:p w14:paraId="211455EC" w14:textId="495ABEF8" w:rsidR="002F34C3" w:rsidRDefault="002F34C3" w:rsidP="009864DA"/>
    <w:p w14:paraId="395D1792" w14:textId="075F50FF" w:rsidR="002F34C3" w:rsidRDefault="002F34C3" w:rsidP="009864DA">
      <w:r w:rsidRPr="006E03C1">
        <w:rPr>
          <w:b/>
          <w:szCs w:val="20"/>
        </w:rPr>
        <w:t>Table 2: The Five Stages of CKD</w:t>
      </w:r>
    </w:p>
    <w:tbl>
      <w:tblPr>
        <w:tblStyle w:val="TableGrid"/>
        <w:tblpPr w:leftFromText="180" w:rightFromText="180" w:vertAnchor="text" w:horzAnchor="margin" w:tblpXSpec="center" w:tblpY="119"/>
        <w:tblW w:w="8970" w:type="dxa"/>
        <w:tblLayout w:type="fixed"/>
        <w:tblCellMar>
          <w:top w:w="85" w:type="dxa"/>
          <w:bottom w:w="85" w:type="dxa"/>
        </w:tblCellMar>
        <w:tblLook w:val="04A0" w:firstRow="1" w:lastRow="0" w:firstColumn="1" w:lastColumn="0" w:noHBand="0" w:noVBand="1"/>
      </w:tblPr>
      <w:tblGrid>
        <w:gridCol w:w="694"/>
        <w:gridCol w:w="2410"/>
        <w:gridCol w:w="1276"/>
        <w:gridCol w:w="1559"/>
        <w:gridCol w:w="3031"/>
      </w:tblGrid>
      <w:tr w:rsidR="002F34C3" w:rsidRPr="00425E8D" w14:paraId="12810F56" w14:textId="77777777" w:rsidTr="00DB5DE6">
        <w:trPr>
          <w:trHeight w:val="452"/>
        </w:trPr>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2E227621" w14:textId="77777777" w:rsidR="002F34C3" w:rsidRPr="008F7D98" w:rsidRDefault="002F34C3" w:rsidP="00DB5DE6">
            <w:pPr>
              <w:rPr>
                <w:b/>
                <w:szCs w:val="20"/>
              </w:rPr>
            </w:pPr>
            <w:bookmarkStart w:id="4" w:name="_Hlk24200002"/>
            <w:r w:rsidRPr="008F7D98">
              <w:rPr>
                <w:b/>
                <w:color w:val="FFFFFF" w:themeColor="background1"/>
                <w:szCs w:val="20"/>
              </w:rPr>
              <w:t>Stage</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7B1A93A5" w14:textId="77777777" w:rsidR="002F34C3" w:rsidRPr="008F7D98" w:rsidRDefault="002F34C3" w:rsidP="00DB5DE6">
            <w:pPr>
              <w:rPr>
                <w:b/>
                <w:color w:val="FFFFFF" w:themeColor="background1"/>
                <w:szCs w:val="20"/>
              </w:rPr>
            </w:pPr>
            <w:r w:rsidRPr="008F7D98">
              <w:rPr>
                <w:b/>
                <w:color w:val="FFFFFF" w:themeColor="background1"/>
                <w:szCs w:val="20"/>
              </w:rPr>
              <w:t>Description</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459F21F8" w14:textId="77777777" w:rsidR="002F34C3" w:rsidRPr="008F7D98" w:rsidRDefault="002F34C3" w:rsidP="00DB5DE6">
            <w:pPr>
              <w:rPr>
                <w:b/>
                <w:color w:val="FFFFFF" w:themeColor="background1"/>
                <w:szCs w:val="20"/>
              </w:rPr>
            </w:pPr>
            <w:r w:rsidRPr="008F7D98">
              <w:rPr>
                <w:b/>
                <w:color w:val="FFFFFF" w:themeColor="background1"/>
                <w:szCs w:val="20"/>
              </w:rPr>
              <w:t>eGFR</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04E6F8D8" w14:textId="77777777" w:rsidR="002F34C3" w:rsidRPr="008F7D98" w:rsidRDefault="002F34C3" w:rsidP="00DB5DE6">
            <w:pPr>
              <w:rPr>
                <w:b/>
                <w:color w:val="FFFFFF" w:themeColor="background1"/>
                <w:szCs w:val="20"/>
              </w:rPr>
            </w:pPr>
            <w:r w:rsidRPr="008F7D98">
              <w:rPr>
                <w:b/>
                <w:color w:val="FFFFFF" w:themeColor="background1"/>
                <w:szCs w:val="20"/>
              </w:rPr>
              <w:t xml:space="preserve">Kidney </w:t>
            </w:r>
            <w:r>
              <w:rPr>
                <w:b/>
                <w:color w:val="FFFFFF" w:themeColor="background1"/>
                <w:szCs w:val="20"/>
              </w:rPr>
              <w:t>f</w:t>
            </w:r>
            <w:r w:rsidRPr="008F7D98">
              <w:rPr>
                <w:b/>
                <w:color w:val="FFFFFF" w:themeColor="background1"/>
                <w:szCs w:val="20"/>
              </w:rPr>
              <w:t xml:space="preserve">unction </w:t>
            </w:r>
            <w:r>
              <w:rPr>
                <w:b/>
                <w:color w:val="FFFFFF" w:themeColor="background1"/>
                <w:szCs w:val="20"/>
              </w:rPr>
              <w:t>d</w:t>
            </w:r>
            <w:r w:rsidRPr="008F7D98">
              <w:rPr>
                <w:b/>
                <w:color w:val="FFFFFF" w:themeColor="background1"/>
                <w:szCs w:val="20"/>
              </w:rPr>
              <w:t>eterioration</w:t>
            </w:r>
          </w:p>
        </w:tc>
        <w:tc>
          <w:tcPr>
            <w:tcW w:w="30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2BE53077" w14:textId="77777777" w:rsidR="002F34C3" w:rsidRPr="008F7D98" w:rsidRDefault="002F34C3" w:rsidP="00DB5DE6">
            <w:pPr>
              <w:rPr>
                <w:b/>
                <w:color w:val="FFFFFF" w:themeColor="background1"/>
                <w:szCs w:val="20"/>
              </w:rPr>
            </w:pPr>
            <w:r w:rsidRPr="008F7D98">
              <w:rPr>
                <w:b/>
                <w:color w:val="FFFFFF" w:themeColor="background1"/>
                <w:szCs w:val="20"/>
              </w:rPr>
              <w:t>Symptoms</w:t>
            </w:r>
          </w:p>
        </w:tc>
      </w:tr>
      <w:tr w:rsidR="002F34C3" w:rsidRPr="00425E8D" w14:paraId="15E34567" w14:textId="77777777" w:rsidTr="00DB5DE6">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7C36225E" w14:textId="77777777" w:rsidR="002F34C3" w:rsidRPr="008F7D98" w:rsidRDefault="002F34C3" w:rsidP="00DB5DE6">
            <w:pPr>
              <w:rPr>
                <w:szCs w:val="20"/>
              </w:rPr>
            </w:pPr>
            <w:r w:rsidRPr="008F7D98">
              <w:rPr>
                <w:szCs w:val="20"/>
              </w:rPr>
              <w:t>1</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43D15EF8" w14:textId="77777777" w:rsidR="002F34C3" w:rsidRPr="008F7D98" w:rsidRDefault="002F34C3" w:rsidP="00DB5DE6">
            <w:pPr>
              <w:rPr>
                <w:szCs w:val="20"/>
              </w:rPr>
            </w:pPr>
            <w:r w:rsidRPr="008F7D98">
              <w:rPr>
                <w:szCs w:val="20"/>
              </w:rPr>
              <w:t>Kidney damage (protein in urine) and</w:t>
            </w:r>
            <w:r>
              <w:rPr>
                <w:szCs w:val="20"/>
              </w:rPr>
              <w:t xml:space="preserve"> </w:t>
            </w:r>
            <w:r w:rsidRPr="008F7D98">
              <w:rPr>
                <w:szCs w:val="20"/>
              </w:rPr>
              <w:t>normal GFR</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52351C72" w14:textId="77777777" w:rsidR="002F34C3" w:rsidRPr="008F7D98" w:rsidRDefault="002F34C3" w:rsidP="00DB5DE6">
            <w:pPr>
              <w:rPr>
                <w:szCs w:val="20"/>
              </w:rPr>
            </w:pPr>
            <w:r w:rsidRPr="008F7D98">
              <w:rPr>
                <w:szCs w:val="20"/>
              </w:rPr>
              <w:t>&gt; 90</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5A911EC6" w14:textId="77777777" w:rsidR="002F34C3" w:rsidRPr="008F7D98" w:rsidRDefault="002F34C3" w:rsidP="00DB5DE6">
            <w:pPr>
              <w:rPr>
                <w:szCs w:val="20"/>
              </w:rPr>
            </w:pPr>
            <w:r w:rsidRPr="008F7D98">
              <w:rPr>
                <w:szCs w:val="20"/>
              </w:rPr>
              <w:t>90% - 60%</w:t>
            </w:r>
          </w:p>
        </w:tc>
        <w:tc>
          <w:tcPr>
            <w:tcW w:w="30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0C567836" w14:textId="77777777" w:rsidR="002F34C3" w:rsidRPr="00E81651" w:rsidRDefault="002F34C3" w:rsidP="00DB5DE6">
            <w:pPr>
              <w:rPr>
                <w:szCs w:val="20"/>
              </w:rPr>
            </w:pPr>
            <w:r w:rsidRPr="008F7D98">
              <w:rPr>
                <w:szCs w:val="20"/>
              </w:rPr>
              <w:t>No symptoms</w:t>
            </w:r>
          </w:p>
          <w:p w14:paraId="6C4E60C5" w14:textId="77777777" w:rsidR="002F34C3" w:rsidRPr="008F7D98" w:rsidRDefault="002F34C3" w:rsidP="00DB5DE6">
            <w:pPr>
              <w:rPr>
                <w:szCs w:val="20"/>
              </w:rPr>
            </w:pPr>
            <w:r w:rsidRPr="008F7D98">
              <w:rPr>
                <w:i/>
                <w:szCs w:val="20"/>
              </w:rPr>
              <w:t>*Symptoms can appear earlier in some causes of CKD such as PKD, immune conditions</w:t>
            </w:r>
          </w:p>
        </w:tc>
      </w:tr>
      <w:tr w:rsidR="002F34C3" w:rsidRPr="00425E8D" w14:paraId="122042F1" w14:textId="77777777" w:rsidTr="00DB5DE6">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4AEA402E" w14:textId="77777777" w:rsidR="002F34C3" w:rsidRPr="008F7D98" w:rsidRDefault="002F34C3" w:rsidP="00DB5DE6">
            <w:pPr>
              <w:rPr>
                <w:szCs w:val="20"/>
              </w:rPr>
            </w:pPr>
            <w:r w:rsidRPr="008F7D98">
              <w:rPr>
                <w:szCs w:val="20"/>
              </w:rPr>
              <w:t>2</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17AD14A8" w14:textId="77777777" w:rsidR="002F34C3" w:rsidRPr="008F7D98" w:rsidRDefault="002F34C3" w:rsidP="00DB5DE6">
            <w:pPr>
              <w:rPr>
                <w:szCs w:val="20"/>
              </w:rPr>
            </w:pPr>
            <w:r w:rsidRPr="008F7D98">
              <w:rPr>
                <w:szCs w:val="20"/>
              </w:rPr>
              <w:t>Kidney damage and mild decrease in GFR</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65FE32BE" w14:textId="77777777" w:rsidR="002F34C3" w:rsidRPr="008F7D98" w:rsidRDefault="002F34C3" w:rsidP="00DB5DE6">
            <w:pPr>
              <w:rPr>
                <w:szCs w:val="20"/>
              </w:rPr>
            </w:pPr>
            <w:r w:rsidRPr="008F7D98">
              <w:rPr>
                <w:szCs w:val="20"/>
              </w:rPr>
              <w:t>60 – 89</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63ED8853" w14:textId="77777777" w:rsidR="002F34C3" w:rsidRPr="008F7D98" w:rsidRDefault="002F34C3" w:rsidP="00DB5DE6">
            <w:pPr>
              <w:rPr>
                <w:szCs w:val="20"/>
              </w:rPr>
            </w:pPr>
            <w:r w:rsidRPr="008F7D98">
              <w:rPr>
                <w:szCs w:val="20"/>
              </w:rPr>
              <w:t>60% - 70%</w:t>
            </w:r>
          </w:p>
        </w:tc>
        <w:tc>
          <w:tcPr>
            <w:tcW w:w="30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2A93C82C" w14:textId="77777777" w:rsidR="002F34C3" w:rsidRPr="00E81651" w:rsidRDefault="002F34C3" w:rsidP="00DB5DE6">
            <w:pPr>
              <w:rPr>
                <w:szCs w:val="20"/>
              </w:rPr>
            </w:pPr>
            <w:r w:rsidRPr="008F7D98">
              <w:rPr>
                <w:szCs w:val="20"/>
              </w:rPr>
              <w:t>No symptoms</w:t>
            </w:r>
          </w:p>
          <w:p w14:paraId="027308AB" w14:textId="77777777" w:rsidR="002F34C3" w:rsidRPr="008F7D98" w:rsidRDefault="002F34C3" w:rsidP="00DB5DE6">
            <w:pPr>
              <w:rPr>
                <w:szCs w:val="20"/>
              </w:rPr>
            </w:pPr>
            <w:r w:rsidRPr="008F7D98">
              <w:rPr>
                <w:i/>
                <w:szCs w:val="20"/>
              </w:rPr>
              <w:t>*Symptoms can appear earlier in some causes of CKD such as PKD, immune conditions</w:t>
            </w:r>
          </w:p>
        </w:tc>
      </w:tr>
      <w:tr w:rsidR="002F34C3" w:rsidRPr="00425E8D" w14:paraId="1B545FC1" w14:textId="77777777" w:rsidTr="00DB5DE6">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7AB4E194" w14:textId="77777777" w:rsidR="002F34C3" w:rsidRPr="008F7D98" w:rsidRDefault="002F34C3" w:rsidP="00DB5DE6">
            <w:pPr>
              <w:rPr>
                <w:szCs w:val="20"/>
              </w:rPr>
            </w:pPr>
            <w:r w:rsidRPr="008F7D98">
              <w:rPr>
                <w:szCs w:val="20"/>
              </w:rPr>
              <w:t>3</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083EED4B" w14:textId="77777777" w:rsidR="002F34C3" w:rsidRPr="008F7D98" w:rsidRDefault="002F34C3" w:rsidP="00DB5DE6">
            <w:pPr>
              <w:rPr>
                <w:szCs w:val="20"/>
              </w:rPr>
            </w:pPr>
            <w:r w:rsidRPr="008F7D98">
              <w:rPr>
                <w:szCs w:val="20"/>
              </w:rPr>
              <w:t>Moderate decrease in GFR</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712219E7" w14:textId="77777777" w:rsidR="002F34C3" w:rsidRPr="008F7D98" w:rsidRDefault="002F34C3" w:rsidP="00DB5DE6">
            <w:pPr>
              <w:rPr>
                <w:szCs w:val="20"/>
              </w:rPr>
            </w:pPr>
            <w:r w:rsidRPr="008F7D98">
              <w:rPr>
                <w:szCs w:val="20"/>
              </w:rPr>
              <w:t>30 – 59</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4448B3F2" w14:textId="77777777" w:rsidR="002F34C3" w:rsidRPr="008F7D98" w:rsidRDefault="002F34C3" w:rsidP="00DB5DE6">
            <w:pPr>
              <w:rPr>
                <w:szCs w:val="20"/>
              </w:rPr>
            </w:pPr>
            <w:r w:rsidRPr="008F7D98">
              <w:rPr>
                <w:szCs w:val="20"/>
              </w:rPr>
              <w:t>70% - 77.5%</w:t>
            </w:r>
          </w:p>
        </w:tc>
        <w:tc>
          <w:tcPr>
            <w:tcW w:w="30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342C1CA9" w14:textId="77777777" w:rsidR="002F34C3" w:rsidRPr="008F7D98" w:rsidRDefault="002F34C3" w:rsidP="00DB5DE6">
            <w:pPr>
              <w:rPr>
                <w:szCs w:val="20"/>
              </w:rPr>
            </w:pPr>
            <w:r w:rsidRPr="008F7D98">
              <w:rPr>
                <w:szCs w:val="20"/>
              </w:rPr>
              <w:t>Symptoms unlikely</w:t>
            </w:r>
          </w:p>
        </w:tc>
      </w:tr>
      <w:tr w:rsidR="002F34C3" w:rsidRPr="00425E8D" w14:paraId="5FC9CC8B" w14:textId="77777777" w:rsidTr="00DB5DE6">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0EEA3938" w14:textId="77777777" w:rsidR="002F34C3" w:rsidRPr="008F7D98" w:rsidRDefault="002F34C3" w:rsidP="00DB5DE6">
            <w:pPr>
              <w:rPr>
                <w:szCs w:val="20"/>
              </w:rPr>
            </w:pPr>
            <w:r w:rsidRPr="008F7D98">
              <w:rPr>
                <w:szCs w:val="20"/>
              </w:rPr>
              <w:t>4</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4AA1E578" w14:textId="77777777" w:rsidR="002F34C3" w:rsidRPr="008F7D98" w:rsidRDefault="002F34C3" w:rsidP="00DB5DE6">
            <w:pPr>
              <w:rPr>
                <w:szCs w:val="20"/>
              </w:rPr>
            </w:pPr>
            <w:r w:rsidRPr="008F7D98">
              <w:rPr>
                <w:szCs w:val="20"/>
              </w:rPr>
              <w:t>Severe decrease in GFR</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3FED1B6A" w14:textId="77777777" w:rsidR="002F34C3" w:rsidRPr="008F7D98" w:rsidRDefault="002F34C3" w:rsidP="00DB5DE6">
            <w:pPr>
              <w:rPr>
                <w:szCs w:val="20"/>
              </w:rPr>
            </w:pPr>
            <w:r w:rsidRPr="008F7D98">
              <w:rPr>
                <w:szCs w:val="20"/>
              </w:rPr>
              <w:t>15 – 29</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06417DCA" w14:textId="77777777" w:rsidR="002F34C3" w:rsidRPr="008F7D98" w:rsidRDefault="002F34C3" w:rsidP="00DB5DE6">
            <w:pPr>
              <w:rPr>
                <w:szCs w:val="20"/>
              </w:rPr>
            </w:pPr>
            <w:r w:rsidRPr="008F7D98">
              <w:rPr>
                <w:szCs w:val="20"/>
              </w:rPr>
              <w:t>77.5% - 85%</w:t>
            </w:r>
          </w:p>
        </w:tc>
        <w:tc>
          <w:tcPr>
            <w:tcW w:w="30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19835E6A" w14:textId="77777777" w:rsidR="002F34C3" w:rsidRPr="008F7D98" w:rsidRDefault="002F34C3" w:rsidP="00DB5DE6">
            <w:pPr>
              <w:rPr>
                <w:szCs w:val="20"/>
              </w:rPr>
            </w:pPr>
            <w:r w:rsidRPr="008F7D98">
              <w:rPr>
                <w:szCs w:val="20"/>
              </w:rPr>
              <w:t>Symptoms more likely</w:t>
            </w:r>
          </w:p>
        </w:tc>
      </w:tr>
      <w:tr w:rsidR="002F34C3" w:rsidRPr="00425E8D" w14:paraId="2A1905FE" w14:textId="77777777" w:rsidTr="00DB5DE6">
        <w:trPr>
          <w:trHeight w:val="315"/>
        </w:trPr>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5BB8C7A3" w14:textId="77777777" w:rsidR="002F34C3" w:rsidRPr="008F7D98" w:rsidRDefault="002F34C3" w:rsidP="00DB5DE6">
            <w:pPr>
              <w:rPr>
                <w:szCs w:val="20"/>
              </w:rPr>
            </w:pPr>
            <w:r w:rsidRPr="008F7D98">
              <w:rPr>
                <w:szCs w:val="20"/>
              </w:rPr>
              <w:t>5</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5ACF9B92" w14:textId="77777777" w:rsidR="002F34C3" w:rsidRPr="008F7D98" w:rsidRDefault="002F34C3" w:rsidP="00DB5DE6">
            <w:pPr>
              <w:rPr>
                <w:szCs w:val="20"/>
              </w:rPr>
            </w:pPr>
            <w:r w:rsidRPr="008F7D98">
              <w:rPr>
                <w:szCs w:val="20"/>
              </w:rPr>
              <w:t>Kidney failure, ESKD</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69900455" w14:textId="77777777" w:rsidR="002F34C3" w:rsidRPr="008F7D98" w:rsidRDefault="002F34C3" w:rsidP="00DB5DE6">
            <w:pPr>
              <w:rPr>
                <w:szCs w:val="20"/>
              </w:rPr>
            </w:pPr>
            <w:r w:rsidRPr="008F7D98">
              <w:rPr>
                <w:szCs w:val="20"/>
              </w:rPr>
              <w:t>&lt; 15 or on dialysis</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550317FB" w14:textId="77777777" w:rsidR="002F34C3" w:rsidRPr="008F7D98" w:rsidRDefault="002F34C3" w:rsidP="00DB5DE6">
            <w:pPr>
              <w:rPr>
                <w:szCs w:val="20"/>
              </w:rPr>
            </w:pPr>
            <w:r w:rsidRPr="008F7D98">
              <w:rPr>
                <w:szCs w:val="20"/>
              </w:rPr>
              <w:t xml:space="preserve">≥ 85% </w:t>
            </w:r>
          </w:p>
        </w:tc>
        <w:tc>
          <w:tcPr>
            <w:tcW w:w="30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tcPr>
          <w:p w14:paraId="72BBCF9F" w14:textId="77777777" w:rsidR="002F34C3" w:rsidRPr="008F7D98" w:rsidRDefault="002F34C3" w:rsidP="00DB5DE6">
            <w:pPr>
              <w:rPr>
                <w:szCs w:val="20"/>
              </w:rPr>
            </w:pPr>
            <w:r w:rsidRPr="008F7D98">
              <w:rPr>
                <w:szCs w:val="20"/>
              </w:rPr>
              <w:t>Symptoms highly likely</w:t>
            </w:r>
          </w:p>
        </w:tc>
      </w:tr>
      <w:bookmarkEnd w:id="4"/>
    </w:tbl>
    <w:p w14:paraId="295898F6" w14:textId="77777777" w:rsidR="002F34C3" w:rsidRDefault="002F34C3" w:rsidP="009864DA"/>
    <w:p w14:paraId="71ACA1A4" w14:textId="77777777" w:rsidR="009864DA" w:rsidRDefault="009864DA" w:rsidP="007B6D89">
      <w:pPr>
        <w:rPr>
          <w:color w:val="FF0000"/>
        </w:rPr>
      </w:pPr>
    </w:p>
    <w:p w14:paraId="13E67E8F" w14:textId="7D459687" w:rsidR="009864DA" w:rsidRPr="00FF54C9" w:rsidRDefault="009864DA" w:rsidP="00D94CB1">
      <w:pPr>
        <w:pStyle w:val="Heading3"/>
        <w:rPr>
          <w:sz w:val="24"/>
        </w:rPr>
      </w:pPr>
      <w:r w:rsidRPr="00FF54C9">
        <w:rPr>
          <w:color w:val="C00000"/>
          <w:sz w:val="24"/>
        </w:rPr>
        <w:t>Management</w:t>
      </w:r>
    </w:p>
    <w:p w14:paraId="689112A4" w14:textId="360C60B3" w:rsidR="007B6D89" w:rsidRDefault="007B6D89" w:rsidP="007B6D89">
      <w:r>
        <w:t xml:space="preserve">If CKD is detected early, effective management can not only slow or even halt the progression to ESKD but also reduce the damage </w:t>
      </w:r>
      <w:r w:rsidR="0094286B">
        <w:t>from complications.</w:t>
      </w:r>
      <w:r w:rsidR="0094286B" w:rsidRPr="0094286B">
        <w:rPr>
          <w:vertAlign w:val="superscript"/>
        </w:rPr>
        <w:t>4</w:t>
      </w:r>
    </w:p>
    <w:p w14:paraId="42C742DA" w14:textId="77777777" w:rsidR="0034007C" w:rsidRDefault="0034007C" w:rsidP="007B6D89"/>
    <w:p w14:paraId="119A738C" w14:textId="1558F3F3" w:rsidR="007B6D89" w:rsidRDefault="002C7E31" w:rsidP="007B6D89">
      <w:r>
        <w:t>This management may include general treatments that help all kidney diseases (lifestyle changes, blood pressure control, medications). It may also include specific treatments for certain conditions (for example, immune suppressing drugs for immune conditions)</w:t>
      </w:r>
      <w:r w:rsidR="00D437E5">
        <w:t xml:space="preserve">. </w:t>
      </w:r>
    </w:p>
    <w:p w14:paraId="6BD2D5E6" w14:textId="77777777" w:rsidR="002C7E31" w:rsidRDefault="002C7E31" w:rsidP="007B6D89"/>
    <w:p w14:paraId="7D77E05C" w14:textId="485308C4" w:rsidR="007B6D89" w:rsidRDefault="007B6D89" w:rsidP="007B6D89">
      <w:r>
        <w:t>In late stages kidney function is severely reduced, requiring symptom control and intensive intervention in preparation for stage 5</w:t>
      </w:r>
      <w:r w:rsidR="0056163D">
        <w:t>.</w:t>
      </w:r>
      <w:r w:rsidR="0056163D">
        <w:rPr>
          <w:rStyle w:val="EndnoteReference"/>
        </w:rPr>
        <w:endnoteReference w:id="5"/>
      </w:r>
      <w:r w:rsidR="0056163D">
        <w:t xml:space="preserve"> </w:t>
      </w:r>
      <w:r>
        <w:t>ESKD is incompatible with life unless renal replacement therapy (RRT) is undertaken. RRT has two forms—kidney transplant or dialysis.</w:t>
      </w:r>
      <w:r w:rsidR="002F34C3" w:rsidRPr="002F34C3">
        <w:t xml:space="preserve"> Table 3 below describes the treatment and </w:t>
      </w:r>
      <w:proofErr w:type="gramStart"/>
      <w:r w:rsidR="002F34C3" w:rsidRPr="002F34C3">
        <w:t>interventions  for</w:t>
      </w:r>
      <w:proofErr w:type="gramEnd"/>
      <w:r w:rsidR="002F34C3" w:rsidRPr="002F34C3">
        <w:t xml:space="preserve"> each stage.</w:t>
      </w:r>
    </w:p>
    <w:p w14:paraId="79C2CB29" w14:textId="77777777" w:rsidR="0090366C" w:rsidRPr="009F150C" w:rsidRDefault="0090366C" w:rsidP="00DA108B"/>
    <w:p w14:paraId="1C15FCA9" w14:textId="7768B549" w:rsidR="002F34C3" w:rsidRDefault="0090366C" w:rsidP="002F34C3">
      <w:r w:rsidRPr="009F150C">
        <w:t>Dialysis is an artificial way of removing waste substance</w:t>
      </w:r>
      <w:r>
        <w:t xml:space="preserve">s from the blood and is provided in hospitals, satellite dialysis units, and can also be provided in a home setting. </w:t>
      </w:r>
      <w:r w:rsidR="00722F0B">
        <w:t xml:space="preserve">There are two main types of dialysis – </w:t>
      </w:r>
      <w:r w:rsidR="00645464">
        <w:t xml:space="preserve">haemodialysis and </w:t>
      </w:r>
      <w:r w:rsidR="00722F0B">
        <w:t xml:space="preserve">peritoneal dialysis (PD) and haemodialysis. </w:t>
      </w:r>
      <w:r w:rsidR="00645464">
        <w:t xml:space="preserve">Haemodialysis is where blood travels through a special filter </w:t>
      </w:r>
      <w:r w:rsidR="00645464">
        <w:lastRenderedPageBreak/>
        <w:t xml:space="preserve">called a ‘dialyser’ before being returned cleaned to the body. </w:t>
      </w:r>
      <w:r w:rsidR="00722F0B">
        <w:t>Peritoneal dialysis is where a special fluid is put into the peritoneal cavity</w:t>
      </w:r>
      <w:r w:rsidR="00645464">
        <w:t xml:space="preserve"> </w:t>
      </w:r>
      <w:r w:rsidR="00722F0B">
        <w:t xml:space="preserve">through a soft plastic tube, </w:t>
      </w:r>
      <w:r w:rsidR="0013601D">
        <w:t>and then</w:t>
      </w:r>
      <w:r w:rsidR="00645464">
        <w:t xml:space="preserve"> </w:t>
      </w:r>
      <w:r w:rsidR="00722F0B">
        <w:t xml:space="preserve">drained out of the body. </w:t>
      </w:r>
      <w:r w:rsidRPr="00AE56A8">
        <w:t>Neither of these treatments completely restore</w:t>
      </w:r>
      <w:r>
        <w:t>s</w:t>
      </w:r>
      <w:r w:rsidRPr="00AE56A8">
        <w:t xml:space="preserve"> health</w:t>
      </w:r>
      <w:r w:rsidR="00C87FE9">
        <w:t xml:space="preserve"> and patients may still have many symptoms, particularly fatigue. P</w:t>
      </w:r>
      <w:r w:rsidRPr="00AE56A8">
        <w:t xml:space="preserve">atients remain at risk of health problems and increased mortality. The burden of dialysis is overwhelming - no other disease </w:t>
      </w:r>
      <w:r>
        <w:t xml:space="preserve">requires </w:t>
      </w:r>
      <w:r w:rsidR="0013601D" w:rsidRPr="00AE56A8">
        <w:t>life-sustaining</w:t>
      </w:r>
      <w:r w:rsidRPr="00AE56A8">
        <w:t xml:space="preserve"> treatment that patients</w:t>
      </w:r>
      <w:r>
        <w:t xml:space="preserve"> </w:t>
      </w:r>
      <w:r w:rsidR="00C87FE9">
        <w:t xml:space="preserve">and their carers </w:t>
      </w:r>
      <w:r>
        <w:t>must</w:t>
      </w:r>
      <w:r w:rsidRPr="00AE56A8">
        <w:t xml:space="preserve"> act</w:t>
      </w:r>
      <w:r>
        <w:t>ively participate in for years.</w:t>
      </w:r>
    </w:p>
    <w:p w14:paraId="06FFAE6E" w14:textId="77777777" w:rsidR="002F34C3" w:rsidRPr="00AE56A8" w:rsidRDefault="002F34C3" w:rsidP="002F34C3"/>
    <w:p w14:paraId="40F8EB84" w14:textId="0837285F" w:rsidR="0090366C" w:rsidRDefault="002F34C3" w:rsidP="00DA108B">
      <w:r>
        <w:t>W</w:t>
      </w:r>
      <w:r w:rsidR="0090366C" w:rsidRPr="00AE56A8">
        <w:t>hilst transplantation is an effective treatment for ESKD it is n</w:t>
      </w:r>
      <w:r w:rsidR="0090366C">
        <w:t>ot a cure</w:t>
      </w:r>
      <w:r w:rsidR="00C87FE9">
        <w:t xml:space="preserve"> and does not reverse all complications</w:t>
      </w:r>
      <w:r w:rsidR="0090366C">
        <w:t xml:space="preserve">. Powerful </w:t>
      </w:r>
      <w:r w:rsidR="00C87FE9">
        <w:t xml:space="preserve">immune-suppressing </w:t>
      </w:r>
      <w:r w:rsidR="0090366C">
        <w:t xml:space="preserve">medications </w:t>
      </w:r>
      <w:r w:rsidR="0090366C" w:rsidRPr="00AE56A8">
        <w:t>need to be taken regularly and indefinitely to avoid organ rejection</w:t>
      </w:r>
      <w:r w:rsidR="0090366C">
        <w:t>.</w:t>
      </w:r>
      <w:r w:rsidR="00C87FE9" w:rsidRPr="00C87FE9">
        <w:t xml:space="preserve"> </w:t>
      </w:r>
      <w:r w:rsidR="00C87FE9">
        <w:t xml:space="preserve">These </w:t>
      </w:r>
      <w:r w:rsidR="00C87FE9" w:rsidRPr="00AE56A8">
        <w:t>can have serious and deadly side effects, including increased risks of some forms of cancer,</w:t>
      </w:r>
      <w:r w:rsidR="00C87FE9">
        <w:t xml:space="preserve"> infection, and cardiovascular disease. Transplants do not last forever and some patients will return to dialysis. </w:t>
      </w:r>
    </w:p>
    <w:p w14:paraId="286FF81A" w14:textId="77777777" w:rsidR="0090366C" w:rsidRDefault="0090366C" w:rsidP="00DA108B"/>
    <w:p w14:paraId="6A8DCC6B" w14:textId="4526B691" w:rsidR="0090366C" w:rsidRDefault="0090366C" w:rsidP="00DA108B">
      <w:r>
        <w:t xml:space="preserve">Not all patients with ESKD receive RRT. Non-RRT medical management of ESKD, also known as supportive care, is a treatment choice that involves </w:t>
      </w:r>
      <w:r w:rsidRPr="00F56862">
        <w:t>ongoing active therapy to minimise the symptoms of kidney failure, without using</w:t>
      </w:r>
      <w:r>
        <w:t xml:space="preserve"> RRT. </w:t>
      </w:r>
      <w:r w:rsidRPr="00967B57">
        <w:t>Patients who choose a pathway without dialysis or transplantation often live with a large symptom burden and increasing frailty, ultima</w:t>
      </w:r>
      <w:r>
        <w:t>tely requiring palliative care.</w:t>
      </w:r>
    </w:p>
    <w:p w14:paraId="7936B98E" w14:textId="43797778" w:rsidR="00645464" w:rsidRDefault="00645464" w:rsidP="00DA108B"/>
    <w:p w14:paraId="5CE80FF1" w14:textId="3461C08F" w:rsidR="0090366C" w:rsidRDefault="00645464" w:rsidP="00DA108B">
      <w:r>
        <w:t xml:space="preserve">The choice of treatment for ESKD should be made in partnership with </w:t>
      </w:r>
      <w:r w:rsidR="00D81D71">
        <w:t xml:space="preserve">the patient and their doctor. The choice is based on </w:t>
      </w:r>
      <w:r w:rsidRPr="00645464">
        <w:t>personal preference</w:t>
      </w:r>
      <w:r>
        <w:t xml:space="preserve">, lifestyle, daily schedule, and activities. Many factors such as age, location, other medical conditions and available support system may also impact the choice. The Kidney Health Australia decision aid tool </w:t>
      </w:r>
      <w:r w:rsidRPr="00645464">
        <w:rPr>
          <w:i/>
          <w:iCs/>
        </w:rPr>
        <w:t>‘My Kidneys, My Choice’</w:t>
      </w:r>
      <w:r>
        <w:t xml:space="preserve"> is a useful aid that supports people make the right choice of treatment for them</w:t>
      </w:r>
      <w:r w:rsidR="000D6FA5">
        <w:t>.</w:t>
      </w:r>
      <w:r w:rsidR="0056163D">
        <w:rPr>
          <w:rStyle w:val="EndnoteReference"/>
        </w:rPr>
        <w:endnoteReference w:id="6"/>
      </w:r>
    </w:p>
    <w:p w14:paraId="1A44A670" w14:textId="77777777" w:rsidR="002F34C3" w:rsidRDefault="002F34C3" w:rsidP="00DA108B">
      <w:pPr>
        <w:rPr>
          <w:rFonts w:eastAsiaTheme="majorEastAsia" w:cstheme="minorHAnsi"/>
          <w:b/>
        </w:rPr>
      </w:pPr>
    </w:p>
    <w:p w14:paraId="2BE1B1F4" w14:textId="3A95A76C" w:rsidR="007B6D89" w:rsidRDefault="002F34C3" w:rsidP="00DA108B">
      <w:pPr>
        <w:rPr>
          <w:b/>
        </w:rPr>
      </w:pPr>
      <w:r w:rsidRPr="00097AB0">
        <w:rPr>
          <w:rFonts w:eastAsiaTheme="majorEastAsia" w:cstheme="minorHAnsi"/>
          <w:b/>
        </w:rPr>
        <w:t>Table 3: Interventions and treatment of CKD</w:t>
      </w:r>
    </w:p>
    <w:tbl>
      <w:tblPr>
        <w:tblStyle w:val="TableGrid"/>
        <w:tblpPr w:leftFromText="180" w:rightFromText="180" w:vertAnchor="text" w:horzAnchor="margin" w:tblpY="114"/>
        <w:tblW w:w="9057" w:type="dxa"/>
        <w:tblLayout w:type="fixed"/>
        <w:tblCellMar>
          <w:top w:w="85" w:type="dxa"/>
          <w:bottom w:w="85" w:type="dxa"/>
        </w:tblCellMar>
        <w:tblLook w:val="04A0" w:firstRow="1" w:lastRow="0" w:firstColumn="1" w:lastColumn="0" w:noHBand="0" w:noVBand="1"/>
      </w:tblPr>
      <w:tblGrid>
        <w:gridCol w:w="978"/>
        <w:gridCol w:w="8079"/>
      </w:tblGrid>
      <w:tr w:rsidR="002F34C3" w:rsidRPr="00425E8D" w14:paraId="71348206" w14:textId="77777777" w:rsidTr="002F34C3">
        <w:trPr>
          <w:trHeight w:val="169"/>
        </w:trPr>
        <w:tc>
          <w:tcPr>
            <w:tcW w:w="9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220A3A88" w14:textId="77777777" w:rsidR="002F34C3" w:rsidRPr="008F7D98" w:rsidRDefault="002F34C3" w:rsidP="002F34C3">
            <w:pPr>
              <w:rPr>
                <w:b/>
                <w:szCs w:val="20"/>
              </w:rPr>
            </w:pPr>
            <w:r w:rsidRPr="008F7D98">
              <w:rPr>
                <w:b/>
                <w:color w:val="FFFFFF" w:themeColor="background1"/>
                <w:szCs w:val="20"/>
              </w:rPr>
              <w:t>Stage</w:t>
            </w:r>
          </w:p>
        </w:tc>
        <w:tc>
          <w:tcPr>
            <w:tcW w:w="8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7D74497F" w14:textId="77777777" w:rsidR="002F34C3" w:rsidRPr="008F7D98" w:rsidRDefault="002F34C3" w:rsidP="002F34C3">
            <w:pPr>
              <w:rPr>
                <w:b/>
                <w:color w:val="FFFFFF" w:themeColor="background1"/>
                <w:szCs w:val="20"/>
              </w:rPr>
            </w:pPr>
            <w:r w:rsidRPr="008F7D98">
              <w:rPr>
                <w:b/>
                <w:color w:val="FFFFFF" w:themeColor="background1"/>
                <w:szCs w:val="20"/>
              </w:rPr>
              <w:t>Interventions and Treatment</w:t>
            </w:r>
          </w:p>
        </w:tc>
      </w:tr>
      <w:tr w:rsidR="002F34C3" w:rsidRPr="00425E8D" w14:paraId="736320A8" w14:textId="77777777" w:rsidTr="002F34C3">
        <w:trPr>
          <w:trHeight w:val="2138"/>
        </w:trPr>
        <w:tc>
          <w:tcPr>
            <w:tcW w:w="978" w:type="dxa"/>
            <w:tcBorders>
              <w:top w:val="single" w:sz="12" w:space="0" w:color="FFFFFF" w:themeColor="background1"/>
              <w:left w:val="single" w:sz="12" w:space="0" w:color="FFFFFF" w:themeColor="background1"/>
              <w:right w:val="single" w:sz="12" w:space="0" w:color="FFFFFF" w:themeColor="background1"/>
            </w:tcBorders>
            <w:shd w:val="clear" w:color="auto" w:fill="FFE599" w:themeFill="accent4" w:themeFillTint="66"/>
          </w:tcPr>
          <w:p w14:paraId="066D07CF" w14:textId="77777777" w:rsidR="002F34C3" w:rsidRPr="008F7D98" w:rsidRDefault="002F34C3" w:rsidP="002F34C3">
            <w:pPr>
              <w:rPr>
                <w:szCs w:val="20"/>
              </w:rPr>
            </w:pPr>
            <w:r w:rsidRPr="008F7D98">
              <w:rPr>
                <w:szCs w:val="20"/>
              </w:rPr>
              <w:t>1</w:t>
            </w:r>
            <w:r>
              <w:rPr>
                <w:szCs w:val="20"/>
              </w:rPr>
              <w:t>, 2 &amp; 3</w:t>
            </w:r>
          </w:p>
          <w:p w14:paraId="1FD14BC5" w14:textId="77777777" w:rsidR="002F34C3" w:rsidRPr="008F7D98" w:rsidRDefault="002F34C3" w:rsidP="002F34C3">
            <w:pPr>
              <w:rPr>
                <w:szCs w:val="20"/>
              </w:rPr>
            </w:pPr>
          </w:p>
        </w:tc>
        <w:tc>
          <w:tcPr>
            <w:tcW w:w="8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3B54878E" w14:textId="77777777" w:rsidR="002F34C3" w:rsidRPr="008F7D98" w:rsidRDefault="002F34C3" w:rsidP="002F34C3">
            <w:pPr>
              <w:rPr>
                <w:szCs w:val="20"/>
              </w:rPr>
            </w:pPr>
            <w:r w:rsidRPr="008F7D98">
              <w:rPr>
                <w:szCs w:val="20"/>
              </w:rPr>
              <w:t>- identify and treat specific underlying diseases or causes of CKD</w:t>
            </w:r>
          </w:p>
          <w:p w14:paraId="34E114E6" w14:textId="77777777" w:rsidR="002F34C3" w:rsidRPr="008F7D98" w:rsidRDefault="002F34C3" w:rsidP="002F34C3">
            <w:pPr>
              <w:rPr>
                <w:szCs w:val="20"/>
              </w:rPr>
            </w:pPr>
            <w:r w:rsidRPr="008F7D98">
              <w:rPr>
                <w:szCs w:val="20"/>
              </w:rPr>
              <w:t>- weight reduction if overweight/obese</w:t>
            </w:r>
          </w:p>
          <w:p w14:paraId="39EB8BE1" w14:textId="77777777" w:rsidR="002F34C3" w:rsidRPr="008F7D98" w:rsidRDefault="002F34C3" w:rsidP="002F34C3">
            <w:pPr>
              <w:rPr>
                <w:szCs w:val="20"/>
              </w:rPr>
            </w:pPr>
            <w:r w:rsidRPr="008F7D98">
              <w:rPr>
                <w:szCs w:val="20"/>
              </w:rPr>
              <w:t>- cholesterol management</w:t>
            </w:r>
          </w:p>
          <w:p w14:paraId="1C6205CA" w14:textId="77777777" w:rsidR="002F34C3" w:rsidRPr="008F7D98" w:rsidRDefault="002F34C3" w:rsidP="002F34C3">
            <w:pPr>
              <w:rPr>
                <w:szCs w:val="20"/>
              </w:rPr>
            </w:pPr>
            <w:r w:rsidRPr="008F7D98">
              <w:rPr>
                <w:szCs w:val="20"/>
              </w:rPr>
              <w:t>-balanced and adequate diet</w:t>
            </w:r>
          </w:p>
          <w:p w14:paraId="7784E20F" w14:textId="77777777" w:rsidR="002F34C3" w:rsidRPr="008F7D98" w:rsidRDefault="002F34C3" w:rsidP="002F34C3">
            <w:pPr>
              <w:rPr>
                <w:szCs w:val="20"/>
                <w:lang w:val="fr-FR"/>
              </w:rPr>
            </w:pPr>
            <w:r w:rsidRPr="008F7D98">
              <w:rPr>
                <w:szCs w:val="20"/>
                <w:lang w:val="fr-FR"/>
              </w:rPr>
              <w:t xml:space="preserve">-physical </w:t>
            </w:r>
            <w:proofErr w:type="spellStart"/>
            <w:r w:rsidRPr="008F7D98">
              <w:rPr>
                <w:szCs w:val="20"/>
                <w:lang w:val="fr-FR"/>
              </w:rPr>
              <w:t>exercise</w:t>
            </w:r>
            <w:proofErr w:type="spellEnd"/>
          </w:p>
          <w:p w14:paraId="3FE144D2" w14:textId="77777777" w:rsidR="002F34C3" w:rsidRPr="008F7D98" w:rsidRDefault="002F34C3" w:rsidP="002F34C3">
            <w:pPr>
              <w:rPr>
                <w:szCs w:val="20"/>
                <w:lang w:val="fr-FR"/>
              </w:rPr>
            </w:pPr>
            <w:r w:rsidRPr="008F7D98">
              <w:rPr>
                <w:szCs w:val="20"/>
                <w:lang w:val="fr-FR"/>
              </w:rPr>
              <w:t>-</w:t>
            </w:r>
            <w:proofErr w:type="spellStart"/>
            <w:r w:rsidRPr="008F7D98">
              <w:rPr>
                <w:szCs w:val="20"/>
                <w:lang w:val="fr-FR"/>
              </w:rPr>
              <w:t>tobacco</w:t>
            </w:r>
            <w:proofErr w:type="spellEnd"/>
            <w:r w:rsidRPr="008F7D98">
              <w:rPr>
                <w:szCs w:val="20"/>
                <w:lang w:val="fr-FR"/>
              </w:rPr>
              <w:t xml:space="preserve"> use </w:t>
            </w:r>
            <w:proofErr w:type="spellStart"/>
            <w:r w:rsidRPr="008F7D98">
              <w:rPr>
                <w:szCs w:val="20"/>
                <w:lang w:val="fr-FR"/>
              </w:rPr>
              <w:t>prevention</w:t>
            </w:r>
            <w:proofErr w:type="spellEnd"/>
            <w:r w:rsidRPr="008F7D98">
              <w:rPr>
                <w:szCs w:val="20"/>
                <w:lang w:val="fr-FR"/>
              </w:rPr>
              <w:t xml:space="preserve"> and control (</w:t>
            </w:r>
            <w:proofErr w:type="spellStart"/>
            <w:r w:rsidRPr="008F7D98">
              <w:rPr>
                <w:szCs w:val="20"/>
                <w:lang w:val="fr-FR"/>
              </w:rPr>
              <w:t>including</w:t>
            </w:r>
            <w:proofErr w:type="spellEnd"/>
            <w:r w:rsidRPr="008F7D98">
              <w:rPr>
                <w:szCs w:val="20"/>
                <w:lang w:val="fr-FR"/>
              </w:rPr>
              <w:t xml:space="preserve"> smoking cessation)</w:t>
            </w:r>
          </w:p>
          <w:p w14:paraId="401A115E" w14:textId="77777777" w:rsidR="002F34C3" w:rsidRPr="008F7D98" w:rsidRDefault="002F34C3" w:rsidP="002F34C3">
            <w:pPr>
              <w:rPr>
                <w:szCs w:val="20"/>
                <w:lang w:val="fr-FR"/>
              </w:rPr>
            </w:pPr>
            <w:r w:rsidRPr="008F7D98">
              <w:rPr>
                <w:szCs w:val="20"/>
                <w:lang w:val="fr-FR"/>
              </w:rPr>
              <w:t xml:space="preserve">-hypertension management </w:t>
            </w:r>
          </w:p>
          <w:p w14:paraId="43191E43" w14:textId="77777777" w:rsidR="002F34C3" w:rsidRPr="008F7D98" w:rsidRDefault="002F34C3" w:rsidP="002F34C3">
            <w:pPr>
              <w:rPr>
                <w:szCs w:val="20"/>
                <w:lang w:val="fr-FR"/>
              </w:rPr>
            </w:pPr>
            <w:r w:rsidRPr="008F7D98">
              <w:rPr>
                <w:szCs w:val="20"/>
                <w:lang w:val="fr-FR"/>
              </w:rPr>
              <w:t>-</w:t>
            </w:r>
            <w:proofErr w:type="spellStart"/>
            <w:r w:rsidRPr="008F7D98">
              <w:rPr>
                <w:szCs w:val="20"/>
                <w:lang w:val="fr-FR"/>
              </w:rPr>
              <w:t>diabetes</w:t>
            </w:r>
            <w:proofErr w:type="spellEnd"/>
            <w:r w:rsidRPr="008F7D98">
              <w:rPr>
                <w:szCs w:val="20"/>
                <w:lang w:val="fr-FR"/>
              </w:rPr>
              <w:t xml:space="preserve"> management</w:t>
            </w:r>
          </w:p>
          <w:p w14:paraId="35AAC562" w14:textId="77777777" w:rsidR="002F34C3" w:rsidRPr="008F7D98" w:rsidRDefault="002F34C3" w:rsidP="002F34C3">
            <w:pPr>
              <w:rPr>
                <w:szCs w:val="20"/>
              </w:rPr>
            </w:pPr>
            <w:r w:rsidRPr="008F7D98">
              <w:rPr>
                <w:szCs w:val="20"/>
              </w:rPr>
              <w:t>-medications to reduce urine protein leak</w:t>
            </w:r>
          </w:p>
        </w:tc>
      </w:tr>
      <w:tr w:rsidR="002F34C3" w:rsidRPr="00425E8D" w14:paraId="2D0C9179" w14:textId="77777777" w:rsidTr="002F34C3">
        <w:tc>
          <w:tcPr>
            <w:tcW w:w="9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3CE8C7FD" w14:textId="77777777" w:rsidR="002F34C3" w:rsidRPr="008F7D98" w:rsidRDefault="002F34C3" w:rsidP="002F34C3">
            <w:pPr>
              <w:rPr>
                <w:szCs w:val="20"/>
              </w:rPr>
            </w:pPr>
            <w:r w:rsidRPr="008F7D98">
              <w:rPr>
                <w:szCs w:val="20"/>
              </w:rPr>
              <w:t>4</w:t>
            </w:r>
          </w:p>
        </w:tc>
        <w:tc>
          <w:tcPr>
            <w:tcW w:w="8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494D1199" w14:textId="77777777" w:rsidR="002F34C3" w:rsidRPr="008F7D98" w:rsidRDefault="002F34C3" w:rsidP="002F34C3">
            <w:pPr>
              <w:rPr>
                <w:szCs w:val="20"/>
              </w:rPr>
            </w:pPr>
            <w:r w:rsidRPr="008F7D98">
              <w:rPr>
                <w:szCs w:val="20"/>
              </w:rPr>
              <w:t>As above plus:</w:t>
            </w:r>
          </w:p>
          <w:p w14:paraId="2CA8E882" w14:textId="77777777" w:rsidR="002F34C3" w:rsidRPr="008F7D98" w:rsidRDefault="002F34C3" w:rsidP="002F34C3">
            <w:pPr>
              <w:rPr>
                <w:szCs w:val="20"/>
              </w:rPr>
            </w:pPr>
            <w:r w:rsidRPr="008F7D98">
              <w:rPr>
                <w:szCs w:val="20"/>
              </w:rPr>
              <w:t>-preparation for ESKD</w:t>
            </w:r>
          </w:p>
          <w:p w14:paraId="66EC9978" w14:textId="77777777" w:rsidR="002F34C3" w:rsidRPr="008F7D98" w:rsidRDefault="002F34C3" w:rsidP="002F34C3">
            <w:pPr>
              <w:rPr>
                <w:szCs w:val="20"/>
              </w:rPr>
            </w:pPr>
            <w:r w:rsidRPr="008F7D98">
              <w:rPr>
                <w:szCs w:val="20"/>
              </w:rPr>
              <w:t>-symptom management</w:t>
            </w:r>
          </w:p>
          <w:p w14:paraId="1DC86D0F" w14:textId="77777777" w:rsidR="002F34C3" w:rsidRPr="008F7D98" w:rsidRDefault="002F34C3" w:rsidP="002F34C3">
            <w:pPr>
              <w:rPr>
                <w:szCs w:val="20"/>
              </w:rPr>
            </w:pPr>
            <w:r w:rsidRPr="008F7D98">
              <w:rPr>
                <w:szCs w:val="20"/>
              </w:rPr>
              <w:t>-management of anaemia</w:t>
            </w:r>
          </w:p>
        </w:tc>
      </w:tr>
      <w:tr w:rsidR="002F34C3" w:rsidRPr="00425E8D" w14:paraId="65DDCDD1" w14:textId="77777777" w:rsidTr="002F34C3">
        <w:tc>
          <w:tcPr>
            <w:tcW w:w="97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56358B33" w14:textId="77777777" w:rsidR="002F34C3" w:rsidRPr="008F7D98" w:rsidRDefault="002F34C3" w:rsidP="002F34C3">
            <w:pPr>
              <w:rPr>
                <w:szCs w:val="20"/>
              </w:rPr>
            </w:pPr>
            <w:r w:rsidRPr="008F7D98">
              <w:rPr>
                <w:szCs w:val="20"/>
              </w:rPr>
              <w:t>5</w:t>
            </w:r>
          </w:p>
        </w:tc>
        <w:tc>
          <w:tcPr>
            <w:tcW w:w="8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E599" w:themeFill="accent4" w:themeFillTint="66"/>
          </w:tcPr>
          <w:p w14:paraId="5F29FEDD" w14:textId="77777777" w:rsidR="002F34C3" w:rsidRPr="008F7D98" w:rsidRDefault="002F34C3" w:rsidP="002F34C3">
            <w:pPr>
              <w:rPr>
                <w:szCs w:val="20"/>
              </w:rPr>
            </w:pPr>
            <w:r w:rsidRPr="008F7D98">
              <w:rPr>
                <w:szCs w:val="20"/>
              </w:rPr>
              <w:t>As above plus:</w:t>
            </w:r>
          </w:p>
          <w:p w14:paraId="69234E3B" w14:textId="77777777" w:rsidR="002F34C3" w:rsidRPr="008F7D98" w:rsidRDefault="002F34C3" w:rsidP="002F34C3">
            <w:pPr>
              <w:rPr>
                <w:szCs w:val="20"/>
              </w:rPr>
            </w:pPr>
            <w:r w:rsidRPr="008F7D98">
              <w:rPr>
                <w:szCs w:val="20"/>
              </w:rPr>
              <w:t>-transplant</w:t>
            </w:r>
          </w:p>
          <w:p w14:paraId="0A7D277F" w14:textId="77777777" w:rsidR="002F34C3" w:rsidRPr="008F7D98" w:rsidRDefault="002F34C3" w:rsidP="002F34C3">
            <w:pPr>
              <w:rPr>
                <w:szCs w:val="20"/>
              </w:rPr>
            </w:pPr>
            <w:r w:rsidRPr="008F7D98">
              <w:rPr>
                <w:szCs w:val="20"/>
              </w:rPr>
              <w:t xml:space="preserve">-dialysis (peritoneal dialysis or haemodialysis) </w:t>
            </w:r>
          </w:p>
          <w:p w14:paraId="7E60E27D" w14:textId="77777777" w:rsidR="002F34C3" w:rsidRPr="008F7D98" w:rsidRDefault="002F34C3" w:rsidP="002F34C3">
            <w:pPr>
              <w:rPr>
                <w:szCs w:val="20"/>
              </w:rPr>
            </w:pPr>
            <w:r w:rsidRPr="008F7D98">
              <w:rPr>
                <w:szCs w:val="20"/>
              </w:rPr>
              <w:t>-supportive care</w:t>
            </w:r>
          </w:p>
        </w:tc>
      </w:tr>
    </w:tbl>
    <w:p w14:paraId="5F40C5CC" w14:textId="77777777" w:rsidR="002F34C3" w:rsidRDefault="002F34C3" w:rsidP="00D94CB1">
      <w:pPr>
        <w:pStyle w:val="Heading3"/>
        <w:rPr>
          <w:color w:val="C00000"/>
          <w:sz w:val="24"/>
        </w:rPr>
      </w:pPr>
    </w:p>
    <w:p w14:paraId="7BE2D2FE" w14:textId="24A8152B" w:rsidR="0090366C" w:rsidRPr="00FF54C9" w:rsidRDefault="0090366C" w:rsidP="00D94CB1">
      <w:pPr>
        <w:pStyle w:val="Heading3"/>
        <w:rPr>
          <w:sz w:val="24"/>
        </w:rPr>
      </w:pPr>
      <w:r w:rsidRPr="00FF54C9">
        <w:rPr>
          <w:color w:val="C00000"/>
          <w:sz w:val="24"/>
        </w:rPr>
        <w:t>The triad of chronic kidney disease, cardiovascular disease and diabetes</w:t>
      </w:r>
    </w:p>
    <w:p w14:paraId="0C7496BD" w14:textId="4E06783C" w:rsidR="007B6D89" w:rsidRDefault="0090366C" w:rsidP="00DA108B">
      <w:r w:rsidRPr="00332676">
        <w:t>More than half of people living with CK</w:t>
      </w:r>
      <w:r>
        <w:t>D also have cardiovascular disease (CVD) and/or diabetes</w:t>
      </w:r>
      <w:r w:rsidR="0056163D">
        <w:rPr>
          <w:rStyle w:val="EndnoteReference"/>
        </w:rPr>
        <w:endnoteReference w:id="7"/>
      </w:r>
      <w:r>
        <w:t xml:space="preserve">. </w:t>
      </w:r>
      <w:r w:rsidRPr="00624157">
        <w:t xml:space="preserve">CKD, </w:t>
      </w:r>
      <w:r>
        <w:t>CVD</w:t>
      </w:r>
      <w:r w:rsidRPr="00624157">
        <w:t xml:space="preserve"> and diabetes are inextricably linked. They have similar underlying causes and features and</w:t>
      </w:r>
      <w:r>
        <w:t xml:space="preserve"> share common risk factors. These diseases</w:t>
      </w:r>
      <w:r w:rsidRPr="00624157">
        <w:t xml:space="preserve"> h</w:t>
      </w:r>
      <w:r>
        <w:t>ave a complex relationship and</w:t>
      </w:r>
      <w:r w:rsidRPr="00624157">
        <w:t xml:space="preserve"> each may be associated with, or exacerbate the presence of</w:t>
      </w:r>
      <w:r w:rsidR="009864DA">
        <w:t xml:space="preserve"> </w:t>
      </w:r>
      <w:r w:rsidR="00D62FCA">
        <w:t>each</w:t>
      </w:r>
      <w:r w:rsidR="00D62FCA" w:rsidRPr="00624157">
        <w:t xml:space="preserve"> </w:t>
      </w:r>
      <w:r w:rsidRPr="00624157">
        <w:t xml:space="preserve">other. </w:t>
      </w:r>
      <w:r>
        <w:t>CKD independently increases the risk of hypertension and other cardiovascular events, including heart attack, angina, coronary artery disease, stroke and heart failure.</w:t>
      </w:r>
      <w:r w:rsidR="0056163D">
        <w:rPr>
          <w:rStyle w:val="EndnoteReference"/>
        </w:rPr>
        <w:endnoteReference w:id="8"/>
      </w:r>
      <w:r>
        <w:t xml:space="preserve"> </w:t>
      </w:r>
    </w:p>
    <w:p w14:paraId="5680A93A" w14:textId="77777777" w:rsidR="007B6D89" w:rsidRDefault="007B6D89" w:rsidP="00DA108B"/>
    <w:p w14:paraId="0BB35239" w14:textId="77777777" w:rsidR="00880BE1" w:rsidRDefault="0090366C" w:rsidP="00DA108B">
      <w:pPr>
        <w:rPr>
          <w:b/>
          <w:szCs w:val="20"/>
        </w:rPr>
      </w:pPr>
      <w:r w:rsidRPr="00FE011A">
        <w:t>A person with CKD is more predisposed to develop premature cardiovascular disease and is more likely to die from a heart attack or stroke than they are to progress to ESKD requiring dialysis or transplant.</w:t>
      </w:r>
      <w:r w:rsidR="0056163D">
        <w:rPr>
          <w:rStyle w:val="EndnoteReference"/>
        </w:rPr>
        <w:endnoteReference w:id="9"/>
      </w:r>
      <w:r w:rsidR="00880BE1" w:rsidRPr="00880BE1">
        <w:rPr>
          <w:b/>
          <w:szCs w:val="20"/>
        </w:rPr>
        <w:t xml:space="preserve"> </w:t>
      </w:r>
    </w:p>
    <w:p w14:paraId="63B03691" w14:textId="5BEBB3B9" w:rsidR="007342DA" w:rsidRPr="00FF54C9" w:rsidRDefault="00FD2F4B" w:rsidP="00CD3E6A">
      <w:pPr>
        <w:pStyle w:val="Heading3"/>
        <w:rPr>
          <w:sz w:val="24"/>
        </w:rPr>
      </w:pPr>
      <w:r w:rsidRPr="00FF54C9">
        <w:rPr>
          <w:color w:val="C00000"/>
          <w:sz w:val="24"/>
        </w:rPr>
        <w:lastRenderedPageBreak/>
        <w:t>B</w:t>
      </w:r>
      <w:r w:rsidR="007342DA" w:rsidRPr="00FF54C9">
        <w:rPr>
          <w:color w:val="C00000"/>
          <w:sz w:val="24"/>
        </w:rPr>
        <w:t>urden of chronic kidney disease</w:t>
      </w:r>
    </w:p>
    <w:p w14:paraId="7A2A48EA" w14:textId="18D8CB25" w:rsidR="007342DA" w:rsidRPr="007342DA" w:rsidRDefault="007342DA" w:rsidP="007342DA">
      <w:pPr>
        <w:spacing w:after="160" w:line="259" w:lineRule="auto"/>
        <w:rPr>
          <w:color w:val="000000" w:themeColor="text1"/>
        </w:rPr>
      </w:pPr>
      <w:bookmarkStart w:id="5" w:name="_Hlk10980796"/>
      <w:r w:rsidRPr="007342DA">
        <w:rPr>
          <w:color w:val="000000" w:themeColor="text1"/>
        </w:rPr>
        <w:t xml:space="preserve">1 in </w:t>
      </w:r>
      <w:r w:rsidR="009A7122">
        <w:rPr>
          <w:color w:val="000000" w:themeColor="text1"/>
        </w:rPr>
        <w:t>3 are at risk of developing CKD</w:t>
      </w:r>
      <w:r w:rsidR="0015777A">
        <w:rPr>
          <w:rStyle w:val="EndnoteReference"/>
          <w:color w:val="000000" w:themeColor="text1"/>
        </w:rPr>
        <w:endnoteReference w:id="10"/>
      </w:r>
      <w:r w:rsidR="009A7122" w:rsidRPr="00AA35C7">
        <w:rPr>
          <w:color w:val="000000" w:themeColor="text1"/>
          <w:vertAlign w:val="superscript"/>
        </w:rPr>
        <w:t xml:space="preserve"> </w:t>
      </w:r>
      <w:r w:rsidRPr="007342DA">
        <w:rPr>
          <w:color w:val="000000" w:themeColor="text1"/>
        </w:rPr>
        <w:t xml:space="preserve">and </w:t>
      </w:r>
      <w:r w:rsidR="0034007C">
        <w:t xml:space="preserve">a striking 1 in 10 </w:t>
      </w:r>
      <w:r w:rsidRPr="007342DA">
        <w:t>are currently living with biomedical markers of CKD</w:t>
      </w:r>
      <w:r w:rsidR="008D54B4">
        <w:t>.</w:t>
      </w:r>
      <w:r w:rsidR="008D54B4" w:rsidRPr="007342DA">
        <w:rPr>
          <w:noProof/>
        </w:rPr>
        <w:t xml:space="preserve"> </w:t>
      </w:r>
      <w:r w:rsidRPr="007342DA">
        <w:t>However less than 10% of people with CKD know they have the condi</w:t>
      </w:r>
      <w:r w:rsidR="0034007C">
        <w:t>tion, meaning there are over 1.7</w:t>
      </w:r>
      <w:r w:rsidRPr="007342DA">
        <w:t xml:space="preserve"> million Australians who are unaware that they are living with indicators of CKD</w:t>
      </w:r>
      <w:r w:rsidR="0015777A">
        <w:t>.</w:t>
      </w:r>
      <w:r w:rsidR="0015777A">
        <w:rPr>
          <w:rStyle w:val="EndnoteReference"/>
        </w:rPr>
        <w:endnoteReference w:id="11"/>
      </w:r>
      <w:r w:rsidRPr="007342DA">
        <w:t xml:space="preserve"> </w:t>
      </w:r>
      <w:r w:rsidR="00E6746B">
        <w:t>This burden is growing - b</w:t>
      </w:r>
      <w:r w:rsidR="00411840">
        <w:t xml:space="preserve">etween 2003-2015 there was a </w:t>
      </w:r>
      <w:r w:rsidR="00411840" w:rsidRPr="00411840">
        <w:t xml:space="preserve">26.9% increase in years lost to ill health </w:t>
      </w:r>
      <w:r w:rsidR="00411840">
        <w:t>from CKD</w:t>
      </w:r>
      <w:r w:rsidR="00E6746B">
        <w:t xml:space="preserve"> and </w:t>
      </w:r>
      <w:r w:rsidR="00E6746B" w:rsidRPr="00E6746B">
        <w:t>a 32.7% increase in years of life lost</w:t>
      </w:r>
      <w:r w:rsidR="0015777A">
        <w:t>.</w:t>
      </w:r>
      <w:r w:rsidR="0015777A">
        <w:rPr>
          <w:rStyle w:val="EndnoteReference"/>
        </w:rPr>
        <w:endnoteReference w:id="12"/>
      </w:r>
      <w:r w:rsidR="00411840">
        <w:t xml:space="preserve"> </w:t>
      </w:r>
    </w:p>
    <w:bookmarkEnd w:id="5"/>
    <w:p w14:paraId="433C3CF5" w14:textId="77777777" w:rsidR="007342DA" w:rsidRPr="00FF54C9" w:rsidRDefault="007342DA" w:rsidP="00CD3E6A">
      <w:pPr>
        <w:pStyle w:val="Heading3"/>
        <w:rPr>
          <w:sz w:val="24"/>
        </w:rPr>
      </w:pPr>
      <w:r w:rsidRPr="00FF54C9">
        <w:rPr>
          <w:color w:val="C00000"/>
          <w:sz w:val="24"/>
        </w:rPr>
        <w:t>Burden of end-stage kidney disease</w:t>
      </w:r>
    </w:p>
    <w:p w14:paraId="7D8B3018" w14:textId="437E1BBC" w:rsidR="008E648F" w:rsidRDefault="007823C4" w:rsidP="006E03C1">
      <w:pPr>
        <w:autoSpaceDE w:val="0"/>
        <w:autoSpaceDN w:val="0"/>
        <w:adjustRightInd w:val="0"/>
        <w:rPr>
          <w:rFonts w:ascii="Calibri" w:hAnsi="Calibri" w:cs="Calibri"/>
        </w:rPr>
      </w:pPr>
      <w:r>
        <w:rPr>
          <w:rFonts w:ascii="Calibri" w:hAnsi="Calibri" w:cs="Calibri"/>
        </w:rPr>
        <w:t xml:space="preserve">The </w:t>
      </w:r>
      <w:r w:rsidR="009A7122">
        <w:rPr>
          <w:rFonts w:ascii="Calibri" w:hAnsi="Calibri" w:cs="Calibri"/>
        </w:rPr>
        <w:t>Australia and New Zealand Dialysis Transplant (ANZDATA) Registry</w:t>
      </w:r>
      <w:r>
        <w:rPr>
          <w:rFonts w:ascii="Calibri" w:hAnsi="Calibri" w:cs="Calibri"/>
        </w:rPr>
        <w:t xml:space="preserve"> </w:t>
      </w:r>
      <w:r w:rsidR="00FB69AB" w:rsidRPr="00FB69AB">
        <w:rPr>
          <w:rFonts w:ascii="Calibri" w:hAnsi="Calibri" w:cs="Calibri"/>
        </w:rPr>
        <w:t xml:space="preserve">collects and reports the incidence, prevalence and outcome of dialysis treatment and kidney transplantation for patients with </w:t>
      </w:r>
      <w:r w:rsidR="00FB69AB">
        <w:rPr>
          <w:rFonts w:ascii="Calibri" w:hAnsi="Calibri" w:cs="Calibri"/>
        </w:rPr>
        <w:t>ESKD</w:t>
      </w:r>
      <w:r w:rsidR="00FB69AB" w:rsidRPr="00FB69AB">
        <w:rPr>
          <w:rFonts w:ascii="Calibri" w:hAnsi="Calibri" w:cs="Calibri"/>
        </w:rPr>
        <w:t xml:space="preserve"> across Australia and New Zealand</w:t>
      </w:r>
      <w:r w:rsidR="00FB69AB">
        <w:rPr>
          <w:rFonts w:ascii="Calibri" w:hAnsi="Calibri" w:cs="Calibri"/>
        </w:rPr>
        <w:t>. The most recent data</w:t>
      </w:r>
      <w:r w:rsidR="0015777A">
        <w:rPr>
          <w:rStyle w:val="EndnoteReference"/>
          <w:rFonts w:ascii="Calibri" w:hAnsi="Calibri" w:cs="Calibri"/>
        </w:rPr>
        <w:endnoteReference w:id="13"/>
      </w:r>
      <w:r w:rsidR="000D6FA5">
        <w:rPr>
          <w:rFonts w:ascii="Calibri" w:hAnsi="Calibri" w:cs="Calibri"/>
        </w:rPr>
        <w:t xml:space="preserve"> </w:t>
      </w:r>
      <w:r w:rsidR="009A7122">
        <w:rPr>
          <w:rFonts w:ascii="Calibri" w:hAnsi="Calibri" w:cs="Calibri"/>
        </w:rPr>
        <w:t xml:space="preserve">shows that 3056 people started RRT (dialysis or transplant) in Australia in 2017 resulting in a total of </w:t>
      </w:r>
      <w:r w:rsidR="009A7122" w:rsidRPr="00413E9E">
        <w:rPr>
          <w:rFonts w:ascii="Calibri" w:hAnsi="Calibri" w:cs="Calibri"/>
        </w:rPr>
        <w:t>24,738 people on RTT</w:t>
      </w:r>
      <w:r w:rsidR="009A7122">
        <w:rPr>
          <w:rFonts w:ascii="Calibri" w:hAnsi="Calibri" w:cs="Calibri"/>
        </w:rPr>
        <w:t xml:space="preserve"> in Australia. Of these, 13,051 people were receiving dialysis treatment and 11,687 living with a functioning kidney transplant. </w:t>
      </w:r>
      <w:r w:rsidR="009A7122" w:rsidRPr="00413E9E">
        <w:rPr>
          <w:rFonts w:ascii="Calibri" w:hAnsi="Calibri" w:cs="Calibri"/>
        </w:rPr>
        <w:t>The number of people on dialysis increa</w:t>
      </w:r>
      <w:r w:rsidR="009A7122">
        <w:rPr>
          <w:rFonts w:ascii="Calibri" w:hAnsi="Calibri" w:cs="Calibri"/>
        </w:rPr>
        <w:t xml:space="preserve">sed by 2.6% from 2016 to 2017. </w:t>
      </w:r>
      <w:r>
        <w:rPr>
          <w:rFonts w:ascii="Calibri" w:hAnsi="Calibri" w:cs="Calibri"/>
        </w:rPr>
        <w:t xml:space="preserve">These numbers </w:t>
      </w:r>
      <w:r w:rsidR="00FB69AB">
        <w:rPr>
          <w:rFonts w:ascii="Calibri" w:hAnsi="Calibri" w:cs="Calibri"/>
        </w:rPr>
        <w:t>are only for patients on RRT, they do not include the data for supportive care. The true burden of ESKD in Australia is therefore sign</w:t>
      </w:r>
      <w:r w:rsidR="006E03C1">
        <w:rPr>
          <w:rFonts w:ascii="Calibri" w:hAnsi="Calibri" w:cs="Calibri"/>
        </w:rPr>
        <w:t>ificantly greater than 24,738.</w:t>
      </w:r>
    </w:p>
    <w:p w14:paraId="5A6A8506" w14:textId="77777777" w:rsidR="006E03C1" w:rsidRPr="006E03C1" w:rsidRDefault="006E03C1" w:rsidP="006E03C1">
      <w:pPr>
        <w:autoSpaceDE w:val="0"/>
        <w:autoSpaceDN w:val="0"/>
        <w:adjustRightInd w:val="0"/>
        <w:rPr>
          <w:rFonts w:ascii="Calibri" w:hAnsi="Calibri" w:cs="Calibri"/>
        </w:rPr>
      </w:pPr>
    </w:p>
    <w:p w14:paraId="0CB3005E" w14:textId="158D9B80" w:rsidR="008E648F" w:rsidRPr="00FF54C9" w:rsidRDefault="008E648F" w:rsidP="00CD3E6A">
      <w:pPr>
        <w:pStyle w:val="Heading3"/>
        <w:rPr>
          <w:sz w:val="24"/>
        </w:rPr>
      </w:pPr>
      <w:r w:rsidRPr="00FF54C9">
        <w:rPr>
          <w:color w:val="C00000"/>
          <w:sz w:val="24"/>
        </w:rPr>
        <w:t>Aboriginal and Torres Strait Islander kidney disease</w:t>
      </w:r>
    </w:p>
    <w:p w14:paraId="4D2091FE" w14:textId="5AAB2213" w:rsidR="008E648F" w:rsidRPr="000945FB" w:rsidRDefault="008E648F" w:rsidP="006D4B80">
      <w:pPr>
        <w:rPr>
          <w:rFonts w:cstheme="minorHAnsi"/>
        </w:rPr>
      </w:pPr>
      <w:r w:rsidRPr="000945FB">
        <w:rPr>
          <w:rFonts w:cstheme="minorHAnsi"/>
        </w:rPr>
        <w:t>An estimated 1 in 5 (18%) Aboriginal and Torres Strait Islander adults have biomedical signs of CKD</w:t>
      </w:r>
      <w:r w:rsidR="00043144">
        <w:rPr>
          <w:rFonts w:cstheme="minorHAnsi"/>
        </w:rPr>
        <w:t>,</w:t>
      </w:r>
      <w:r w:rsidR="00043144">
        <w:rPr>
          <w:rStyle w:val="EndnoteReference"/>
          <w:rFonts w:cstheme="minorHAnsi"/>
        </w:rPr>
        <w:endnoteReference w:id="14"/>
      </w:r>
      <w:r w:rsidRPr="000945FB">
        <w:rPr>
          <w:rFonts w:cstheme="minorHAnsi"/>
        </w:rPr>
        <w:t xml:space="preserve"> </w:t>
      </w:r>
      <w:r w:rsidR="006D4B80">
        <w:rPr>
          <w:rFonts w:cstheme="minorHAnsi"/>
        </w:rPr>
        <w:t xml:space="preserve">more than double that of non-Indigenous Australians. </w:t>
      </w:r>
      <w:r w:rsidR="006D4B80" w:rsidRPr="006D4B80">
        <w:rPr>
          <w:rFonts w:cstheme="minorHAnsi"/>
        </w:rPr>
        <w:t>They are 3 times</w:t>
      </w:r>
      <w:r w:rsidR="006D4B80">
        <w:rPr>
          <w:rFonts w:cstheme="minorHAnsi"/>
        </w:rPr>
        <w:t xml:space="preserve"> </w:t>
      </w:r>
      <w:r w:rsidR="006D4B80" w:rsidRPr="006D4B80">
        <w:rPr>
          <w:rFonts w:cstheme="minorHAnsi"/>
        </w:rPr>
        <w:t>as likely to have</w:t>
      </w:r>
      <w:r w:rsidR="006D4B80">
        <w:rPr>
          <w:rFonts w:cstheme="minorHAnsi"/>
        </w:rPr>
        <w:t xml:space="preserve"> </w:t>
      </w:r>
      <w:r w:rsidR="006D4B80" w:rsidRPr="006D4B80">
        <w:rPr>
          <w:rFonts w:cstheme="minorHAnsi"/>
        </w:rPr>
        <w:t>indicators of Stage 1</w:t>
      </w:r>
      <w:r w:rsidR="006D4B80">
        <w:rPr>
          <w:rFonts w:cstheme="minorHAnsi"/>
        </w:rPr>
        <w:t xml:space="preserve"> </w:t>
      </w:r>
      <w:r w:rsidR="006D4B80" w:rsidRPr="006D4B80">
        <w:rPr>
          <w:rFonts w:cstheme="minorHAnsi"/>
        </w:rPr>
        <w:t xml:space="preserve">CKD, and more than 4 times as likely </w:t>
      </w:r>
      <w:r w:rsidR="006D4B80">
        <w:rPr>
          <w:rFonts w:cstheme="minorHAnsi"/>
        </w:rPr>
        <w:t xml:space="preserve">as </w:t>
      </w:r>
      <w:r w:rsidR="006D4B80" w:rsidRPr="006D4B80">
        <w:rPr>
          <w:rFonts w:cstheme="minorHAnsi"/>
        </w:rPr>
        <w:t>non-Indigenous people to have</w:t>
      </w:r>
      <w:r w:rsidR="006D4B80">
        <w:rPr>
          <w:rFonts w:cstheme="minorHAnsi"/>
        </w:rPr>
        <w:t xml:space="preserve"> </w:t>
      </w:r>
      <w:r w:rsidR="006D4B80" w:rsidRPr="006D4B80">
        <w:rPr>
          <w:rFonts w:cstheme="minorHAnsi"/>
        </w:rPr>
        <w:t>indicators of Stages 4-5 CKD</w:t>
      </w:r>
      <w:r w:rsidR="00043144">
        <w:rPr>
          <w:rFonts w:cstheme="minorHAnsi"/>
        </w:rPr>
        <w:t>.</w:t>
      </w:r>
      <w:r w:rsidR="00043144">
        <w:rPr>
          <w:rStyle w:val="EndnoteReference"/>
          <w:rFonts w:cstheme="minorHAnsi"/>
        </w:rPr>
        <w:endnoteReference w:id="15"/>
      </w:r>
      <w:r w:rsidR="006D4B80">
        <w:rPr>
          <w:rFonts w:cstheme="minorHAnsi"/>
        </w:rPr>
        <w:t xml:space="preserve"> </w:t>
      </w:r>
      <w:r w:rsidR="006D4B80" w:rsidRPr="006D4B80">
        <w:rPr>
          <w:rFonts w:cstheme="minorHAnsi"/>
        </w:rPr>
        <w:t xml:space="preserve">The incidence rate of ESKD among </w:t>
      </w:r>
      <w:r w:rsidR="006D4B80">
        <w:rPr>
          <w:rFonts w:cstheme="minorHAnsi"/>
        </w:rPr>
        <w:t>Aboriginal and Torres Strait Islanders</w:t>
      </w:r>
      <w:r w:rsidR="006D4B80" w:rsidRPr="006D4B80">
        <w:rPr>
          <w:rFonts w:cstheme="minorHAnsi"/>
        </w:rPr>
        <w:t xml:space="preserve"> </w:t>
      </w:r>
      <w:r w:rsidR="006D4B80">
        <w:rPr>
          <w:rFonts w:cstheme="minorHAnsi"/>
        </w:rPr>
        <w:t>is</w:t>
      </w:r>
      <w:r w:rsidR="006D4B80" w:rsidRPr="006D4B80">
        <w:rPr>
          <w:rFonts w:cstheme="minorHAnsi"/>
        </w:rPr>
        <w:t xml:space="preserve"> almost 5 times as high as the non-Indigenous rate</w:t>
      </w:r>
      <w:r w:rsidR="00216F00">
        <w:rPr>
          <w:rFonts w:cstheme="minorHAnsi"/>
        </w:rPr>
        <w:t xml:space="preserve"> with an earlier age of onset.</w:t>
      </w:r>
      <w:r w:rsidR="00043144">
        <w:rPr>
          <w:rStyle w:val="EndnoteReference"/>
          <w:rFonts w:cstheme="minorHAnsi"/>
        </w:rPr>
        <w:endnoteReference w:id="16"/>
      </w:r>
      <w:r w:rsidR="00216F00">
        <w:rPr>
          <w:rFonts w:cstheme="minorHAnsi"/>
        </w:rPr>
        <w:t xml:space="preserve"> </w:t>
      </w:r>
    </w:p>
    <w:p w14:paraId="758D9131" w14:textId="77777777" w:rsidR="008E648F" w:rsidRPr="000945FB" w:rsidRDefault="008E648F" w:rsidP="008E648F">
      <w:pPr>
        <w:rPr>
          <w:rFonts w:cstheme="minorHAnsi"/>
        </w:rPr>
      </w:pPr>
    </w:p>
    <w:p w14:paraId="0C949758" w14:textId="37A75842" w:rsidR="00BB0BA3" w:rsidRPr="00FF54C9" w:rsidRDefault="001963E7" w:rsidP="00CD3E6A">
      <w:pPr>
        <w:pStyle w:val="Heading3"/>
        <w:rPr>
          <w:sz w:val="24"/>
        </w:rPr>
      </w:pPr>
      <w:r w:rsidRPr="00FF54C9">
        <w:rPr>
          <w:color w:val="C00000"/>
          <w:sz w:val="24"/>
        </w:rPr>
        <w:t xml:space="preserve">Deaths from </w:t>
      </w:r>
      <w:r w:rsidR="00FF54C9">
        <w:rPr>
          <w:color w:val="C00000"/>
          <w:sz w:val="24"/>
        </w:rPr>
        <w:t>CKD</w:t>
      </w:r>
    </w:p>
    <w:p w14:paraId="64DD0DF4" w14:textId="332FB52D" w:rsidR="00ED08B6" w:rsidRDefault="00BB0BA3" w:rsidP="00AA35C7">
      <w:pPr>
        <w:autoSpaceDE w:val="0"/>
        <w:autoSpaceDN w:val="0"/>
        <w:adjustRightInd w:val="0"/>
        <w:rPr>
          <w:rFonts w:ascii="Calibri" w:hAnsi="Calibri" w:cs="Calibri"/>
        </w:rPr>
      </w:pPr>
      <w:r>
        <w:t xml:space="preserve">CKD contributed to 11% of all deaths in </w:t>
      </w:r>
      <w:r w:rsidR="0034007C">
        <w:t>2017</w:t>
      </w:r>
      <w:r w:rsidR="0013601D">
        <w:t>, which</w:t>
      </w:r>
      <w:r>
        <w:t xml:space="preserve"> is </w:t>
      </w:r>
      <w:r w:rsidR="0034007C">
        <w:t>over</w:t>
      </w:r>
      <w:r>
        <w:t xml:space="preserve"> 17,000 deaths</w:t>
      </w:r>
      <w:r w:rsidR="000B5521">
        <w:t xml:space="preserve">. </w:t>
      </w:r>
      <w:r>
        <w:t>CKD was the underly</w:t>
      </w:r>
      <w:r w:rsidR="0034007C">
        <w:t>ing cause of death in around 4,4</w:t>
      </w:r>
      <w:r>
        <w:t xml:space="preserve">00 deaths, and an associated </w:t>
      </w:r>
      <w:r w:rsidR="0034007C">
        <w:t>cause of death in a further 13,1</w:t>
      </w:r>
      <w:r>
        <w:t xml:space="preserve">00 deaths. </w:t>
      </w:r>
      <w:r w:rsidR="001963E7">
        <w:rPr>
          <w:rFonts w:ascii="Calibri" w:hAnsi="Calibri" w:cs="Calibri"/>
        </w:rPr>
        <w:t>Kidney disease is a significant cause of death with around 56 people dying every day with kidney-related disease,</w:t>
      </w:r>
      <w:r w:rsidR="001963E7">
        <w:rPr>
          <w:rStyle w:val="EndnoteReference"/>
          <w:rFonts w:ascii="Calibri" w:hAnsi="Calibri" w:cs="Calibri"/>
        </w:rPr>
        <w:endnoteReference w:id="17"/>
      </w:r>
      <w:r w:rsidR="001963E7">
        <w:rPr>
          <w:rFonts w:ascii="Calibri" w:hAnsi="Calibri" w:cs="Calibri"/>
        </w:rPr>
        <w:t xml:space="preserve"> more than breast cancer, prostate cancer, and road traffic accidents</w:t>
      </w:r>
      <w:r w:rsidR="000B5521">
        <w:rPr>
          <w:rFonts w:ascii="Calibri" w:hAnsi="Calibri" w:cs="Calibri"/>
        </w:rPr>
        <w:t xml:space="preserve"> combined</w:t>
      </w:r>
      <w:r w:rsidR="001963E7">
        <w:rPr>
          <w:rFonts w:ascii="Calibri" w:hAnsi="Calibri" w:cs="Calibri"/>
        </w:rPr>
        <w:t>. The mortality rate from CKD has not improved over the last decade</w:t>
      </w:r>
      <w:r w:rsidR="000B5521">
        <w:rPr>
          <w:rFonts w:ascii="Calibri" w:hAnsi="Calibri" w:cs="Calibri"/>
        </w:rPr>
        <w:t>. I</w:t>
      </w:r>
      <w:r w:rsidR="001963E7">
        <w:rPr>
          <w:rFonts w:ascii="Calibri" w:hAnsi="Calibri" w:cs="Calibri"/>
        </w:rPr>
        <w:t>n contrast death rates for cardiovascular disease and stroke are decreasing at a rate of</w:t>
      </w:r>
      <w:r w:rsidR="00ED08B6">
        <w:rPr>
          <w:rFonts w:ascii="Calibri" w:hAnsi="Calibri" w:cs="Calibri"/>
        </w:rPr>
        <w:t xml:space="preserve"> </w:t>
      </w:r>
      <w:r w:rsidR="001963E7">
        <w:rPr>
          <w:rFonts w:ascii="Calibri" w:hAnsi="Calibri" w:cs="Calibri"/>
        </w:rPr>
        <w:t>4.5% and 3.6% each year respectively.</w:t>
      </w:r>
      <w:r w:rsidR="001963E7">
        <w:rPr>
          <w:rStyle w:val="EndnoteReference"/>
          <w:rFonts w:ascii="Calibri" w:hAnsi="Calibri" w:cs="Calibri"/>
        </w:rPr>
        <w:endnoteReference w:id="18"/>
      </w:r>
      <w:r w:rsidR="001963E7" w:rsidRPr="001963E7">
        <w:t xml:space="preserve"> </w:t>
      </w:r>
      <w:r w:rsidR="001963E7">
        <w:t xml:space="preserve">For people who do </w:t>
      </w:r>
      <w:r w:rsidR="00F23CFB">
        <w:t xml:space="preserve">not </w:t>
      </w:r>
      <w:r w:rsidR="001963E7">
        <w:t xml:space="preserve">receive a transplant or go on to dialysis, the survival rate at five years is worse than most common </w:t>
      </w:r>
      <w:r w:rsidR="001963E7">
        <w:rPr>
          <w:rFonts w:ascii="Calibri" w:hAnsi="Calibri" w:cs="Calibri"/>
        </w:rPr>
        <w:t>cancers.</w:t>
      </w:r>
      <w:r w:rsidR="001963E7">
        <w:rPr>
          <w:rStyle w:val="EndnoteReference"/>
          <w:rFonts w:ascii="Calibri" w:hAnsi="Calibri" w:cs="Calibri"/>
        </w:rPr>
        <w:endnoteReference w:id="19"/>
      </w:r>
    </w:p>
    <w:p w14:paraId="253AA7E6" w14:textId="77777777" w:rsidR="00ED08B6" w:rsidRPr="00AA35C7" w:rsidRDefault="00ED08B6" w:rsidP="00AA35C7">
      <w:pPr>
        <w:autoSpaceDE w:val="0"/>
        <w:autoSpaceDN w:val="0"/>
        <w:adjustRightInd w:val="0"/>
        <w:rPr>
          <w:rFonts w:ascii="Calibri" w:hAnsi="Calibri" w:cs="Calibri"/>
        </w:rPr>
      </w:pPr>
    </w:p>
    <w:p w14:paraId="1B00F141" w14:textId="616B404D" w:rsidR="008E648F" w:rsidRPr="00FF54C9" w:rsidRDefault="008E648F" w:rsidP="00CD3E6A">
      <w:pPr>
        <w:pStyle w:val="Heading3"/>
        <w:rPr>
          <w:sz w:val="24"/>
        </w:rPr>
      </w:pPr>
      <w:r w:rsidRPr="00FF54C9">
        <w:rPr>
          <w:color w:val="C00000"/>
          <w:sz w:val="24"/>
        </w:rPr>
        <w:t>Psychosocial burden of kidney disease</w:t>
      </w:r>
    </w:p>
    <w:p w14:paraId="0E3400CA" w14:textId="154A48DB" w:rsidR="008E648F" w:rsidRDefault="008E648F" w:rsidP="008E648F">
      <w:pPr>
        <w:autoSpaceDE w:val="0"/>
        <w:autoSpaceDN w:val="0"/>
        <w:adjustRightInd w:val="0"/>
        <w:rPr>
          <w:rFonts w:ascii="Calibri" w:hAnsi="Calibri" w:cs="Calibri"/>
        </w:rPr>
      </w:pPr>
      <w:r>
        <w:rPr>
          <w:rFonts w:ascii="Calibri" w:hAnsi="Calibri" w:cs="Calibri"/>
        </w:rPr>
        <w:t xml:space="preserve">People living with kidney disease, in particular those with ESKD </w:t>
      </w:r>
      <w:r w:rsidR="00150DC8">
        <w:rPr>
          <w:rStyle w:val="EndnoteReference"/>
          <w:rFonts w:ascii="Calibri" w:hAnsi="Calibri" w:cs="Calibri"/>
        </w:rPr>
        <w:endnoteReference w:id="20"/>
      </w:r>
      <w:r w:rsidR="000D6FA5">
        <w:rPr>
          <w:rFonts w:ascii="Calibri" w:hAnsi="Calibri" w:cs="Calibri"/>
        </w:rPr>
        <w:t xml:space="preserve"> </w:t>
      </w:r>
      <w:r>
        <w:rPr>
          <w:rFonts w:ascii="Calibri" w:hAnsi="Calibri" w:cs="Calibri"/>
        </w:rPr>
        <w:t>but also earlier stages of CKD, suffer severe and debilitating psychological burden, in addition to and exacerbating the physical symptom burden</w:t>
      </w:r>
      <w:r w:rsidR="00150DC8">
        <w:rPr>
          <w:rFonts w:ascii="Calibri" w:hAnsi="Calibri" w:cs="Calibri"/>
        </w:rPr>
        <w:t>.</w:t>
      </w:r>
      <w:r w:rsidR="00150DC8">
        <w:rPr>
          <w:rStyle w:val="EndnoteReference"/>
          <w:rFonts w:ascii="Calibri" w:hAnsi="Calibri" w:cs="Calibri"/>
        </w:rPr>
        <w:endnoteReference w:id="21"/>
      </w:r>
      <w:r>
        <w:rPr>
          <w:rFonts w:ascii="Calibri" w:hAnsi="Calibri" w:cs="Calibri"/>
        </w:rPr>
        <w:t xml:space="preserve"> </w:t>
      </w:r>
    </w:p>
    <w:p w14:paraId="7C0F055E" w14:textId="77777777" w:rsidR="008E648F" w:rsidRDefault="008E648F" w:rsidP="008E648F">
      <w:pPr>
        <w:autoSpaceDE w:val="0"/>
        <w:autoSpaceDN w:val="0"/>
        <w:adjustRightInd w:val="0"/>
        <w:rPr>
          <w:rFonts w:ascii="Calibri" w:hAnsi="Calibri" w:cs="Calibri"/>
        </w:rPr>
      </w:pPr>
    </w:p>
    <w:p w14:paraId="674DEBFF" w14:textId="342698F3" w:rsidR="008E648F" w:rsidRDefault="008E648F" w:rsidP="008E648F">
      <w:pPr>
        <w:autoSpaceDE w:val="0"/>
        <w:autoSpaceDN w:val="0"/>
        <w:adjustRightInd w:val="0"/>
        <w:rPr>
          <w:rFonts w:ascii="Calibri" w:hAnsi="Calibri" w:cs="Calibri"/>
        </w:rPr>
      </w:pPr>
      <w:r>
        <w:rPr>
          <w:rFonts w:ascii="Calibri" w:hAnsi="Calibri" w:cs="Calibri"/>
        </w:rPr>
        <w:t>The psychosocial and emotional distress stems from a number of factors including:</w:t>
      </w:r>
      <w:r w:rsidRPr="00882B26">
        <w:rPr>
          <w:rFonts w:ascii="Calibri" w:hAnsi="Calibri" w:cs="Calibri"/>
        </w:rPr>
        <w:t xml:space="preserve"> physical and functional ef</w:t>
      </w:r>
      <w:r>
        <w:rPr>
          <w:rFonts w:ascii="Calibri" w:hAnsi="Calibri" w:cs="Calibri"/>
        </w:rPr>
        <w:t>fects of kidney failure and RRT,</w:t>
      </w:r>
      <w:r w:rsidRPr="00882B26">
        <w:rPr>
          <w:rFonts w:ascii="Calibri" w:hAnsi="Calibri" w:cs="Calibri"/>
        </w:rPr>
        <w:t xml:space="preserve"> large burden of </w:t>
      </w:r>
      <w:r>
        <w:rPr>
          <w:rFonts w:ascii="Calibri" w:hAnsi="Calibri" w:cs="Calibri"/>
        </w:rPr>
        <w:t xml:space="preserve">physical symptoms, </w:t>
      </w:r>
      <w:r w:rsidRPr="0042240F">
        <w:rPr>
          <w:rFonts w:ascii="Calibri" w:hAnsi="Calibri" w:cs="Calibri"/>
        </w:rPr>
        <w:t>impairment in quality of life (QOL),</w:t>
      </w:r>
      <w:r>
        <w:rPr>
          <w:rFonts w:ascii="Calibri" w:hAnsi="Calibri" w:cs="Calibri"/>
        </w:rPr>
        <w:t xml:space="preserve"> cognitive impairment, </w:t>
      </w:r>
      <w:r w:rsidRPr="00882B26">
        <w:rPr>
          <w:rFonts w:ascii="Calibri" w:hAnsi="Calibri" w:cs="Calibri"/>
        </w:rPr>
        <w:t>dependence on a chro</w:t>
      </w:r>
      <w:r>
        <w:rPr>
          <w:rFonts w:ascii="Calibri" w:hAnsi="Calibri" w:cs="Calibri"/>
        </w:rPr>
        <w:t xml:space="preserve">nic life-sustaining treatment, </w:t>
      </w:r>
      <w:r w:rsidRPr="00882B26">
        <w:rPr>
          <w:rFonts w:ascii="Calibri" w:hAnsi="Calibri" w:cs="Calibri"/>
        </w:rPr>
        <w:t>loss of vocational capacity</w:t>
      </w:r>
      <w:r>
        <w:rPr>
          <w:rFonts w:ascii="Calibri" w:hAnsi="Calibri" w:cs="Calibri"/>
        </w:rPr>
        <w:t xml:space="preserve">, financial stress, and </w:t>
      </w:r>
      <w:r w:rsidRPr="00882B26">
        <w:rPr>
          <w:rFonts w:ascii="Calibri" w:hAnsi="Calibri" w:cs="Calibri"/>
        </w:rPr>
        <w:t xml:space="preserve">unfavourable effects on </w:t>
      </w:r>
      <w:r>
        <w:rPr>
          <w:rFonts w:ascii="Calibri" w:hAnsi="Calibri" w:cs="Calibri"/>
        </w:rPr>
        <w:t>marital and familial roles and social support. The burden is not limited to the patient but extends to their carers and family</w:t>
      </w:r>
      <w:r w:rsidR="00C96E3A">
        <w:rPr>
          <w:rFonts w:ascii="Calibri" w:hAnsi="Calibri" w:cs="Calibri"/>
        </w:rPr>
        <w:t>.</w:t>
      </w:r>
      <w:r w:rsidR="00150DC8">
        <w:rPr>
          <w:rStyle w:val="EndnoteReference"/>
          <w:rFonts w:ascii="Calibri" w:hAnsi="Calibri" w:cs="Calibri"/>
        </w:rPr>
        <w:endnoteReference w:id="22"/>
      </w:r>
    </w:p>
    <w:p w14:paraId="3363716D" w14:textId="77777777" w:rsidR="008E648F" w:rsidRDefault="008E648F" w:rsidP="008E648F">
      <w:pPr>
        <w:autoSpaceDE w:val="0"/>
        <w:autoSpaceDN w:val="0"/>
        <w:adjustRightInd w:val="0"/>
        <w:rPr>
          <w:rFonts w:ascii="Calibri" w:hAnsi="Calibri" w:cs="Calibri"/>
        </w:rPr>
      </w:pPr>
    </w:p>
    <w:p w14:paraId="5A3DE13A" w14:textId="257A523A" w:rsidR="008E648F" w:rsidRDefault="008E648F" w:rsidP="007A4CFE">
      <w:pPr>
        <w:autoSpaceDE w:val="0"/>
        <w:autoSpaceDN w:val="0"/>
        <w:adjustRightInd w:val="0"/>
        <w:rPr>
          <w:rFonts w:ascii="Calibri" w:hAnsi="Calibri" w:cs="Calibri"/>
        </w:rPr>
      </w:pPr>
      <w:r>
        <w:rPr>
          <w:rFonts w:ascii="Calibri" w:hAnsi="Calibri" w:cs="Calibri"/>
        </w:rPr>
        <w:t>Whilst the psychosocial burden of living with CKD is increasing being recognised, in particular through patient reported outcome measures</w:t>
      </w:r>
      <w:r w:rsidR="00C96E3A">
        <w:rPr>
          <w:rFonts w:ascii="Calibri" w:hAnsi="Calibri" w:cs="Calibri"/>
        </w:rPr>
        <w:t>,</w:t>
      </w:r>
      <w:r w:rsidR="00A8034B">
        <w:rPr>
          <w:rStyle w:val="EndnoteReference"/>
          <w:rFonts w:ascii="Calibri" w:hAnsi="Calibri" w:cs="Calibri"/>
        </w:rPr>
        <w:endnoteReference w:id="23"/>
      </w:r>
      <w:r>
        <w:rPr>
          <w:rFonts w:ascii="Calibri" w:hAnsi="Calibri" w:cs="Calibri"/>
        </w:rPr>
        <w:t xml:space="preserve"> the emphasis is still very much on the physical care.</w:t>
      </w:r>
      <w:r w:rsidR="00A8034B">
        <w:rPr>
          <w:rStyle w:val="EndnoteReference"/>
          <w:rFonts w:ascii="Calibri" w:hAnsi="Calibri" w:cs="Calibri"/>
        </w:rPr>
        <w:endnoteReference w:id="24"/>
      </w:r>
      <w:r>
        <w:rPr>
          <w:rFonts w:ascii="Calibri" w:hAnsi="Calibri" w:cs="Calibri"/>
        </w:rPr>
        <w:t xml:space="preserve"> </w:t>
      </w:r>
    </w:p>
    <w:p w14:paraId="0789044B" w14:textId="77777777" w:rsidR="007A4CFE" w:rsidRPr="007A4CFE" w:rsidRDefault="007A4CFE" w:rsidP="007A4CFE">
      <w:pPr>
        <w:autoSpaceDE w:val="0"/>
        <w:autoSpaceDN w:val="0"/>
        <w:adjustRightInd w:val="0"/>
        <w:rPr>
          <w:rFonts w:ascii="Calibri" w:hAnsi="Calibri" w:cs="Calibri"/>
        </w:rPr>
      </w:pPr>
    </w:p>
    <w:p w14:paraId="31B1F6DF" w14:textId="12F64776" w:rsidR="00515E95" w:rsidRPr="00FF54C9" w:rsidRDefault="00515E95" w:rsidP="00CD3E6A">
      <w:pPr>
        <w:pStyle w:val="Heading3"/>
        <w:rPr>
          <w:sz w:val="24"/>
        </w:rPr>
      </w:pPr>
      <w:r w:rsidRPr="00FF54C9">
        <w:rPr>
          <w:color w:val="C00000"/>
          <w:sz w:val="24"/>
        </w:rPr>
        <w:t xml:space="preserve">Economic </w:t>
      </w:r>
      <w:r w:rsidR="001963E7" w:rsidRPr="00FF54C9">
        <w:rPr>
          <w:color w:val="C00000"/>
          <w:sz w:val="24"/>
        </w:rPr>
        <w:t xml:space="preserve">burden </w:t>
      </w:r>
      <w:r w:rsidRPr="00FF54C9">
        <w:rPr>
          <w:color w:val="C00000"/>
          <w:sz w:val="24"/>
        </w:rPr>
        <w:t>of kidney disease</w:t>
      </w:r>
    </w:p>
    <w:p w14:paraId="7178C919" w14:textId="4D9D3951" w:rsidR="00E81858" w:rsidRDefault="00951A46" w:rsidP="000778C7">
      <w:pPr>
        <w:autoSpaceDE w:val="0"/>
        <w:autoSpaceDN w:val="0"/>
        <w:adjustRightInd w:val="0"/>
        <w:rPr>
          <w:rFonts w:ascii="Calibri" w:hAnsi="Calibri" w:cs="Calibri"/>
        </w:rPr>
      </w:pPr>
      <w:r>
        <w:t>CKD</w:t>
      </w:r>
      <w:r w:rsidR="00B56845" w:rsidRPr="002523E0">
        <w:t xml:space="preserve"> is a considerable burden on Australian society. </w:t>
      </w:r>
      <w:r w:rsidR="00515E95" w:rsidRPr="002523E0">
        <w:t>In 2012 the total costs attributable solely to CKD in Australia were an estimated $4.1 billion, made up of $2.5 billion in direct healthcare costs, $700 million in direct non-healthcare costs, and $900 million in government subsidies</w:t>
      </w:r>
      <w:r w:rsidR="00E90506">
        <w:t>.</w:t>
      </w:r>
      <w:r w:rsidR="00E81858">
        <w:rPr>
          <w:rStyle w:val="EndnoteReference"/>
          <w:rFonts w:ascii="Calibri" w:hAnsi="Calibri" w:cs="Calibri"/>
        </w:rPr>
        <w:endnoteReference w:id="25"/>
      </w:r>
      <w:r w:rsidR="00E81858">
        <w:rPr>
          <w:rFonts w:ascii="Calibri" w:hAnsi="Calibri" w:cs="Calibri"/>
        </w:rPr>
        <w:t xml:space="preserve"> </w:t>
      </w:r>
      <w:r w:rsidR="000778C7" w:rsidRPr="000778C7">
        <w:rPr>
          <w:rFonts w:ascii="Calibri" w:hAnsi="Calibri" w:cs="Calibri"/>
        </w:rPr>
        <w:t xml:space="preserve">Note that these costs are for pre end-stage kidney disease </w:t>
      </w:r>
      <w:r w:rsidR="000778C7">
        <w:rPr>
          <w:rFonts w:ascii="Calibri" w:hAnsi="Calibri" w:cs="Calibri"/>
        </w:rPr>
        <w:t xml:space="preserve">(ESKD) </w:t>
      </w:r>
      <w:r w:rsidR="000778C7" w:rsidRPr="000778C7">
        <w:rPr>
          <w:rFonts w:ascii="Calibri" w:hAnsi="Calibri" w:cs="Calibri"/>
        </w:rPr>
        <w:t>only, as people receiving dialysis or transplant were excluded</w:t>
      </w:r>
      <w:r w:rsidR="000778C7">
        <w:rPr>
          <w:rFonts w:ascii="Calibri" w:hAnsi="Calibri" w:cs="Calibri"/>
        </w:rPr>
        <w:t xml:space="preserve"> from these cost estimates. </w:t>
      </w:r>
      <w:r w:rsidR="000778C7" w:rsidRPr="000778C7">
        <w:rPr>
          <w:rFonts w:ascii="Calibri" w:hAnsi="Calibri" w:cs="Calibri"/>
        </w:rPr>
        <w:t>In Australia, dialysis and transplantation for ESKD are estimated to cost over $1 billion each year.</w:t>
      </w:r>
      <w:r w:rsidR="007B5558">
        <w:rPr>
          <w:rStyle w:val="EndnoteReference"/>
          <w:rFonts w:ascii="Calibri" w:hAnsi="Calibri" w:cs="Calibri"/>
        </w:rPr>
        <w:endnoteReference w:id="26"/>
      </w:r>
    </w:p>
    <w:p w14:paraId="27157E07" w14:textId="77777777" w:rsidR="00E81858" w:rsidRDefault="00E81858" w:rsidP="00B56845">
      <w:pPr>
        <w:autoSpaceDE w:val="0"/>
        <w:autoSpaceDN w:val="0"/>
        <w:adjustRightInd w:val="0"/>
        <w:rPr>
          <w:rFonts w:ascii="Calibri" w:hAnsi="Calibri" w:cs="Calibri"/>
        </w:rPr>
      </w:pPr>
    </w:p>
    <w:p w14:paraId="7E909D9E" w14:textId="52DE208A" w:rsidR="00E81858" w:rsidRDefault="00E81858" w:rsidP="003853FB">
      <w:pPr>
        <w:autoSpaceDE w:val="0"/>
        <w:autoSpaceDN w:val="0"/>
        <w:adjustRightInd w:val="0"/>
        <w:rPr>
          <w:rFonts w:ascii="AdelleSans" w:hAnsi="AdelleSans" w:cs="AdelleSans"/>
          <w:szCs w:val="20"/>
        </w:rPr>
      </w:pPr>
      <w:r w:rsidRPr="002523E0">
        <w:t xml:space="preserve">Much of these costs relate to dialysis. Of the 10.2 million admissions to hospitals in 2014-15, dialysis for </w:t>
      </w:r>
      <w:r w:rsidR="000778C7">
        <w:t>ESKD</w:t>
      </w:r>
      <w:r w:rsidRPr="002523E0">
        <w:t xml:space="preserve"> was the most common single reason for care (over 1.3 million admissions). Dialysis currently represents 13% of </w:t>
      </w:r>
      <w:r w:rsidRPr="002523E0">
        <w:lastRenderedPageBreak/>
        <w:t>hospitalisations in Australia. Between 2010-11 and 2014-15, admissions for dialysis increased by 3.6 per cent on average each year</w:t>
      </w:r>
      <w:r w:rsidR="00E90506">
        <w:t>.</w:t>
      </w:r>
      <w:r>
        <w:rPr>
          <w:rStyle w:val="EndnoteReference"/>
          <w:rFonts w:ascii="AdelleSans" w:hAnsi="AdelleSans" w:cs="AdelleSans"/>
          <w:szCs w:val="20"/>
        </w:rPr>
        <w:endnoteReference w:id="27"/>
      </w:r>
    </w:p>
    <w:p w14:paraId="78BC5170" w14:textId="77777777" w:rsidR="00E81858" w:rsidRPr="003853FB" w:rsidRDefault="00E81858" w:rsidP="003853FB">
      <w:pPr>
        <w:autoSpaceDE w:val="0"/>
        <w:autoSpaceDN w:val="0"/>
        <w:adjustRightInd w:val="0"/>
        <w:rPr>
          <w:rFonts w:ascii="AdelleSans" w:hAnsi="AdelleSans" w:cs="AdelleSans"/>
          <w:szCs w:val="20"/>
        </w:rPr>
      </w:pPr>
    </w:p>
    <w:p w14:paraId="65717371" w14:textId="6C2825ED" w:rsidR="00E81858" w:rsidRDefault="00E81858" w:rsidP="00515E95">
      <w:pPr>
        <w:autoSpaceDE w:val="0"/>
        <w:autoSpaceDN w:val="0"/>
        <w:adjustRightInd w:val="0"/>
        <w:rPr>
          <w:rFonts w:ascii="Calibri" w:hAnsi="Calibri" w:cs="Calibri"/>
        </w:rPr>
      </w:pPr>
      <w:r w:rsidRPr="002523E0">
        <w:t>Furthermore, the cumulative cost of treating all current and new cases of ESKD from 2009 to 2020 is estimated to be between approximately $11.3 billion and $12.3 billion</w:t>
      </w:r>
      <w:r w:rsidR="0007124E">
        <w:rPr>
          <w:rStyle w:val="EndnoteReference"/>
        </w:rPr>
        <w:endnoteReference w:id="28"/>
      </w:r>
      <w:r w:rsidR="00C96E3A">
        <w:t>.</w:t>
      </w:r>
      <w:r>
        <w:rPr>
          <w:rFonts w:ascii="Calibri" w:hAnsi="Calibri" w:cs="Calibri"/>
        </w:rPr>
        <w:t xml:space="preserve"> Individuals with CKD incur 85% higher healthcare costs and 50% higher government subsidies than individuals without CKD, and costs increase by CKD stage</w:t>
      </w:r>
      <w:r w:rsidR="00E90506">
        <w:rPr>
          <w:rFonts w:ascii="Calibri" w:hAnsi="Calibri" w:cs="Calibri"/>
        </w:rPr>
        <w:t>.</w:t>
      </w:r>
      <w:r>
        <w:rPr>
          <w:rStyle w:val="EndnoteReference"/>
          <w:rFonts w:ascii="Calibri" w:hAnsi="Calibri" w:cs="Calibri"/>
        </w:rPr>
        <w:endnoteReference w:id="29"/>
      </w:r>
      <w:r w:rsidR="00E90506">
        <w:rPr>
          <w:rFonts w:ascii="Calibri" w:hAnsi="Calibri" w:cs="Calibri"/>
        </w:rPr>
        <w:t xml:space="preserve"> These costs are set to grow</w:t>
      </w:r>
      <w:r>
        <w:rPr>
          <w:rFonts w:ascii="Calibri" w:hAnsi="Calibri" w:cs="Calibri"/>
        </w:rPr>
        <w:t>, with the rate of people starting dialysis or transplant expected to increase by 80 percent by 2020 – rising from 11 to 19 per 100,000 of the Australian population</w:t>
      </w:r>
      <w:r w:rsidR="00E90506">
        <w:rPr>
          <w:rFonts w:ascii="Calibri" w:hAnsi="Calibri" w:cs="Calibri"/>
        </w:rPr>
        <w:t>.</w:t>
      </w:r>
      <w:r w:rsidR="0007124E">
        <w:rPr>
          <w:rStyle w:val="EndnoteReference"/>
          <w:rFonts w:ascii="Calibri" w:hAnsi="Calibri" w:cs="Calibri"/>
        </w:rPr>
        <w:t>28</w:t>
      </w:r>
    </w:p>
    <w:p w14:paraId="6690F60F" w14:textId="77777777" w:rsidR="00E81858" w:rsidRDefault="00E81858" w:rsidP="00515E95">
      <w:pPr>
        <w:autoSpaceDE w:val="0"/>
        <w:autoSpaceDN w:val="0"/>
        <w:adjustRightInd w:val="0"/>
        <w:rPr>
          <w:rFonts w:ascii="Calibri" w:hAnsi="Calibri" w:cs="Calibri"/>
        </w:rPr>
      </w:pPr>
    </w:p>
    <w:p w14:paraId="7694494A" w14:textId="7C90470F" w:rsidR="00E81858" w:rsidRDefault="00E81858" w:rsidP="00515E95">
      <w:pPr>
        <w:autoSpaceDE w:val="0"/>
        <w:autoSpaceDN w:val="0"/>
        <w:adjustRightInd w:val="0"/>
        <w:rPr>
          <w:rFonts w:ascii="Calibri" w:hAnsi="Calibri" w:cs="Calibri"/>
        </w:rPr>
      </w:pPr>
      <w:r>
        <w:rPr>
          <w:rFonts w:ascii="Calibri" w:hAnsi="Calibri" w:cs="Calibri"/>
        </w:rPr>
        <w:t>Approximately 70 percent of people dialyse in a hospital or satellite dialysis unit and 30 percent at home.</w:t>
      </w:r>
      <w:r>
        <w:rPr>
          <w:rStyle w:val="EndnoteReference"/>
          <w:rFonts w:ascii="Calibri" w:hAnsi="Calibri" w:cs="Calibri"/>
        </w:rPr>
        <w:endnoteReference w:id="30"/>
      </w:r>
      <w:r w:rsidR="00E90506">
        <w:rPr>
          <w:rFonts w:ascii="Calibri" w:hAnsi="Calibri" w:cs="Calibri"/>
        </w:rPr>
        <w:t xml:space="preserve"> </w:t>
      </w:r>
      <w:r>
        <w:rPr>
          <w:rFonts w:ascii="Calibri" w:hAnsi="Calibri" w:cs="Calibri"/>
        </w:rPr>
        <w:t>With dialysis estimated to cost up to $79,072 per person per year for hospital haemodialysis, $65,315 for satellite, $49,137 for home haemodialysis and $53,112 for peritoneal dialysis (2009 prices), dialysis is clearly an expensive treatment. Despite the cost effectiveness to government and potential health benefits of home dialysis (peritoneal dialysis and home haemodialysis) for the patient, there are significant state-by-state variations in uptake</w:t>
      </w:r>
      <w:r w:rsidR="007A4CFE">
        <w:rPr>
          <w:rFonts w:ascii="Calibri" w:hAnsi="Calibri" w:cs="Calibri"/>
        </w:rPr>
        <w:t>.</w:t>
      </w:r>
    </w:p>
    <w:p w14:paraId="69D702E6" w14:textId="77777777" w:rsidR="00492DFB" w:rsidRDefault="00492DFB" w:rsidP="00515E95">
      <w:pPr>
        <w:autoSpaceDE w:val="0"/>
        <w:autoSpaceDN w:val="0"/>
        <w:adjustRightInd w:val="0"/>
        <w:rPr>
          <w:rFonts w:ascii="Calibri" w:hAnsi="Calibri" w:cs="Calibri"/>
        </w:rPr>
      </w:pPr>
    </w:p>
    <w:p w14:paraId="7B50A97B" w14:textId="77777777" w:rsidR="00482C48" w:rsidRDefault="00482C48" w:rsidP="00515E95">
      <w:pPr>
        <w:autoSpaceDE w:val="0"/>
        <w:autoSpaceDN w:val="0"/>
        <w:adjustRightInd w:val="0"/>
        <w:rPr>
          <w:rFonts w:ascii="Calibri" w:hAnsi="Calibri" w:cs="Calibri"/>
        </w:rPr>
      </w:pPr>
    </w:p>
    <w:p w14:paraId="27D57CD1" w14:textId="548513D0" w:rsidR="00165F9E" w:rsidRDefault="00165F9E" w:rsidP="00AA35C7">
      <w:pPr>
        <w:rPr>
          <w:color w:val="FF0000"/>
          <w:sz w:val="28"/>
          <w:szCs w:val="28"/>
        </w:rPr>
        <w:sectPr w:rsidR="00165F9E" w:rsidSect="00BE42C0">
          <w:endnotePr>
            <w:numFmt w:val="decimal"/>
          </w:endnotePr>
          <w:pgSz w:w="11906" w:h="16838"/>
          <w:pgMar w:top="1440" w:right="1440" w:bottom="1440" w:left="1440" w:header="708" w:footer="708" w:gutter="0"/>
          <w:cols w:space="708"/>
          <w:docGrid w:linePitch="360"/>
        </w:sectPr>
      </w:pPr>
    </w:p>
    <w:p w14:paraId="2A7A5957" w14:textId="5F771283" w:rsidR="00F23CFB" w:rsidRPr="00F733A4" w:rsidRDefault="00F23CFB" w:rsidP="00CD3E6A">
      <w:pPr>
        <w:pStyle w:val="Heading1"/>
        <w:rPr>
          <w:color w:val="C00000"/>
        </w:rPr>
      </w:pPr>
      <w:r w:rsidRPr="00F733A4">
        <w:rPr>
          <w:color w:val="C00000"/>
        </w:rPr>
        <w:lastRenderedPageBreak/>
        <w:t>Evidence Base</w:t>
      </w:r>
    </w:p>
    <w:p w14:paraId="760E12EA" w14:textId="77777777" w:rsidR="00711E80" w:rsidRPr="00F733A4" w:rsidRDefault="00711E80" w:rsidP="00711E80">
      <w:pPr>
        <w:rPr>
          <w:color w:val="C00000"/>
        </w:rPr>
      </w:pPr>
    </w:p>
    <w:p w14:paraId="1D6D7AB6" w14:textId="0393AC66" w:rsidR="00711E80" w:rsidRPr="00F733A4" w:rsidRDefault="00792A6D" w:rsidP="00FB7CC4">
      <w:pPr>
        <w:pStyle w:val="Heading2"/>
        <w:rPr>
          <w:color w:val="C00000"/>
        </w:rPr>
      </w:pPr>
      <w:r w:rsidRPr="00F733A4">
        <w:rPr>
          <w:color w:val="C00000"/>
        </w:rPr>
        <w:t>Priority 1.  Prevention, Detection and Education</w:t>
      </w:r>
    </w:p>
    <w:p w14:paraId="5349742F" w14:textId="77777777" w:rsidR="00792A6D" w:rsidRPr="00792A6D" w:rsidRDefault="00792A6D" w:rsidP="00792A6D"/>
    <w:p w14:paraId="593453BF" w14:textId="599F0316" w:rsidR="00B019B2" w:rsidRPr="00FF54C9" w:rsidRDefault="00512926" w:rsidP="00B019B2">
      <w:pPr>
        <w:pStyle w:val="Heading3"/>
        <w:rPr>
          <w:color w:val="C00000"/>
          <w:sz w:val="24"/>
        </w:rPr>
      </w:pPr>
      <w:r w:rsidRPr="00FF54C9">
        <w:rPr>
          <w:color w:val="C00000"/>
          <w:sz w:val="24"/>
        </w:rPr>
        <w:t xml:space="preserve">1.1 </w:t>
      </w:r>
      <w:r w:rsidR="00E81858" w:rsidRPr="00FF54C9">
        <w:rPr>
          <w:color w:val="C00000"/>
          <w:sz w:val="24"/>
        </w:rPr>
        <w:t xml:space="preserve">Develop a nationally coordinated approach to increase the effectiveness of </w:t>
      </w:r>
      <w:r w:rsidR="0034007C" w:rsidRPr="00FF54C9">
        <w:rPr>
          <w:color w:val="C00000"/>
          <w:sz w:val="24"/>
        </w:rPr>
        <w:t xml:space="preserve">prevention the prevention of </w:t>
      </w:r>
      <w:r w:rsidR="00E81858" w:rsidRPr="00FF54C9">
        <w:rPr>
          <w:color w:val="C00000"/>
          <w:sz w:val="24"/>
        </w:rPr>
        <w:t xml:space="preserve">chronic </w:t>
      </w:r>
      <w:r w:rsidR="0034007C" w:rsidRPr="00FF54C9">
        <w:rPr>
          <w:color w:val="C00000"/>
          <w:sz w:val="24"/>
        </w:rPr>
        <w:t>conditions</w:t>
      </w:r>
      <w:r w:rsidR="00E81858" w:rsidRPr="00FF54C9">
        <w:rPr>
          <w:color w:val="C00000"/>
          <w:sz w:val="24"/>
        </w:rPr>
        <w:t xml:space="preserve"> in Australia </w:t>
      </w:r>
    </w:p>
    <w:p w14:paraId="393298ED" w14:textId="1126247F" w:rsidR="0007535A" w:rsidRPr="0007535A" w:rsidRDefault="00E81858" w:rsidP="00101E41">
      <w:pPr>
        <w:pStyle w:val="ListBullet"/>
      </w:pPr>
      <w:r w:rsidRPr="0007535A">
        <w:t xml:space="preserve">Chronic </w:t>
      </w:r>
      <w:r w:rsidR="0034007C">
        <w:t>conditions</w:t>
      </w:r>
      <w:r w:rsidRPr="0007535A">
        <w:t xml:space="preserve"> are the main causes of premature death and illness in Australia, responsible for two thirds of the country’s burden of disease. </w:t>
      </w:r>
    </w:p>
    <w:p w14:paraId="43F0E19B" w14:textId="2D613354" w:rsidR="00E81858" w:rsidRPr="00AA35C7" w:rsidRDefault="00E81858" w:rsidP="00101E41">
      <w:pPr>
        <w:pStyle w:val="ListBullet"/>
      </w:pPr>
      <w:r w:rsidRPr="0007535A">
        <w:t xml:space="preserve">Australia is ranked 16th out of 31 </w:t>
      </w:r>
      <w:r w:rsidR="00C92231" w:rsidRPr="00C92231">
        <w:t>Organisation for Economic</w:t>
      </w:r>
      <w:r w:rsidR="00C92231">
        <w:t xml:space="preserve"> </w:t>
      </w:r>
      <w:r w:rsidR="00C92231" w:rsidRPr="00AA35C7">
        <w:t xml:space="preserve">Co-operation and Development </w:t>
      </w:r>
      <w:r w:rsidRPr="00AA35C7">
        <w:t>countries for per capita expenditure for preventive health, with only 1.7 percent of health care expenditure going to prevention and public health.</w:t>
      </w:r>
      <w:r w:rsidRPr="0007535A">
        <w:rPr>
          <w:rStyle w:val="EndnoteReference"/>
          <w:rFonts w:cstheme="minorHAnsi"/>
          <w:bCs/>
        </w:rPr>
        <w:endnoteReference w:id="31"/>
      </w:r>
      <w:r w:rsidRPr="00AA35C7">
        <w:t xml:space="preserve"> </w:t>
      </w:r>
    </w:p>
    <w:p w14:paraId="4121ED11" w14:textId="2A9D11B2" w:rsidR="00E81858" w:rsidRDefault="00E81858" w:rsidP="00C22139">
      <w:pPr>
        <w:pStyle w:val="ListBullet"/>
      </w:pPr>
      <w:r w:rsidRPr="0007535A">
        <w:t>Australia’s success in smoking cessation policy demonstrates the impact of a coordinated, multi-tiered approach. A national strategy, underpinned by regulation, education, health promotion and supportive health systems has resulted in significant reductions in smoking rates over the past few decades.</w:t>
      </w:r>
    </w:p>
    <w:p w14:paraId="66BCB24D" w14:textId="77777777" w:rsidR="006E03C1" w:rsidRPr="006E03C1" w:rsidRDefault="006E03C1" w:rsidP="00C22139">
      <w:pPr>
        <w:pStyle w:val="ListBullet"/>
      </w:pPr>
    </w:p>
    <w:p w14:paraId="3D8933ED" w14:textId="5399E8D5" w:rsidR="00B019B2" w:rsidRPr="0007535A" w:rsidRDefault="0007535A" w:rsidP="004B1EC6">
      <w:pPr>
        <w:pStyle w:val="KidneyBodyBold"/>
      </w:pPr>
      <w:r w:rsidRPr="0007535A">
        <w:t>Obesity</w:t>
      </w:r>
    </w:p>
    <w:p w14:paraId="17D301C7" w14:textId="4456FFAD" w:rsidR="0007535A" w:rsidRPr="0007535A" w:rsidRDefault="00E81858" w:rsidP="003F15DD">
      <w:pPr>
        <w:pStyle w:val="ListParagraph"/>
        <w:numPr>
          <w:ilvl w:val="0"/>
          <w:numId w:val="3"/>
        </w:numPr>
        <w:ind w:right="96"/>
        <w:rPr>
          <w:rFonts w:cstheme="minorHAnsi"/>
          <w:bCs/>
        </w:rPr>
      </w:pPr>
      <w:r w:rsidRPr="0007535A">
        <w:rPr>
          <w:rFonts w:cstheme="minorHAnsi"/>
          <w:bCs/>
        </w:rPr>
        <w:t>There has been a significant increase in processed, energy dense, nutrient poor food consumption in children and adults over the past three decades.  Today over two thirds of the Australian population are overweight or obese</w:t>
      </w:r>
      <w:r w:rsidR="00E90506">
        <w:rPr>
          <w:rFonts w:cstheme="minorHAnsi"/>
          <w:bCs/>
        </w:rPr>
        <w:t>.</w:t>
      </w:r>
      <w:r w:rsidRPr="0007535A">
        <w:rPr>
          <w:rStyle w:val="EndnoteReference"/>
          <w:rFonts w:cstheme="minorHAnsi"/>
          <w:bCs/>
        </w:rPr>
        <w:endnoteReference w:id="32"/>
      </w:r>
      <w:r w:rsidRPr="0007535A">
        <w:rPr>
          <w:rFonts w:cstheme="minorHAnsi"/>
          <w:bCs/>
        </w:rPr>
        <w:t xml:space="preserve"> </w:t>
      </w:r>
    </w:p>
    <w:p w14:paraId="040B7985" w14:textId="5C5AC04F" w:rsidR="0007535A" w:rsidRPr="0007535A" w:rsidRDefault="00E81858" w:rsidP="003F15DD">
      <w:pPr>
        <w:pStyle w:val="ListParagraph"/>
        <w:numPr>
          <w:ilvl w:val="0"/>
          <w:numId w:val="3"/>
        </w:numPr>
        <w:ind w:right="96"/>
        <w:rPr>
          <w:rFonts w:cstheme="minorHAnsi"/>
          <w:bCs/>
        </w:rPr>
      </w:pPr>
      <w:r w:rsidRPr="0007535A">
        <w:rPr>
          <w:rFonts w:cstheme="minorHAnsi"/>
          <w:bCs/>
        </w:rPr>
        <w:t>Obesity is an independent risk factor for CKD. An estimated one-third of CKD cases in Australia are related to excess weight, and obesity doubles the risk of developing CKD in comparison to someone of healthy weight</w:t>
      </w:r>
      <w:r w:rsidR="00E90506">
        <w:rPr>
          <w:rFonts w:cstheme="minorHAnsi"/>
          <w:bCs/>
        </w:rPr>
        <w:t>.</w:t>
      </w:r>
      <w:r w:rsidRPr="0007535A">
        <w:rPr>
          <w:rStyle w:val="EndnoteReference"/>
          <w:rFonts w:cstheme="minorHAnsi"/>
          <w:bCs/>
        </w:rPr>
        <w:endnoteReference w:id="33"/>
      </w:r>
      <w:r w:rsidRPr="0007535A">
        <w:rPr>
          <w:rFonts w:cstheme="minorHAnsi"/>
          <w:bCs/>
        </w:rPr>
        <w:t xml:space="preserve"> </w:t>
      </w:r>
    </w:p>
    <w:p w14:paraId="5EB6D75F" w14:textId="4DA0475D" w:rsidR="0007535A" w:rsidRPr="0007535A" w:rsidRDefault="00E81858" w:rsidP="003F15DD">
      <w:pPr>
        <w:pStyle w:val="ListParagraph"/>
        <w:numPr>
          <w:ilvl w:val="0"/>
          <w:numId w:val="3"/>
        </w:numPr>
        <w:ind w:right="96"/>
        <w:rPr>
          <w:rFonts w:cstheme="minorHAnsi"/>
          <w:bCs/>
        </w:rPr>
      </w:pPr>
      <w:r w:rsidRPr="0007535A">
        <w:rPr>
          <w:rFonts w:cstheme="minorHAnsi"/>
          <w:bCs/>
        </w:rPr>
        <w:t xml:space="preserve">Obesity also increases the risk of developing diabetes and high blood pressure, which are the two most common causes of </w:t>
      </w:r>
      <w:r w:rsidR="00F06B4C">
        <w:rPr>
          <w:rFonts w:cstheme="minorHAnsi"/>
          <w:bCs/>
        </w:rPr>
        <w:t>ESKD</w:t>
      </w:r>
      <w:r w:rsidRPr="0007535A">
        <w:rPr>
          <w:rFonts w:cstheme="minorHAnsi"/>
          <w:bCs/>
        </w:rPr>
        <w:t xml:space="preserve"> in Australia.</w:t>
      </w:r>
      <w:r w:rsidRPr="0007535A">
        <w:rPr>
          <w:rStyle w:val="EndnoteReference"/>
          <w:rFonts w:cstheme="minorHAnsi"/>
          <w:bCs/>
        </w:rPr>
        <w:endnoteReference w:id="34"/>
      </w:r>
      <w:r w:rsidRPr="0007535A">
        <w:rPr>
          <w:rFonts w:cstheme="minorHAnsi"/>
          <w:bCs/>
        </w:rPr>
        <w:t xml:space="preserve"> </w:t>
      </w:r>
    </w:p>
    <w:p w14:paraId="5210E871" w14:textId="77777777" w:rsidR="0007535A" w:rsidRDefault="0007535A" w:rsidP="00D120F5">
      <w:pPr>
        <w:ind w:right="96"/>
        <w:rPr>
          <w:rFonts w:cstheme="minorHAnsi"/>
          <w:bCs/>
        </w:rPr>
      </w:pPr>
    </w:p>
    <w:p w14:paraId="3CD5577D" w14:textId="5F8A2742" w:rsidR="0007535A" w:rsidRPr="0007535A" w:rsidRDefault="0007535A" w:rsidP="004B1EC6">
      <w:pPr>
        <w:pStyle w:val="KidneyBodyBold"/>
      </w:pPr>
      <w:r w:rsidRPr="0007535A">
        <w:t>Salt intake</w:t>
      </w:r>
    </w:p>
    <w:p w14:paraId="462A7EAB" w14:textId="008DA469" w:rsidR="0007535A" w:rsidRPr="0007535A" w:rsidRDefault="0007535A" w:rsidP="003F15DD">
      <w:pPr>
        <w:pStyle w:val="ListParagraph"/>
        <w:numPr>
          <w:ilvl w:val="0"/>
          <w:numId w:val="4"/>
        </w:numPr>
        <w:ind w:right="96"/>
        <w:rPr>
          <w:rFonts w:cstheme="minorHAnsi"/>
          <w:bCs/>
        </w:rPr>
      </w:pPr>
      <w:r w:rsidRPr="0007535A">
        <w:rPr>
          <w:rFonts w:cstheme="minorHAnsi"/>
          <w:bCs/>
        </w:rPr>
        <w:t>On</w:t>
      </w:r>
      <w:r w:rsidR="00E81858" w:rsidRPr="0007535A">
        <w:rPr>
          <w:rFonts w:cstheme="minorHAnsi"/>
          <w:bCs/>
        </w:rPr>
        <w:t xml:space="preserve"> average, Australian adults eat </w:t>
      </w:r>
      <w:r w:rsidR="00A51E12">
        <w:rPr>
          <w:rFonts w:cstheme="minorHAnsi"/>
          <w:bCs/>
        </w:rPr>
        <w:t>significantly</w:t>
      </w:r>
      <w:r w:rsidR="001069B7">
        <w:rPr>
          <w:rFonts w:cstheme="minorHAnsi"/>
          <w:bCs/>
        </w:rPr>
        <w:t xml:space="preserve"> more than</w:t>
      </w:r>
      <w:r w:rsidR="00E81858" w:rsidRPr="0007535A">
        <w:rPr>
          <w:rFonts w:cstheme="minorHAnsi"/>
          <w:bCs/>
        </w:rPr>
        <w:t xml:space="preserve"> the recommended upper limit of salt intake</w:t>
      </w:r>
      <w:r w:rsidR="00303AA8">
        <w:rPr>
          <w:rFonts w:cstheme="minorHAnsi"/>
          <w:bCs/>
        </w:rPr>
        <w:t>.</w:t>
      </w:r>
      <w:r w:rsidR="001069B7">
        <w:rPr>
          <w:rStyle w:val="EndnoteReference"/>
          <w:rFonts w:cstheme="minorHAnsi"/>
          <w:bCs/>
        </w:rPr>
        <w:endnoteReference w:id="35"/>
      </w:r>
      <w:r w:rsidR="00E81858" w:rsidRPr="0007535A">
        <w:rPr>
          <w:rFonts w:cstheme="minorHAnsi"/>
          <w:bCs/>
        </w:rPr>
        <w:t xml:space="preserve"> </w:t>
      </w:r>
    </w:p>
    <w:p w14:paraId="2757E2C7" w14:textId="2B41BDD5" w:rsidR="0007535A" w:rsidRPr="0007535A" w:rsidRDefault="00136F1A" w:rsidP="003F15DD">
      <w:pPr>
        <w:pStyle w:val="ListParagraph"/>
        <w:numPr>
          <w:ilvl w:val="0"/>
          <w:numId w:val="4"/>
        </w:numPr>
        <w:ind w:right="96"/>
        <w:rPr>
          <w:rFonts w:cstheme="minorHAnsi"/>
          <w:bCs/>
        </w:rPr>
      </w:pPr>
      <w:r>
        <w:rPr>
          <w:rFonts w:cstheme="minorHAnsi"/>
          <w:bCs/>
        </w:rPr>
        <w:t>Around 80</w:t>
      </w:r>
      <w:r w:rsidR="00E81858" w:rsidRPr="0007535A">
        <w:rPr>
          <w:rFonts w:cstheme="minorHAnsi"/>
          <w:bCs/>
        </w:rPr>
        <w:t>% of the salt in Australian diets comes from processed food</w:t>
      </w:r>
      <w:r w:rsidR="00303AA8">
        <w:rPr>
          <w:rFonts w:cstheme="minorHAnsi"/>
          <w:bCs/>
        </w:rPr>
        <w:t>.</w:t>
      </w:r>
      <w:r>
        <w:rPr>
          <w:rStyle w:val="EndnoteReference"/>
          <w:rFonts w:cstheme="minorHAnsi"/>
          <w:bCs/>
        </w:rPr>
        <w:endnoteReference w:id="36"/>
      </w:r>
      <w:r w:rsidR="0007535A" w:rsidRPr="0007535A">
        <w:rPr>
          <w:rFonts w:cstheme="minorHAnsi"/>
          <w:bCs/>
        </w:rPr>
        <w:t xml:space="preserve"> </w:t>
      </w:r>
    </w:p>
    <w:p w14:paraId="1C994E17" w14:textId="21A1D6AB" w:rsidR="00E81858" w:rsidRPr="0007535A" w:rsidRDefault="00E81858" w:rsidP="003F15DD">
      <w:pPr>
        <w:pStyle w:val="ListParagraph"/>
        <w:numPr>
          <w:ilvl w:val="0"/>
          <w:numId w:val="4"/>
        </w:numPr>
        <w:ind w:right="96"/>
        <w:rPr>
          <w:rFonts w:cstheme="minorHAnsi"/>
          <w:bCs/>
        </w:rPr>
      </w:pPr>
      <w:r w:rsidRPr="0007535A">
        <w:rPr>
          <w:rFonts w:cstheme="minorHAnsi"/>
          <w:bCs/>
        </w:rPr>
        <w:t>Excess dietary salt increases the risk of high blood pressure, which is a leading cause of death and disability</w:t>
      </w:r>
      <w:r w:rsidR="00E90506">
        <w:rPr>
          <w:rFonts w:cstheme="minorHAnsi"/>
          <w:bCs/>
        </w:rPr>
        <w:t>,</w:t>
      </w:r>
      <w:r w:rsidRPr="0007535A">
        <w:rPr>
          <w:rFonts w:cstheme="minorHAnsi"/>
          <w:bCs/>
        </w:rPr>
        <w:t xml:space="preserve"> including CKD</w:t>
      </w:r>
      <w:r w:rsidR="00A22298">
        <w:rPr>
          <w:rFonts w:cstheme="minorHAnsi"/>
          <w:bCs/>
        </w:rPr>
        <w:t xml:space="preserve"> cause and progression</w:t>
      </w:r>
      <w:r w:rsidRPr="0007535A">
        <w:rPr>
          <w:rFonts w:cstheme="minorHAnsi"/>
          <w:bCs/>
        </w:rPr>
        <w:t>.</w:t>
      </w:r>
      <w:r w:rsidRPr="0007535A">
        <w:rPr>
          <w:rStyle w:val="EndnoteReference"/>
          <w:rFonts w:cstheme="minorHAnsi"/>
          <w:bCs/>
        </w:rPr>
        <w:endnoteReference w:id="37"/>
      </w:r>
    </w:p>
    <w:p w14:paraId="14F60AE1" w14:textId="77777777" w:rsidR="0007535A" w:rsidRPr="00D120F5" w:rsidRDefault="0007535A" w:rsidP="00D120F5">
      <w:pPr>
        <w:ind w:right="96"/>
        <w:rPr>
          <w:rFonts w:cstheme="minorHAnsi"/>
          <w:bCs/>
        </w:rPr>
      </w:pPr>
    </w:p>
    <w:p w14:paraId="3E0C1C5A" w14:textId="77777777" w:rsidR="0007535A" w:rsidRPr="0007535A" w:rsidRDefault="00E81858" w:rsidP="004B1EC6">
      <w:pPr>
        <w:pStyle w:val="KidneyBodyBold"/>
      </w:pPr>
      <w:r w:rsidRPr="0007535A">
        <w:t xml:space="preserve">Policies targeting unhealthy food and beverage consumption </w:t>
      </w:r>
    </w:p>
    <w:p w14:paraId="235BD390" w14:textId="5AA4B797" w:rsidR="0007535A" w:rsidRPr="00AA35C7" w:rsidRDefault="0007535A" w:rsidP="003F15DD">
      <w:pPr>
        <w:pStyle w:val="ListParagraph"/>
        <w:numPr>
          <w:ilvl w:val="0"/>
          <w:numId w:val="24"/>
        </w:numPr>
        <w:ind w:left="360" w:right="96"/>
      </w:pPr>
      <w:r w:rsidRPr="00AA35C7">
        <w:t>D</w:t>
      </w:r>
      <w:r w:rsidR="00E81858" w:rsidRPr="00AA35C7">
        <w:t>ietary factors contribute almost ten percent of the global health burden.</w:t>
      </w:r>
      <w:r w:rsidR="00E81858" w:rsidRPr="00AA35C7">
        <w:rPr>
          <w:rStyle w:val="EndnoteReference"/>
        </w:rPr>
        <w:endnoteReference w:id="38"/>
      </w:r>
      <w:r w:rsidR="00E81858" w:rsidRPr="00AA35C7">
        <w:t xml:space="preserve"> </w:t>
      </w:r>
      <w:r w:rsidRPr="00AA35C7">
        <w:t>P</w:t>
      </w:r>
      <w:r w:rsidR="00E81858" w:rsidRPr="00AA35C7">
        <w:t xml:space="preserve">olicies include taxing and regulating unhealthy foods and subsidies for health foods. </w:t>
      </w:r>
    </w:p>
    <w:p w14:paraId="70EDB174" w14:textId="55376C4D" w:rsidR="0007535A" w:rsidRPr="0007535A" w:rsidRDefault="0007535A" w:rsidP="003F15DD">
      <w:pPr>
        <w:pStyle w:val="ListParagraph"/>
        <w:numPr>
          <w:ilvl w:val="0"/>
          <w:numId w:val="5"/>
        </w:numPr>
        <w:ind w:right="96"/>
        <w:rPr>
          <w:szCs w:val="20"/>
        </w:rPr>
      </w:pPr>
      <w:r w:rsidRPr="0007535A">
        <w:t>Australian modelling has found t</w:t>
      </w:r>
      <w:r w:rsidR="00E81858" w:rsidRPr="0007535A">
        <w:t>axation of alcohol, tobacco and unhealthy food and beverages to be one of the most cost effective health prevention interventions available</w:t>
      </w:r>
      <w:r w:rsidR="00136F1A">
        <w:t xml:space="preserve"> </w:t>
      </w:r>
      <w:r w:rsidRPr="0007535A">
        <w:t>and</w:t>
      </w:r>
      <w:r w:rsidR="00E81858" w:rsidRPr="0007535A">
        <w:t xml:space="preserve"> </w:t>
      </w:r>
      <w:r w:rsidRPr="0007535A">
        <w:t>l</w:t>
      </w:r>
      <w:r w:rsidR="00E81858" w:rsidRPr="0007535A">
        <w:t>imiting salt in processed foods one of the most cost-effective and even cost-saving preventive health measures in Australia.</w:t>
      </w:r>
      <w:r w:rsidR="00E81858" w:rsidRPr="0007535A">
        <w:rPr>
          <w:rStyle w:val="EndnoteReference"/>
        </w:rPr>
        <w:endnoteReference w:id="39"/>
      </w:r>
      <w:r w:rsidR="00E81858" w:rsidRPr="0007535A">
        <w:rPr>
          <w:szCs w:val="20"/>
        </w:rPr>
        <w:t xml:space="preserve"> </w:t>
      </w:r>
    </w:p>
    <w:p w14:paraId="6315E57D" w14:textId="18DE8AD0" w:rsidR="00E81858" w:rsidRPr="0007535A" w:rsidRDefault="0007535A" w:rsidP="003F15DD">
      <w:pPr>
        <w:pStyle w:val="ListParagraph"/>
        <w:numPr>
          <w:ilvl w:val="0"/>
          <w:numId w:val="5"/>
        </w:numPr>
        <w:ind w:right="96"/>
        <w:rPr>
          <w:szCs w:val="20"/>
        </w:rPr>
      </w:pPr>
      <w:r w:rsidRPr="00486D6F">
        <w:t>Modelling has also found food and beverage</w:t>
      </w:r>
      <w:r w:rsidRPr="0007535A">
        <w:rPr>
          <w:szCs w:val="20"/>
        </w:rPr>
        <w:t xml:space="preserve"> </w:t>
      </w:r>
      <w:r w:rsidR="00E90506">
        <w:t>taxes and subsidies</w:t>
      </w:r>
      <w:r w:rsidR="00E81858" w:rsidRPr="0007535A">
        <w:t xml:space="preserve"> might avert as many as 470,000 </w:t>
      </w:r>
      <w:r w:rsidR="00F06B4C" w:rsidRPr="00F06B4C">
        <w:t>disability-adjusted life year</w:t>
      </w:r>
      <w:r w:rsidR="00F06B4C">
        <w:t>s</w:t>
      </w:r>
      <w:r w:rsidR="00F06B4C" w:rsidRPr="00F06B4C">
        <w:t xml:space="preserve"> </w:t>
      </w:r>
      <w:r w:rsidR="00F06B4C">
        <w:t xml:space="preserve">(DALY - </w:t>
      </w:r>
      <w:r w:rsidR="00F06B4C" w:rsidRPr="00F06B4C">
        <w:t>a measure of overall disease burden</w:t>
      </w:r>
      <w:r w:rsidR="00F06B4C">
        <w:t>)</w:t>
      </w:r>
      <w:r w:rsidR="00F06B4C" w:rsidRPr="00F06B4C">
        <w:t xml:space="preserve"> </w:t>
      </w:r>
      <w:r w:rsidR="00E81858" w:rsidRPr="0007535A">
        <w:t>in the Australian population of 22 million, with a net</w:t>
      </w:r>
      <w:r w:rsidR="00E90506">
        <w:t xml:space="preserve"> cost saving of AU$3.4 billion </w:t>
      </w:r>
      <w:r w:rsidR="00E81858" w:rsidRPr="0007535A">
        <w:t xml:space="preserve">to the health sector. </w:t>
      </w:r>
    </w:p>
    <w:p w14:paraId="34A11F94" w14:textId="77777777" w:rsidR="0007535A" w:rsidRDefault="0007535A" w:rsidP="00D120F5">
      <w:pPr>
        <w:ind w:right="96"/>
        <w:rPr>
          <w:rFonts w:cs="Calibri"/>
          <w:color w:val="000000"/>
        </w:rPr>
      </w:pPr>
    </w:p>
    <w:p w14:paraId="4F15915E" w14:textId="04E1FD5D" w:rsidR="0007535A" w:rsidRPr="00486D6F" w:rsidRDefault="0007535A" w:rsidP="004B1EC6">
      <w:pPr>
        <w:pStyle w:val="KidneyBodyBold"/>
      </w:pPr>
      <w:r w:rsidRPr="00486D6F">
        <w:t>Unhealthy food marketing to children</w:t>
      </w:r>
    </w:p>
    <w:p w14:paraId="2A9B5FA9" w14:textId="7F86E53A" w:rsidR="0007535A" w:rsidRPr="00486D6F" w:rsidRDefault="0007535A" w:rsidP="003F15DD">
      <w:pPr>
        <w:pStyle w:val="ListParagraph"/>
        <w:numPr>
          <w:ilvl w:val="0"/>
          <w:numId w:val="6"/>
        </w:numPr>
        <w:ind w:right="96"/>
        <w:rPr>
          <w:rFonts w:cs="Calibri"/>
          <w:color w:val="000000"/>
        </w:rPr>
      </w:pPr>
      <w:r w:rsidRPr="00486D6F">
        <w:rPr>
          <w:rFonts w:cs="Calibri"/>
          <w:color w:val="000000"/>
        </w:rPr>
        <w:t>U</w:t>
      </w:r>
      <w:r w:rsidR="00E81858" w:rsidRPr="00486D6F">
        <w:rPr>
          <w:rFonts w:cs="Calibri"/>
          <w:color w:val="000000"/>
        </w:rPr>
        <w:t xml:space="preserve">nhealthy food marketing to children </w:t>
      </w:r>
      <w:r w:rsidRPr="00486D6F">
        <w:rPr>
          <w:rFonts w:cs="Calibri"/>
          <w:color w:val="000000"/>
        </w:rPr>
        <w:t>influence</w:t>
      </w:r>
      <w:r w:rsidR="00960337">
        <w:rPr>
          <w:rFonts w:cs="Calibri"/>
          <w:color w:val="000000"/>
        </w:rPr>
        <w:t>s</w:t>
      </w:r>
      <w:r w:rsidR="00E81858" w:rsidRPr="00486D6F">
        <w:rPr>
          <w:rFonts w:cs="Calibri"/>
          <w:color w:val="000000"/>
        </w:rPr>
        <w:t xml:space="preserve"> food preferences, consumption and purchase requests.</w:t>
      </w:r>
      <w:r w:rsidR="00E81858" w:rsidRPr="00486D6F">
        <w:rPr>
          <w:rStyle w:val="EndnoteReference"/>
          <w:rFonts w:cs="Calibri"/>
          <w:color w:val="000000"/>
        </w:rPr>
        <w:endnoteReference w:id="40"/>
      </w:r>
      <w:r w:rsidR="00E81858" w:rsidRPr="00486D6F">
        <w:rPr>
          <w:rFonts w:cs="Calibri"/>
          <w:color w:val="000000"/>
        </w:rPr>
        <w:t xml:space="preserve"> </w:t>
      </w:r>
    </w:p>
    <w:p w14:paraId="2ACBB61A" w14:textId="2C8000BD" w:rsidR="0007535A" w:rsidRPr="00486D6F" w:rsidRDefault="00960337" w:rsidP="003F15DD">
      <w:pPr>
        <w:pStyle w:val="ListParagraph"/>
        <w:numPr>
          <w:ilvl w:val="0"/>
          <w:numId w:val="6"/>
        </w:numPr>
        <w:ind w:right="96"/>
        <w:rPr>
          <w:rFonts w:cs="Calibri"/>
          <w:color w:val="000000"/>
        </w:rPr>
      </w:pPr>
      <w:r>
        <w:rPr>
          <w:rFonts w:cs="Calibri"/>
          <w:color w:val="000000"/>
        </w:rPr>
        <w:t>I</w:t>
      </w:r>
      <w:r w:rsidR="00E81858" w:rsidRPr="00486D6F">
        <w:rPr>
          <w:rFonts w:cs="Calibri"/>
          <w:color w:val="000000"/>
        </w:rPr>
        <w:t xml:space="preserve">nternationally marketing restrictions </w:t>
      </w:r>
      <w:r>
        <w:rPr>
          <w:rFonts w:cs="Calibri"/>
          <w:color w:val="000000"/>
        </w:rPr>
        <w:t xml:space="preserve">are shown to </w:t>
      </w:r>
      <w:r w:rsidR="00E81858" w:rsidRPr="00486D6F">
        <w:rPr>
          <w:rFonts w:cs="Calibri"/>
          <w:color w:val="000000"/>
        </w:rPr>
        <w:t>significantly reduce children’s exposure to unhealthy food advertising.</w:t>
      </w:r>
      <w:r w:rsidR="00E81858" w:rsidRPr="00486D6F">
        <w:rPr>
          <w:rStyle w:val="EndnoteReference"/>
          <w:rFonts w:cs="Calibri"/>
          <w:color w:val="000000"/>
        </w:rPr>
        <w:endnoteReference w:id="41"/>
      </w:r>
      <w:r w:rsidR="00E81858" w:rsidRPr="00486D6F">
        <w:rPr>
          <w:rFonts w:cs="Calibri"/>
          <w:color w:val="000000"/>
        </w:rPr>
        <w:t xml:space="preserve"> </w:t>
      </w:r>
    </w:p>
    <w:p w14:paraId="349DB94A" w14:textId="27F553D1" w:rsidR="0007535A" w:rsidRPr="00486D6F" w:rsidRDefault="00E81858" w:rsidP="003F15DD">
      <w:pPr>
        <w:pStyle w:val="ListParagraph"/>
        <w:numPr>
          <w:ilvl w:val="0"/>
          <w:numId w:val="6"/>
        </w:numPr>
        <w:ind w:right="96"/>
        <w:rPr>
          <w:rFonts w:cs="Calibri"/>
          <w:color w:val="000000"/>
        </w:rPr>
      </w:pPr>
      <w:r w:rsidRPr="00486D6F">
        <w:rPr>
          <w:rFonts w:cs="Calibri"/>
          <w:color w:val="000000"/>
        </w:rPr>
        <w:t xml:space="preserve">Marketing to children in Australia is largely </w:t>
      </w:r>
      <w:r w:rsidR="00486D6F">
        <w:rPr>
          <w:rFonts w:cs="Calibri"/>
          <w:color w:val="000000"/>
        </w:rPr>
        <w:t>self-</w:t>
      </w:r>
      <w:r w:rsidRPr="00486D6F">
        <w:rPr>
          <w:rFonts w:cs="Calibri"/>
          <w:color w:val="000000"/>
        </w:rPr>
        <w:t xml:space="preserve">regulated and there is little evidence that this approach reduces the amount of marketing to which children are exposed. </w:t>
      </w:r>
    </w:p>
    <w:p w14:paraId="0A5C1532" w14:textId="21DA1A1C" w:rsidR="00E81858" w:rsidRPr="00486D6F" w:rsidRDefault="00E81858" w:rsidP="003F15DD">
      <w:pPr>
        <w:pStyle w:val="ListParagraph"/>
        <w:numPr>
          <w:ilvl w:val="0"/>
          <w:numId w:val="6"/>
        </w:numPr>
        <w:ind w:right="96"/>
        <w:rPr>
          <w:rFonts w:cs="Calibri"/>
          <w:color w:val="000000"/>
        </w:rPr>
      </w:pPr>
      <w:r w:rsidRPr="00486D6F">
        <w:rPr>
          <w:rFonts w:cs="Calibri"/>
          <w:color w:val="000000"/>
        </w:rPr>
        <w:t>Progress is hampered by the lack of a single definition of “unhealthy” foods that cannot be marketed to children in Australia.</w:t>
      </w:r>
      <w:r w:rsidRPr="00486D6F">
        <w:rPr>
          <w:rStyle w:val="EndnoteReference"/>
          <w:rFonts w:cs="Calibri"/>
          <w:color w:val="000000"/>
        </w:rPr>
        <w:endnoteReference w:id="42"/>
      </w:r>
    </w:p>
    <w:p w14:paraId="05CAC5DE" w14:textId="19D35DA6" w:rsidR="0007535A" w:rsidRDefault="0007535A" w:rsidP="00D120F5">
      <w:pPr>
        <w:ind w:right="96"/>
        <w:rPr>
          <w:rFonts w:cs="Calibri"/>
          <w:color w:val="000000"/>
        </w:rPr>
      </w:pPr>
    </w:p>
    <w:p w14:paraId="5CBC58CF" w14:textId="77777777" w:rsidR="002F34C3" w:rsidRDefault="002F34C3" w:rsidP="00D120F5">
      <w:pPr>
        <w:ind w:right="96"/>
        <w:rPr>
          <w:rFonts w:cs="Calibri"/>
          <w:color w:val="000000"/>
        </w:rPr>
      </w:pPr>
    </w:p>
    <w:p w14:paraId="3E3A3D56" w14:textId="11E0AAB4" w:rsidR="00E81858" w:rsidRPr="00ED390B" w:rsidRDefault="00E81858" w:rsidP="004B1EC6">
      <w:pPr>
        <w:pStyle w:val="KidneyBodyBold"/>
      </w:pPr>
      <w:r>
        <w:lastRenderedPageBreak/>
        <w:t>Promoting</w:t>
      </w:r>
      <w:r w:rsidR="005A4522">
        <w:t>,</w:t>
      </w:r>
      <w:r>
        <w:t xml:space="preserve"> and addressing barriers to</w:t>
      </w:r>
      <w:r w:rsidR="005A4522">
        <w:t>,</w:t>
      </w:r>
      <w:r>
        <w:t xml:space="preserve"> physical a</w:t>
      </w:r>
      <w:r w:rsidRPr="00ED390B">
        <w:t>ctivity</w:t>
      </w:r>
    </w:p>
    <w:p w14:paraId="1D9129A1" w14:textId="77777777" w:rsidR="00486D6F" w:rsidRDefault="00E81858" w:rsidP="004B1EC6">
      <w:pPr>
        <w:pStyle w:val="ListBullet"/>
        <w:rPr>
          <w:rFonts w:cstheme="minorHAnsi"/>
          <w:bCs/>
        </w:rPr>
      </w:pPr>
      <w:r w:rsidRPr="0074109C">
        <w:rPr>
          <w:lang w:val="en-US"/>
        </w:rPr>
        <w:t>Currently 70 percent of children and nearly 60 percent of adults in Australia do not meet recommended levels of physical activity</w:t>
      </w:r>
      <w:r>
        <w:rPr>
          <w:lang w:val="en-US"/>
        </w:rPr>
        <w:t>.</w:t>
      </w:r>
      <w:r w:rsidRPr="00960337">
        <w:rPr>
          <w:rStyle w:val="EndnoteReference"/>
          <w:rFonts w:ascii="Optima" w:hAnsi="Optima"/>
        </w:rPr>
        <w:endnoteReference w:id="43"/>
      </w:r>
      <w:r w:rsidRPr="00960337">
        <w:rPr>
          <w:rStyle w:val="EndnoteReference"/>
          <w:rFonts w:ascii="Optima" w:hAnsi="Optima"/>
        </w:rPr>
        <w:t xml:space="preserve"> </w:t>
      </w:r>
    </w:p>
    <w:p w14:paraId="6BC323A1" w14:textId="77777777" w:rsidR="00486D6F" w:rsidRDefault="00E81858" w:rsidP="004B1EC6">
      <w:pPr>
        <w:pStyle w:val="ListBullet"/>
        <w:rPr>
          <w:rFonts w:cstheme="minorHAnsi"/>
          <w:bCs/>
        </w:rPr>
      </w:pPr>
      <w:r w:rsidRPr="0074109C">
        <w:rPr>
          <w:lang w:val="en-US"/>
        </w:rPr>
        <w:t>The burden of disease attributable to inactivity could be reduced by more than a quarter of if Australians increased their activity levels by just thirty minutes, five days a week</w:t>
      </w:r>
      <w:r>
        <w:rPr>
          <w:lang w:val="en-US"/>
        </w:rPr>
        <w:t>.</w:t>
      </w:r>
      <w:r w:rsidRPr="00960337">
        <w:rPr>
          <w:rStyle w:val="EndnoteReference"/>
          <w:rFonts w:ascii="Optima" w:hAnsi="Optima"/>
        </w:rPr>
        <w:endnoteReference w:id="44"/>
      </w:r>
      <w:r w:rsidRPr="00960337">
        <w:rPr>
          <w:rStyle w:val="EndnoteReference"/>
          <w:rFonts w:ascii="Optima" w:hAnsi="Optima"/>
        </w:rPr>
        <w:t xml:space="preserve"> </w:t>
      </w:r>
    </w:p>
    <w:p w14:paraId="2BF9D865" w14:textId="07C9B5D3" w:rsidR="004B1EC6" w:rsidRDefault="00E81858" w:rsidP="004B1EC6">
      <w:pPr>
        <w:pStyle w:val="ListBullet"/>
        <w:rPr>
          <w:lang w:val="en-US"/>
        </w:rPr>
      </w:pPr>
      <w:r w:rsidRPr="0074109C">
        <w:rPr>
          <w:lang w:val="en-US"/>
        </w:rPr>
        <w:t>Physical inactivity is a significant burden on the Australia economy, costing $13.8 billion in 2008 and causing an estimated 16,000 premature deaths every year</w:t>
      </w:r>
      <w:r>
        <w:rPr>
          <w:lang w:val="en-US"/>
        </w:rPr>
        <w:t>.</w:t>
      </w:r>
      <w:r>
        <w:rPr>
          <w:rStyle w:val="EndnoteReference"/>
          <w:rFonts w:ascii="Optima" w:hAnsi="Optima"/>
        </w:rPr>
        <w:endnoteReference w:id="45"/>
      </w:r>
    </w:p>
    <w:p w14:paraId="60510DA8" w14:textId="77777777" w:rsidR="006E03C1" w:rsidRPr="006E03C1" w:rsidRDefault="006E03C1" w:rsidP="006E03C1">
      <w:pPr>
        <w:pStyle w:val="ListBullet"/>
        <w:numPr>
          <w:ilvl w:val="0"/>
          <w:numId w:val="0"/>
        </w:numPr>
        <w:rPr>
          <w:lang w:val="en-US"/>
        </w:rPr>
      </w:pPr>
    </w:p>
    <w:p w14:paraId="6EF18A7C" w14:textId="3B4D9FD7" w:rsidR="00E81858" w:rsidRDefault="00E81858" w:rsidP="004B1EC6">
      <w:pPr>
        <w:pStyle w:val="KidneyBodyBold"/>
      </w:pPr>
      <w:r w:rsidRPr="000A1278">
        <w:t>Tobacco control</w:t>
      </w:r>
    </w:p>
    <w:p w14:paraId="3D93C408" w14:textId="3FB61A89" w:rsidR="00486D6F" w:rsidRPr="00486D6F" w:rsidRDefault="00F06B4C" w:rsidP="004B1EC6">
      <w:pPr>
        <w:pStyle w:val="ListBullet"/>
      </w:pPr>
      <w:r>
        <w:t>Tobacco s</w:t>
      </w:r>
      <w:r w:rsidR="00E81858" w:rsidRPr="00486D6F">
        <w:t>moking is a significant modifiable risk factor for kidney disease</w:t>
      </w:r>
      <w:r w:rsidR="00E81858" w:rsidRPr="00486D6F">
        <w:rPr>
          <w:rStyle w:val="EndnoteReference"/>
          <w:rFonts w:eastAsiaTheme="minorEastAsia" w:cstheme="minorHAnsi"/>
          <w:bCs/>
        </w:rPr>
        <w:endnoteReference w:id="46"/>
      </w:r>
      <w:r w:rsidR="00E81858" w:rsidRPr="00486D6F">
        <w:t>as well as a range of other diseases, including numerous cancers, stro</w:t>
      </w:r>
      <w:r w:rsidR="00486D6F" w:rsidRPr="00486D6F">
        <w:t>ke and heart disease</w:t>
      </w:r>
      <w:r w:rsidR="0051518B">
        <w:t>.</w:t>
      </w:r>
      <w:r w:rsidR="0051518B" w:rsidRPr="00486D6F">
        <w:rPr>
          <w:rStyle w:val="EndnoteReference"/>
          <w:rFonts w:eastAsiaTheme="minorEastAsia" w:cstheme="minorHAnsi"/>
          <w:bCs/>
        </w:rPr>
        <w:endnoteReference w:id="47"/>
      </w:r>
    </w:p>
    <w:p w14:paraId="7FDF3576" w14:textId="171CDEF7" w:rsidR="00486D6F" w:rsidRPr="00486D6F" w:rsidRDefault="00E81858" w:rsidP="004B1EC6">
      <w:pPr>
        <w:pStyle w:val="ListBullet"/>
      </w:pPr>
      <w:r w:rsidRPr="00486D6F">
        <w:t xml:space="preserve">Tobacco smoking is the leading cause of preventable death in Australia and economic and social costs of smoking were estimated to be approximately $31.5 billion in 2004/05 (more recent figures </w:t>
      </w:r>
      <w:r w:rsidR="00F06B4C">
        <w:t xml:space="preserve">are </w:t>
      </w:r>
      <w:r w:rsidRPr="00486D6F">
        <w:t>not available)</w:t>
      </w:r>
      <w:r w:rsidR="0007124E">
        <w:t>.</w:t>
      </w:r>
      <w:r w:rsidR="00A6414F">
        <w:rPr>
          <w:rStyle w:val="EndnoteReference"/>
        </w:rPr>
        <w:endnoteReference w:id="48"/>
      </w:r>
      <w:r w:rsidRPr="00486D6F">
        <w:t xml:space="preserve"> </w:t>
      </w:r>
    </w:p>
    <w:p w14:paraId="714878C6" w14:textId="3112DB64" w:rsidR="00E81858" w:rsidRDefault="00E81858" w:rsidP="004B1EC6">
      <w:pPr>
        <w:pStyle w:val="ListBullet"/>
      </w:pPr>
      <w:r w:rsidRPr="00486D6F">
        <w:t>Reducing tobacco smoking rates has significant economic and social benefits for Australia.</w:t>
      </w:r>
      <w:r w:rsidRPr="00486D6F">
        <w:rPr>
          <w:rStyle w:val="EndnoteReference"/>
        </w:rPr>
        <w:endnoteReference w:id="49"/>
      </w:r>
    </w:p>
    <w:p w14:paraId="7B5F6226" w14:textId="4829893F" w:rsidR="00276E6B" w:rsidRPr="00960337" w:rsidRDefault="00960337" w:rsidP="004B1EC6">
      <w:pPr>
        <w:pStyle w:val="ListBullet"/>
      </w:pPr>
      <w:r>
        <w:t xml:space="preserve">Australia is a </w:t>
      </w:r>
      <w:r w:rsidR="00276E6B" w:rsidRPr="00960337">
        <w:t xml:space="preserve">Party to the </w:t>
      </w:r>
      <w:r w:rsidR="00F06B4C" w:rsidRPr="00960337">
        <w:t>W</w:t>
      </w:r>
      <w:r w:rsidR="00F06B4C">
        <w:t>orld Health Organisation (W</w:t>
      </w:r>
      <w:r w:rsidR="00276E6B" w:rsidRPr="00960337">
        <w:t>HO</w:t>
      </w:r>
      <w:r w:rsidR="00F06B4C">
        <w:t>)</w:t>
      </w:r>
      <w:r w:rsidR="00276E6B" w:rsidRPr="00960337">
        <w:t xml:space="preserve"> Framework Convention on Tobacco Control (FCTC)</w:t>
      </w:r>
      <w:r w:rsidR="000D6FA5">
        <w:t>.</w:t>
      </w:r>
      <w:r w:rsidR="00342DBC">
        <w:rPr>
          <w:rStyle w:val="EndnoteReference"/>
        </w:rPr>
        <w:endnoteReference w:id="50"/>
      </w:r>
      <w:r w:rsidR="000D6FA5">
        <w:t xml:space="preserve"> </w:t>
      </w:r>
      <w:r w:rsidR="00F06B4C">
        <w:t>U</w:t>
      </w:r>
      <w:r w:rsidR="00276E6B" w:rsidRPr="00960337">
        <w:t>nder the FCTC, Australia must adopt and implement effective measures for preventing and reducing tobacco consumption, nicotine addiction and exposure to tobacco smoke. The FCTC also obliges Australia to take steps to protect its tobacco control setting and implementation from interference from the tobacco industry and its interests</w:t>
      </w:r>
      <w:r w:rsidR="00F06B4C">
        <w:t>.</w:t>
      </w:r>
    </w:p>
    <w:p w14:paraId="3B7757FB" w14:textId="77777777" w:rsidR="00486D6F" w:rsidRDefault="00486D6F" w:rsidP="00784CCE">
      <w:pPr>
        <w:shd w:val="clear" w:color="auto" w:fill="FFFFFF"/>
        <w:spacing w:line="319" w:lineRule="atLeast"/>
        <w:textAlignment w:val="baseline"/>
      </w:pPr>
    </w:p>
    <w:p w14:paraId="46AA5FED" w14:textId="12C6B512" w:rsidR="00E81858" w:rsidRPr="004A0615" w:rsidRDefault="00E81858" w:rsidP="004B1EC6">
      <w:pPr>
        <w:pStyle w:val="KidneyBodyBold"/>
      </w:pPr>
      <w:r>
        <w:t>Primordial and primary prevention - t</w:t>
      </w:r>
      <w:r w:rsidRPr="004A0615">
        <w:t>he role of social determinants</w:t>
      </w:r>
    </w:p>
    <w:p w14:paraId="50062558" w14:textId="70112F9A" w:rsidR="00486D6F" w:rsidRDefault="00E81858" w:rsidP="00C22139">
      <w:pPr>
        <w:ind w:right="96"/>
        <w:contextualSpacing/>
      </w:pPr>
      <w:r w:rsidRPr="00125571">
        <w:t xml:space="preserve">The WHO defines social determinants as </w:t>
      </w:r>
      <w:r w:rsidRPr="00AA35C7">
        <w:rPr>
          <w:i/>
        </w:rPr>
        <w:t xml:space="preserve">“the conditions in which people are born, grow, work, live, and age, and the set of forces and systems shaping the conditions of daily life.” </w:t>
      </w:r>
      <w:r w:rsidRPr="00125571">
        <w:t xml:space="preserve"> Social factors determining health include income, wealth, education, occupation and social inequality based on race and ethnic group membership.</w:t>
      </w:r>
      <w:r w:rsidRPr="00125571">
        <w:rPr>
          <w:rStyle w:val="EndnoteReference"/>
        </w:rPr>
        <w:endnoteReference w:id="51"/>
      </w:r>
    </w:p>
    <w:p w14:paraId="3A686FDA" w14:textId="77777777" w:rsidR="004B1EC6" w:rsidRDefault="004B1EC6" w:rsidP="00C22139">
      <w:pPr>
        <w:ind w:right="96"/>
        <w:contextualSpacing/>
      </w:pPr>
    </w:p>
    <w:p w14:paraId="4C209198" w14:textId="77777777" w:rsidR="00486D6F" w:rsidRPr="00486D6F" w:rsidRDefault="00E81858" w:rsidP="003F15DD">
      <w:pPr>
        <w:pStyle w:val="ListParagraph"/>
        <w:numPr>
          <w:ilvl w:val="0"/>
          <w:numId w:val="7"/>
        </w:numPr>
        <w:ind w:right="96"/>
      </w:pPr>
      <w:r w:rsidRPr="00486D6F">
        <w:t>Lower socioeconomic status is associated with a higher prevalence of CKD; 13.5% of people with the lowest socioeconomic status have clinical evidence of CKD compared with 8.4% of people with the highest socioeconomic status.</w:t>
      </w:r>
      <w:r w:rsidRPr="00486D6F">
        <w:rPr>
          <w:rStyle w:val="EndnoteReference"/>
        </w:rPr>
        <w:endnoteReference w:id="52"/>
      </w:r>
      <w:r w:rsidRPr="00486D6F">
        <w:t xml:space="preserve"> </w:t>
      </w:r>
    </w:p>
    <w:p w14:paraId="112EEFDA" w14:textId="187E40B9" w:rsidR="00E81858" w:rsidRDefault="00E81858" w:rsidP="003F15DD">
      <w:pPr>
        <w:pStyle w:val="ListParagraph"/>
        <w:numPr>
          <w:ilvl w:val="0"/>
          <w:numId w:val="7"/>
        </w:numPr>
        <w:ind w:right="96"/>
      </w:pPr>
      <w:r w:rsidRPr="00486D6F">
        <w:t>Lower socioeconomic status is also associated with poorer dialysis outcomes.</w:t>
      </w:r>
      <w:r w:rsidRPr="00486D6F">
        <w:rPr>
          <w:rStyle w:val="EndnoteReference"/>
        </w:rPr>
        <w:endnoteReference w:id="53"/>
      </w:r>
    </w:p>
    <w:p w14:paraId="3372536C" w14:textId="1B0D218D" w:rsidR="00486D6F" w:rsidRPr="00AA35C7" w:rsidRDefault="00BA086B" w:rsidP="003F15DD">
      <w:pPr>
        <w:pStyle w:val="ListParagraph"/>
        <w:numPr>
          <w:ilvl w:val="0"/>
          <w:numId w:val="7"/>
        </w:numPr>
        <w:ind w:right="96"/>
        <w:rPr>
          <w:rFonts w:ascii="MyriadPro-Regular" w:hAnsi="MyriadPro-Regular" w:cs="MyriadPro-Regular"/>
          <w:szCs w:val="20"/>
        </w:rPr>
      </w:pPr>
      <w:r w:rsidRPr="003F3A3A">
        <w:t xml:space="preserve">CKD related deaths in the lowest socioeconomic populations in society </w:t>
      </w:r>
      <w:r>
        <w:t xml:space="preserve">are </w:t>
      </w:r>
      <w:r w:rsidRPr="003F3A3A">
        <w:t xml:space="preserve">almost twice that of those in the highest socioeconomic group.  </w:t>
      </w:r>
    </w:p>
    <w:p w14:paraId="18A92B53" w14:textId="567E38E1" w:rsidR="004B1EC6" w:rsidRPr="00AA35C7" w:rsidRDefault="00E81858" w:rsidP="00B019B2">
      <w:pPr>
        <w:pStyle w:val="ListParagraph"/>
        <w:numPr>
          <w:ilvl w:val="0"/>
          <w:numId w:val="1"/>
        </w:numPr>
        <w:ind w:left="360" w:right="96"/>
      </w:pPr>
      <w:r w:rsidRPr="00AA35C7">
        <w:t>Between one-third and one-half of the health gap between Aboriginal and Torres Strait Islander people and non-Indigenous people is attributable to differences in social determinants of health.</w:t>
      </w:r>
      <w:r w:rsidRPr="00AA35C7">
        <w:rPr>
          <w:rStyle w:val="EndnoteReference"/>
        </w:rPr>
        <w:endnoteReference w:id="54"/>
      </w:r>
      <w:r w:rsidRPr="00AA35C7">
        <w:t xml:space="preserve"> Addressing chronic disease prevention, including </w:t>
      </w:r>
      <w:r w:rsidR="00077D97" w:rsidRPr="00AA35C7">
        <w:t>CKD</w:t>
      </w:r>
      <w:r w:rsidRPr="00AA35C7">
        <w:t xml:space="preserve">, in Australia requires </w:t>
      </w:r>
      <w:r w:rsidR="00077D97" w:rsidRPr="00AA35C7">
        <w:t xml:space="preserve">addressing </w:t>
      </w:r>
      <w:r w:rsidRPr="00AA35C7">
        <w:t>the social determinants that influence Indigenous health including</w:t>
      </w:r>
      <w:r w:rsidR="004D3529" w:rsidRPr="00AA35C7">
        <w:t>:</w:t>
      </w:r>
    </w:p>
    <w:p w14:paraId="7C3FB0AA" w14:textId="77777777" w:rsidR="00E81858" w:rsidRPr="00F4526E" w:rsidRDefault="00E81858" w:rsidP="003F15DD">
      <w:pPr>
        <w:widowControl w:val="0"/>
        <w:numPr>
          <w:ilvl w:val="0"/>
          <w:numId w:val="29"/>
        </w:numPr>
        <w:tabs>
          <w:tab w:val="left" w:pos="220"/>
          <w:tab w:val="left" w:pos="720"/>
        </w:tabs>
        <w:autoSpaceDE w:val="0"/>
        <w:autoSpaceDN w:val="0"/>
        <w:adjustRightInd w:val="0"/>
        <w:rPr>
          <w:rFonts w:cs="Times"/>
        </w:rPr>
      </w:pPr>
      <w:r w:rsidRPr="00F4526E">
        <w:rPr>
          <w:rFonts w:cs="Times"/>
        </w:rPr>
        <w:t>Connection to family, community, country, language and culture</w:t>
      </w:r>
    </w:p>
    <w:p w14:paraId="32696F82" w14:textId="77777777" w:rsidR="00E81858" w:rsidRPr="00F4526E" w:rsidRDefault="00E81858" w:rsidP="003F15DD">
      <w:pPr>
        <w:widowControl w:val="0"/>
        <w:numPr>
          <w:ilvl w:val="0"/>
          <w:numId w:val="29"/>
        </w:numPr>
        <w:tabs>
          <w:tab w:val="left" w:pos="220"/>
          <w:tab w:val="left" w:pos="720"/>
        </w:tabs>
        <w:autoSpaceDE w:val="0"/>
        <w:autoSpaceDN w:val="0"/>
        <w:adjustRightInd w:val="0"/>
        <w:rPr>
          <w:rFonts w:cs="Times"/>
        </w:rPr>
      </w:pPr>
      <w:r w:rsidRPr="00F4526E">
        <w:rPr>
          <w:rFonts w:cs="Times"/>
        </w:rPr>
        <w:t>Racism</w:t>
      </w:r>
    </w:p>
    <w:p w14:paraId="11E78A8C" w14:textId="77777777" w:rsidR="00E81858" w:rsidRPr="00F4526E" w:rsidRDefault="00E81858" w:rsidP="003F15DD">
      <w:pPr>
        <w:widowControl w:val="0"/>
        <w:numPr>
          <w:ilvl w:val="0"/>
          <w:numId w:val="29"/>
        </w:numPr>
        <w:tabs>
          <w:tab w:val="left" w:pos="220"/>
          <w:tab w:val="left" w:pos="720"/>
        </w:tabs>
        <w:autoSpaceDE w:val="0"/>
        <w:autoSpaceDN w:val="0"/>
        <w:adjustRightInd w:val="0"/>
        <w:rPr>
          <w:rFonts w:cs="Times"/>
        </w:rPr>
      </w:pPr>
      <w:r w:rsidRPr="00F4526E">
        <w:rPr>
          <w:rFonts w:cs="Times"/>
        </w:rPr>
        <w:t>Early childhood development, education and youth</w:t>
      </w:r>
    </w:p>
    <w:p w14:paraId="7ABAD8CC" w14:textId="77777777" w:rsidR="00E81858" w:rsidRPr="00F4526E" w:rsidRDefault="00E81858" w:rsidP="003F15DD">
      <w:pPr>
        <w:widowControl w:val="0"/>
        <w:numPr>
          <w:ilvl w:val="0"/>
          <w:numId w:val="29"/>
        </w:numPr>
        <w:tabs>
          <w:tab w:val="left" w:pos="220"/>
          <w:tab w:val="left" w:pos="720"/>
        </w:tabs>
        <w:autoSpaceDE w:val="0"/>
        <w:autoSpaceDN w:val="0"/>
        <w:adjustRightInd w:val="0"/>
        <w:rPr>
          <w:rFonts w:cs="Times"/>
        </w:rPr>
      </w:pPr>
      <w:r w:rsidRPr="00F4526E">
        <w:rPr>
          <w:rFonts w:cs="Times"/>
        </w:rPr>
        <w:t>Employment and income</w:t>
      </w:r>
    </w:p>
    <w:p w14:paraId="6D1C164C" w14:textId="77777777" w:rsidR="00E81858" w:rsidRPr="00F4526E" w:rsidRDefault="00E81858" w:rsidP="003F15DD">
      <w:pPr>
        <w:widowControl w:val="0"/>
        <w:numPr>
          <w:ilvl w:val="0"/>
          <w:numId w:val="29"/>
        </w:numPr>
        <w:tabs>
          <w:tab w:val="left" w:pos="220"/>
          <w:tab w:val="left" w:pos="720"/>
        </w:tabs>
        <w:autoSpaceDE w:val="0"/>
        <w:autoSpaceDN w:val="0"/>
        <w:adjustRightInd w:val="0"/>
        <w:rPr>
          <w:rFonts w:cs="Times"/>
        </w:rPr>
      </w:pPr>
      <w:r w:rsidRPr="00F4526E">
        <w:rPr>
          <w:rFonts w:cs="Times"/>
        </w:rPr>
        <w:t>Housing, environment and infrastructure</w:t>
      </w:r>
    </w:p>
    <w:p w14:paraId="69905C1D" w14:textId="77777777" w:rsidR="00E81858" w:rsidRPr="00F4526E" w:rsidRDefault="00E81858" w:rsidP="003F15DD">
      <w:pPr>
        <w:widowControl w:val="0"/>
        <w:numPr>
          <w:ilvl w:val="0"/>
          <w:numId w:val="29"/>
        </w:numPr>
        <w:tabs>
          <w:tab w:val="left" w:pos="220"/>
          <w:tab w:val="left" w:pos="720"/>
        </w:tabs>
        <w:autoSpaceDE w:val="0"/>
        <w:autoSpaceDN w:val="0"/>
        <w:adjustRightInd w:val="0"/>
        <w:rPr>
          <w:rFonts w:cs="Times"/>
        </w:rPr>
      </w:pPr>
      <w:r w:rsidRPr="00F4526E">
        <w:rPr>
          <w:rFonts w:cs="Times"/>
        </w:rPr>
        <w:t>Interaction with government systems and services</w:t>
      </w:r>
    </w:p>
    <w:p w14:paraId="622AC423" w14:textId="77777777" w:rsidR="00E81858" w:rsidRPr="00F4526E" w:rsidRDefault="00E81858" w:rsidP="003F15DD">
      <w:pPr>
        <w:widowControl w:val="0"/>
        <w:numPr>
          <w:ilvl w:val="0"/>
          <w:numId w:val="29"/>
        </w:numPr>
        <w:tabs>
          <w:tab w:val="left" w:pos="220"/>
          <w:tab w:val="left" w:pos="720"/>
        </w:tabs>
        <w:autoSpaceDE w:val="0"/>
        <w:autoSpaceDN w:val="0"/>
        <w:adjustRightInd w:val="0"/>
        <w:rPr>
          <w:rFonts w:cs="Times"/>
        </w:rPr>
      </w:pPr>
      <w:r w:rsidRPr="00F4526E">
        <w:rPr>
          <w:rFonts w:cs="Times"/>
        </w:rPr>
        <w:t>Law and justice</w:t>
      </w:r>
    </w:p>
    <w:p w14:paraId="1DB3595E" w14:textId="77777777" w:rsidR="00E81858" w:rsidRPr="00F4526E" w:rsidRDefault="00E81858" w:rsidP="003F15DD">
      <w:pPr>
        <w:widowControl w:val="0"/>
        <w:numPr>
          <w:ilvl w:val="0"/>
          <w:numId w:val="29"/>
        </w:numPr>
        <w:tabs>
          <w:tab w:val="left" w:pos="220"/>
          <w:tab w:val="left" w:pos="720"/>
        </w:tabs>
        <w:autoSpaceDE w:val="0"/>
        <w:autoSpaceDN w:val="0"/>
        <w:adjustRightInd w:val="0"/>
        <w:rPr>
          <w:rFonts w:cs="Times"/>
        </w:rPr>
      </w:pPr>
      <w:r w:rsidRPr="00F4526E">
        <w:rPr>
          <w:rFonts w:cs="Times"/>
        </w:rPr>
        <w:t>Health choices</w:t>
      </w:r>
    </w:p>
    <w:p w14:paraId="04783F26" w14:textId="77777777" w:rsidR="00E81858" w:rsidRPr="00F4526E" w:rsidRDefault="00E81858" w:rsidP="003F15DD">
      <w:pPr>
        <w:widowControl w:val="0"/>
        <w:numPr>
          <w:ilvl w:val="0"/>
          <w:numId w:val="29"/>
        </w:numPr>
        <w:tabs>
          <w:tab w:val="left" w:pos="220"/>
          <w:tab w:val="left" w:pos="720"/>
        </w:tabs>
        <w:autoSpaceDE w:val="0"/>
        <w:autoSpaceDN w:val="0"/>
        <w:adjustRightInd w:val="0"/>
        <w:rPr>
          <w:rFonts w:cs="Times"/>
        </w:rPr>
      </w:pPr>
      <w:r w:rsidRPr="00F4526E">
        <w:rPr>
          <w:rFonts w:cs="Times"/>
        </w:rPr>
        <w:t>Food security</w:t>
      </w:r>
    </w:p>
    <w:p w14:paraId="3DC6C355" w14:textId="40A7DD2F" w:rsidR="00486D6F" w:rsidRDefault="00486D6F" w:rsidP="001F6CE0"/>
    <w:p w14:paraId="02DD21B4" w14:textId="77777777" w:rsidR="002F34C3" w:rsidRDefault="002F34C3" w:rsidP="001F6CE0"/>
    <w:p w14:paraId="450E1B49" w14:textId="66A4F732" w:rsidR="00F733A4" w:rsidRPr="002F34C3" w:rsidRDefault="00E81858" w:rsidP="002F34C3">
      <w:pPr>
        <w:pStyle w:val="Heading3"/>
        <w:rPr>
          <w:color w:val="C00000"/>
          <w:sz w:val="24"/>
        </w:rPr>
      </w:pPr>
      <w:r w:rsidRPr="00FF54C9">
        <w:rPr>
          <w:color w:val="C00000"/>
          <w:sz w:val="24"/>
        </w:rPr>
        <w:t xml:space="preserve">1.2. Increase early detection and management to slow progression </w:t>
      </w:r>
      <w:r w:rsidR="00512926" w:rsidRPr="00FF54C9">
        <w:rPr>
          <w:color w:val="C00000"/>
          <w:sz w:val="24"/>
        </w:rPr>
        <w:t xml:space="preserve">of kidney disease </w:t>
      </w:r>
      <w:r w:rsidRPr="00FF54C9">
        <w:rPr>
          <w:color w:val="C00000"/>
          <w:sz w:val="24"/>
        </w:rPr>
        <w:t>and empower people to self-manage their conditions</w:t>
      </w:r>
    </w:p>
    <w:p w14:paraId="2480FB16" w14:textId="77777777" w:rsidR="002F34C3" w:rsidRDefault="002F34C3" w:rsidP="004337FF">
      <w:pPr>
        <w:pStyle w:val="KidneyBodyBold"/>
      </w:pPr>
    </w:p>
    <w:p w14:paraId="402772C7" w14:textId="61AC27D5" w:rsidR="00E81858" w:rsidRDefault="00E81858" w:rsidP="004337FF">
      <w:pPr>
        <w:pStyle w:val="KidneyBodyBold"/>
      </w:pPr>
      <w:r>
        <w:t>E</w:t>
      </w:r>
      <w:r w:rsidRPr="00C3087F">
        <w:t>arly</w:t>
      </w:r>
      <w:r>
        <w:t xml:space="preserve"> primary care</w:t>
      </w:r>
      <w:r w:rsidRPr="00C3087F">
        <w:t xml:space="preserve"> </w:t>
      </w:r>
      <w:r>
        <w:t xml:space="preserve">risk assessment, </w:t>
      </w:r>
      <w:r w:rsidRPr="00C3087F">
        <w:t>detection</w:t>
      </w:r>
      <w:r>
        <w:t xml:space="preserve"> and intervention</w:t>
      </w:r>
    </w:p>
    <w:p w14:paraId="2A49CF13" w14:textId="77777777" w:rsidR="00486D6F" w:rsidRPr="00486D6F" w:rsidRDefault="00486D6F" w:rsidP="003F15DD">
      <w:pPr>
        <w:pStyle w:val="ListParagraph"/>
        <w:numPr>
          <w:ilvl w:val="0"/>
          <w:numId w:val="8"/>
        </w:numPr>
        <w:ind w:right="96"/>
      </w:pPr>
      <w:r w:rsidRPr="00486D6F">
        <w:t>U</w:t>
      </w:r>
      <w:r w:rsidR="00E81858" w:rsidRPr="00486D6F">
        <w:t xml:space="preserve">p to 90% of kidney function can be lost before symptoms are evident. </w:t>
      </w:r>
    </w:p>
    <w:p w14:paraId="66EFDD1E" w14:textId="77777777" w:rsidR="00486D6F" w:rsidRPr="00486D6F" w:rsidRDefault="00E81858" w:rsidP="003F15DD">
      <w:pPr>
        <w:pStyle w:val="ListParagraph"/>
        <w:numPr>
          <w:ilvl w:val="0"/>
          <w:numId w:val="8"/>
        </w:numPr>
        <w:ind w:right="96"/>
      </w:pPr>
      <w:r w:rsidRPr="00486D6F">
        <w:t>Around 10% of people attending general practice have CKD, but most do not know it.</w:t>
      </w:r>
      <w:r w:rsidRPr="00486D6F">
        <w:rPr>
          <w:rStyle w:val="EndnoteReference"/>
        </w:rPr>
        <w:endnoteReference w:id="55"/>
      </w:r>
      <w:r w:rsidRPr="00486D6F">
        <w:t xml:space="preserve">  </w:t>
      </w:r>
    </w:p>
    <w:p w14:paraId="58740818" w14:textId="51F43624" w:rsidR="00E81858" w:rsidRPr="00486D6F" w:rsidRDefault="00E81858" w:rsidP="003F15DD">
      <w:pPr>
        <w:pStyle w:val="ListParagraph"/>
        <w:numPr>
          <w:ilvl w:val="0"/>
          <w:numId w:val="8"/>
        </w:numPr>
        <w:ind w:right="96"/>
      </w:pPr>
      <w:r w:rsidRPr="00486D6F">
        <w:lastRenderedPageBreak/>
        <w:t xml:space="preserve">Primary care is the logical location for assessment and detection </w:t>
      </w:r>
      <w:r w:rsidR="00486D6F" w:rsidRPr="00486D6F">
        <w:t xml:space="preserve">of CKD </w:t>
      </w:r>
      <w:r w:rsidRPr="00486D6F">
        <w:t>given 83% of Australians visit their general practitioner at least once a year.</w:t>
      </w:r>
      <w:r w:rsidRPr="00486D6F">
        <w:rPr>
          <w:rStyle w:val="EndnoteReference"/>
        </w:rPr>
        <w:endnoteReference w:id="56"/>
      </w:r>
      <w:r w:rsidRPr="00486D6F">
        <w:t xml:space="preserve"> </w:t>
      </w:r>
    </w:p>
    <w:p w14:paraId="34B8EFA2" w14:textId="77777777" w:rsidR="00E81858" w:rsidRPr="00847ABE" w:rsidRDefault="00E81858" w:rsidP="00847ABE">
      <w:pPr>
        <w:ind w:right="96"/>
        <w:contextualSpacing/>
      </w:pPr>
    </w:p>
    <w:p w14:paraId="78311A39" w14:textId="7D0BFF9F" w:rsidR="001737A2" w:rsidRDefault="00E81858" w:rsidP="00486D6F">
      <w:pPr>
        <w:widowControl w:val="0"/>
        <w:autoSpaceDE w:val="0"/>
        <w:autoSpaceDN w:val="0"/>
        <w:adjustRightInd w:val="0"/>
      </w:pPr>
      <w:r w:rsidRPr="00125571">
        <w:t xml:space="preserve">A key benefit of primary care detection and effective primary care management is early nephrology referral. </w:t>
      </w:r>
      <w:r w:rsidR="00486D6F">
        <w:t>Early referral is associated with</w:t>
      </w:r>
      <w:r w:rsidR="004D3529">
        <w:t>:</w:t>
      </w:r>
    </w:p>
    <w:p w14:paraId="505A7ED5" w14:textId="77777777" w:rsidR="00B019B2" w:rsidRDefault="00B019B2" w:rsidP="00486D6F">
      <w:pPr>
        <w:widowControl w:val="0"/>
        <w:autoSpaceDE w:val="0"/>
        <w:autoSpaceDN w:val="0"/>
        <w:adjustRightInd w:val="0"/>
      </w:pPr>
    </w:p>
    <w:p w14:paraId="668FBB5A" w14:textId="33ED6947" w:rsidR="00486D6F" w:rsidRPr="00486D6F" w:rsidRDefault="00E81858" w:rsidP="003F15DD">
      <w:pPr>
        <w:pStyle w:val="ListParagraph"/>
        <w:widowControl w:val="0"/>
        <w:numPr>
          <w:ilvl w:val="0"/>
          <w:numId w:val="9"/>
        </w:numPr>
        <w:autoSpaceDE w:val="0"/>
        <w:autoSpaceDN w:val="0"/>
        <w:adjustRightInd w:val="0"/>
      </w:pPr>
      <w:r w:rsidRPr="00486D6F">
        <w:t>significant improvements mortality, morbidity and hospitalisations, better uptake of peritoneal dialysis and earlier placement of arteriovenous fistulae.</w:t>
      </w:r>
      <w:r w:rsidRPr="00486D6F">
        <w:rPr>
          <w:rStyle w:val="EndnoteReference"/>
          <w:rFonts w:cs="Times"/>
        </w:rPr>
        <w:endnoteReference w:id="57"/>
      </w:r>
      <w:r w:rsidRPr="00486D6F">
        <w:rPr>
          <w:rFonts w:cs="Times"/>
        </w:rPr>
        <w:t xml:space="preserve"> </w:t>
      </w:r>
    </w:p>
    <w:p w14:paraId="1EB1B1AD" w14:textId="77777777" w:rsidR="00486D6F" w:rsidRPr="00486D6F" w:rsidRDefault="00E81858" w:rsidP="003F15DD">
      <w:pPr>
        <w:pStyle w:val="ListParagraph"/>
        <w:widowControl w:val="0"/>
        <w:numPr>
          <w:ilvl w:val="0"/>
          <w:numId w:val="9"/>
        </w:numPr>
        <w:autoSpaceDE w:val="0"/>
        <w:autoSpaceDN w:val="0"/>
        <w:adjustRightInd w:val="0"/>
      </w:pPr>
      <w:r w:rsidRPr="00486D6F">
        <w:t>lower overall treatment costs and reduced likelihood of progressing to the next CKD stage</w:t>
      </w:r>
      <w:r w:rsidRPr="00486D6F">
        <w:rPr>
          <w:rFonts w:cs="Times"/>
        </w:rPr>
        <w:t>.</w:t>
      </w:r>
      <w:r w:rsidRPr="00486D6F">
        <w:rPr>
          <w:rStyle w:val="EndnoteReference"/>
          <w:rFonts w:cs="Times"/>
        </w:rPr>
        <w:endnoteReference w:id="58"/>
      </w:r>
      <w:r w:rsidRPr="00486D6F">
        <w:rPr>
          <w:rStyle w:val="EndnoteReference"/>
        </w:rPr>
        <w:t>,</w:t>
      </w:r>
      <w:r w:rsidRPr="00486D6F">
        <w:rPr>
          <w:rStyle w:val="EndnoteReference"/>
          <w:rFonts w:cs="Times"/>
        </w:rPr>
        <w:endnoteReference w:id="59"/>
      </w:r>
    </w:p>
    <w:p w14:paraId="3D5638A6" w14:textId="77777777" w:rsidR="003F3A3A" w:rsidRDefault="003F3A3A" w:rsidP="003F3A3A">
      <w:pPr>
        <w:widowControl w:val="0"/>
        <w:autoSpaceDE w:val="0"/>
        <w:autoSpaceDN w:val="0"/>
        <w:adjustRightInd w:val="0"/>
      </w:pPr>
    </w:p>
    <w:p w14:paraId="62CB99C2" w14:textId="21FA01A2" w:rsidR="00E81858" w:rsidRDefault="00E81858" w:rsidP="00486D6F">
      <w:pPr>
        <w:widowControl w:val="0"/>
        <w:autoSpaceDE w:val="0"/>
        <w:autoSpaceDN w:val="0"/>
        <w:adjustRightInd w:val="0"/>
        <w:spacing w:after="240"/>
      </w:pPr>
      <w:r w:rsidRPr="00486D6F">
        <w:t>However among patients who reach ESKD requiring dialysis in Australia, around quarter present to nephrologists late and commence dialysis within 90 days.</w:t>
      </w:r>
      <w:r w:rsidRPr="00486D6F">
        <w:rPr>
          <w:rStyle w:val="EndnoteReference"/>
        </w:rPr>
        <w:endnoteReference w:id="60"/>
      </w:r>
    </w:p>
    <w:p w14:paraId="50D6E300" w14:textId="4886C0B2" w:rsidR="006B1D9F" w:rsidRDefault="00DE00ED" w:rsidP="00486D6F">
      <w:pPr>
        <w:widowControl w:val="0"/>
        <w:autoSpaceDE w:val="0"/>
        <w:autoSpaceDN w:val="0"/>
        <w:adjustRightInd w:val="0"/>
        <w:spacing w:after="240"/>
      </w:pPr>
      <w:r>
        <w:t>R</w:t>
      </w:r>
      <w:r w:rsidR="006B1D9F">
        <w:t xml:space="preserve">isk assessment </w:t>
      </w:r>
      <w:r>
        <w:t>is most effective when</w:t>
      </w:r>
      <w:r w:rsidR="006B1D9F">
        <w:t xml:space="preserve"> </w:t>
      </w:r>
      <w:r>
        <w:t>coordinated with referral</w:t>
      </w:r>
      <w:r w:rsidR="006B1D9F">
        <w:t xml:space="preserve"> </w:t>
      </w:r>
      <w:r>
        <w:t>with primary health services and lifestyle modification</w:t>
      </w:r>
      <w:r w:rsidR="006B1D9F">
        <w:t xml:space="preserve"> for follow up of those found to be high risk</w:t>
      </w:r>
      <w:r w:rsidR="000D6FA5">
        <w:t>.</w:t>
      </w:r>
      <w:r>
        <w:rPr>
          <w:rStyle w:val="EndnoteReference"/>
        </w:rPr>
        <w:endnoteReference w:id="61"/>
      </w:r>
    </w:p>
    <w:p w14:paraId="788B14F1" w14:textId="25DD5FD6" w:rsidR="00882453" w:rsidRDefault="00FA0282" w:rsidP="001737A2">
      <w:pPr>
        <w:pStyle w:val="KidneyBodyBold"/>
      </w:pPr>
      <w:r>
        <w:t>Health assessments</w:t>
      </w:r>
    </w:p>
    <w:p w14:paraId="29132A42" w14:textId="3AC085D3" w:rsidR="001737A2" w:rsidRDefault="00FA0282" w:rsidP="00FA0282">
      <w:pPr>
        <w:widowControl w:val="0"/>
        <w:autoSpaceDE w:val="0"/>
        <w:autoSpaceDN w:val="0"/>
        <w:adjustRightInd w:val="0"/>
      </w:pPr>
      <w:r w:rsidRPr="00125571">
        <w:t>The M</w:t>
      </w:r>
      <w:r w:rsidR="00740181">
        <w:t>edical Benefits Scheme (MBS)</w:t>
      </w:r>
      <w:r w:rsidRPr="00125571">
        <w:t xml:space="preserve"> Health Assessment items are the key mechanism for detecting chronic disease in primary care settings.  Health assessments may include the use of risk assessment tools and tools to establish diagnosis of chronic disease, as well as the development of a management plan.  The Medicare Benefits Taskforce Review Report from the General Practice and Primary Care Clinical Committee: Phase 2, made a number of recommendations regarding the suite of Health Assessment items (701. 703. 705, 707 and 715)</w:t>
      </w:r>
      <w:r w:rsidR="00E838EB">
        <w:rPr>
          <w:rStyle w:val="EndnoteReference"/>
        </w:rPr>
        <w:endnoteReference w:id="62"/>
      </w:r>
      <w:r w:rsidR="000D6FA5">
        <w:t xml:space="preserve"> </w:t>
      </w:r>
      <w:r w:rsidRPr="00125571">
        <w:t>aimed at improving the quality of health assessments, including</w:t>
      </w:r>
      <w:r w:rsidR="00740181">
        <w:t>:</w:t>
      </w:r>
    </w:p>
    <w:p w14:paraId="06DABE55" w14:textId="77777777" w:rsidR="00B019B2" w:rsidRPr="00125571" w:rsidRDefault="00B019B2" w:rsidP="00FA0282">
      <w:pPr>
        <w:widowControl w:val="0"/>
        <w:autoSpaceDE w:val="0"/>
        <w:autoSpaceDN w:val="0"/>
        <w:adjustRightInd w:val="0"/>
      </w:pPr>
    </w:p>
    <w:p w14:paraId="62F9533D" w14:textId="5C0FE22C" w:rsidR="00FA0282" w:rsidRPr="00FA0282" w:rsidRDefault="00FA0282" w:rsidP="003F15DD">
      <w:pPr>
        <w:pStyle w:val="ListParagraph"/>
        <w:widowControl w:val="0"/>
        <w:numPr>
          <w:ilvl w:val="0"/>
          <w:numId w:val="21"/>
        </w:numPr>
        <w:autoSpaceDE w:val="0"/>
        <w:autoSpaceDN w:val="0"/>
        <w:adjustRightInd w:val="0"/>
      </w:pPr>
      <w:r w:rsidRPr="00FA0282">
        <w:t>Include a requirement that the GP must personally explain the findings and implications of the Health Assessment to the patient, and agree with the patient a plan for health promotion and disease preve</w:t>
      </w:r>
      <w:r w:rsidR="005A4522">
        <w:t>ntion based on these findings.</w:t>
      </w:r>
    </w:p>
    <w:p w14:paraId="11FB23CE" w14:textId="77777777" w:rsidR="00FA0282" w:rsidRPr="00FA0282" w:rsidRDefault="00FA0282" w:rsidP="003F15DD">
      <w:pPr>
        <w:pStyle w:val="ListParagraph"/>
        <w:widowControl w:val="0"/>
        <w:numPr>
          <w:ilvl w:val="0"/>
          <w:numId w:val="21"/>
        </w:numPr>
        <w:autoSpaceDE w:val="0"/>
        <w:autoSpaceDN w:val="0"/>
        <w:adjustRightInd w:val="0"/>
      </w:pPr>
      <w:r w:rsidRPr="00FA0282">
        <w:t xml:space="preserve">Include the requirement that the Health Assessment be uploaded to My Health Record, unless patient consent is withdrawn, and where reasonably achievable. </w:t>
      </w:r>
    </w:p>
    <w:p w14:paraId="6A9944BD" w14:textId="0A8D5272" w:rsidR="00FA0282" w:rsidRPr="00FA0282" w:rsidRDefault="00FA0282" w:rsidP="003F15DD">
      <w:pPr>
        <w:pStyle w:val="ListParagraph"/>
        <w:widowControl w:val="0"/>
        <w:numPr>
          <w:ilvl w:val="0"/>
          <w:numId w:val="21"/>
        </w:numPr>
        <w:autoSpaceDE w:val="0"/>
        <w:autoSpaceDN w:val="0"/>
        <w:adjustRightInd w:val="0"/>
      </w:pPr>
      <w:r w:rsidRPr="00FA0282">
        <w:t>Expand eligibility of Health Assessments to new at-risk populations and modify existing populations to better align with</w:t>
      </w:r>
      <w:r w:rsidR="005A4522">
        <w:t xml:space="preserve"> clinical and service needs</w:t>
      </w:r>
      <w:r w:rsidR="00740181">
        <w:t>.</w:t>
      </w:r>
    </w:p>
    <w:p w14:paraId="14EEFBA0" w14:textId="68FB0C54" w:rsidR="00FA0282" w:rsidRPr="00FA0282" w:rsidRDefault="00FA0282" w:rsidP="003F15DD">
      <w:pPr>
        <w:pStyle w:val="ListParagraph"/>
        <w:widowControl w:val="0"/>
        <w:numPr>
          <w:ilvl w:val="0"/>
          <w:numId w:val="21"/>
        </w:numPr>
        <w:autoSpaceDE w:val="0"/>
        <w:autoSpaceDN w:val="0"/>
        <w:adjustRightInd w:val="0"/>
      </w:pPr>
      <w:r w:rsidRPr="00FA0282">
        <w:t>Ensure that the content of Health Assessments should conform to guidelines generally acceptable to the wider body of the profession such as the Guidelines for preventive activities in general practice</w:t>
      </w:r>
      <w:r w:rsidR="00FA754D">
        <w:t>.</w:t>
      </w:r>
      <w:r w:rsidR="00AA1AF5">
        <w:rPr>
          <w:rStyle w:val="EndnoteReference"/>
        </w:rPr>
        <w:endnoteReference w:id="63"/>
      </w:r>
    </w:p>
    <w:p w14:paraId="0C96E8DF" w14:textId="77777777" w:rsidR="00AA6F3E" w:rsidRPr="00C17185" w:rsidRDefault="00AA6F3E" w:rsidP="00AA6F3E">
      <w:pPr>
        <w:autoSpaceDE w:val="0"/>
        <w:autoSpaceDN w:val="0"/>
        <w:adjustRightInd w:val="0"/>
        <w:rPr>
          <w:rFonts w:eastAsia="Times New Roman" w:cs="Calibri"/>
          <w:bCs/>
          <w:lang w:val="en-US"/>
        </w:rPr>
      </w:pPr>
    </w:p>
    <w:p w14:paraId="0C3D811D" w14:textId="10C46BB8" w:rsidR="001737A2" w:rsidRDefault="00FA0282" w:rsidP="00FA0282">
      <w:pPr>
        <w:ind w:right="96"/>
      </w:pPr>
      <w:r w:rsidRPr="00FA0282">
        <w:t>The National Vascular Disease Prevention Alliance (NVDPA)</w:t>
      </w:r>
      <w:r w:rsidR="00894F66">
        <w:t xml:space="preserve"> </w:t>
      </w:r>
      <w:r w:rsidRPr="00FA0282">
        <w:t xml:space="preserve">has been calling for an </w:t>
      </w:r>
      <w:r w:rsidR="000D6FA5">
        <w:t>‘</w:t>
      </w:r>
      <w:r w:rsidRPr="00FA0282">
        <w:t>Integr</w:t>
      </w:r>
      <w:r>
        <w:t>ated Health Check</w:t>
      </w:r>
      <w:r w:rsidR="000D6FA5">
        <w:t>’</w:t>
      </w:r>
      <w:r>
        <w:t xml:space="preserve"> at a GP level, </w:t>
      </w:r>
      <w:r w:rsidRPr="00FA0282">
        <w:t>which would</w:t>
      </w:r>
      <w:r w:rsidR="00740181">
        <w:t>:</w:t>
      </w:r>
    </w:p>
    <w:p w14:paraId="5A652518" w14:textId="77777777" w:rsidR="00B019B2" w:rsidRPr="00FA0282" w:rsidRDefault="00B019B2" w:rsidP="00FA0282">
      <w:pPr>
        <w:ind w:right="96"/>
      </w:pPr>
    </w:p>
    <w:p w14:paraId="34D0F394" w14:textId="5D49D017" w:rsidR="00FA0282" w:rsidRPr="00FA0282" w:rsidRDefault="00FA0282" w:rsidP="003F15DD">
      <w:pPr>
        <w:pStyle w:val="ListParagraph"/>
        <w:numPr>
          <w:ilvl w:val="0"/>
          <w:numId w:val="8"/>
        </w:numPr>
        <w:ind w:right="96"/>
      </w:pPr>
      <w:r w:rsidRPr="00FA0282">
        <w:t>Check eligible patients for vascular and related conditions through an ‘</w:t>
      </w:r>
      <w:r w:rsidR="000D6FA5">
        <w:t>I</w:t>
      </w:r>
      <w:r w:rsidRPr="00FA0282">
        <w:t xml:space="preserve">ntegrated </w:t>
      </w:r>
      <w:r w:rsidR="000D6FA5">
        <w:t>H</w:t>
      </w:r>
      <w:r w:rsidRPr="00FA0282">
        <w:t xml:space="preserve">ealth </w:t>
      </w:r>
      <w:r w:rsidR="000D6FA5">
        <w:t>C</w:t>
      </w:r>
      <w:r w:rsidRPr="00FA0282">
        <w:t>heck’ which includes an absolute cardiovascular risk assessment, diabetes check and kidney disease check</w:t>
      </w:r>
      <w:r w:rsidR="00740181">
        <w:t>.</w:t>
      </w:r>
    </w:p>
    <w:p w14:paraId="4F1D53B3" w14:textId="5629DC79" w:rsidR="00FA0282" w:rsidRPr="00FA0282" w:rsidRDefault="00FA0282" w:rsidP="003F15DD">
      <w:pPr>
        <w:pStyle w:val="ListParagraph"/>
        <w:numPr>
          <w:ilvl w:val="0"/>
          <w:numId w:val="8"/>
        </w:numPr>
        <w:ind w:right="96"/>
      </w:pPr>
      <w:r w:rsidRPr="00FA0282">
        <w:t>Manage the overall risk profile of patients, stratify risk (high, moderate, low) and address their combined risk factors through advice about healthy eating, healthy physical activity and healthy weight, medical management and/or facilitating and coordinating access to evidence-based prevention programs</w:t>
      </w:r>
      <w:r w:rsidR="00740181">
        <w:t>.</w:t>
      </w:r>
      <w:r w:rsidRPr="00FA0282">
        <w:t xml:space="preserve"> </w:t>
      </w:r>
    </w:p>
    <w:p w14:paraId="3320D930" w14:textId="1EFBF702" w:rsidR="00FA0282" w:rsidRPr="00FA0282" w:rsidRDefault="00FA0282" w:rsidP="003F15DD">
      <w:pPr>
        <w:pStyle w:val="ListParagraph"/>
        <w:numPr>
          <w:ilvl w:val="0"/>
          <w:numId w:val="8"/>
        </w:numPr>
        <w:ind w:right="96"/>
      </w:pPr>
      <w:r w:rsidRPr="00FA0282">
        <w:t>Maintain a patient register, with recall and reminder system for patients eligible for assessment and those who require management of risk</w:t>
      </w:r>
      <w:r w:rsidR="00740181">
        <w:t>.</w:t>
      </w:r>
    </w:p>
    <w:p w14:paraId="6493C3F7" w14:textId="43D90018" w:rsidR="00AA6F3E" w:rsidRDefault="00FA0282" w:rsidP="003F15DD">
      <w:pPr>
        <w:pStyle w:val="ListParagraph"/>
        <w:numPr>
          <w:ilvl w:val="0"/>
          <w:numId w:val="8"/>
        </w:numPr>
        <w:ind w:right="96"/>
      </w:pPr>
      <w:r w:rsidRPr="00FA0282">
        <w:t xml:space="preserve">Record and report proportion of eligible patients who are checked, who have their risk managed according to the relevant practice guidelines, who have a GP management plan, and who access evidence-based prevention programs. </w:t>
      </w:r>
    </w:p>
    <w:p w14:paraId="605F4FE3" w14:textId="77777777" w:rsidR="005445C3" w:rsidRDefault="005445C3" w:rsidP="005445C3">
      <w:pPr>
        <w:ind w:right="96"/>
      </w:pPr>
    </w:p>
    <w:p w14:paraId="38ED429D" w14:textId="75B611EC" w:rsidR="009D5CB3" w:rsidRDefault="005445C3" w:rsidP="009D5CB3">
      <w:pPr>
        <w:rPr>
          <w:szCs w:val="20"/>
        </w:rPr>
      </w:pPr>
      <w:r w:rsidRPr="00FA754D">
        <w:t>In February 2019 the Com</w:t>
      </w:r>
      <w:r w:rsidR="00046E56" w:rsidRPr="00FA754D">
        <w:t>monwealth Government announced</w:t>
      </w:r>
      <w:r w:rsidR="00FA754D" w:rsidRPr="00FA754D">
        <w:t xml:space="preserve"> primary care Heart Health Checks lasting at least 20 minutes would be made available from 1 April 2019</w:t>
      </w:r>
      <w:r w:rsidR="00BE505F">
        <w:t>.</w:t>
      </w:r>
      <w:r w:rsidR="00303AA8">
        <w:rPr>
          <w:rStyle w:val="EndnoteReference"/>
        </w:rPr>
        <w:endnoteReference w:id="64"/>
      </w:r>
      <w:r w:rsidR="00BE505F">
        <w:t xml:space="preserve"> </w:t>
      </w:r>
      <w:r w:rsidR="00FA754D" w:rsidRPr="00FA754D">
        <w:t xml:space="preserve">The two new </w:t>
      </w:r>
      <w:r w:rsidRPr="00FA754D">
        <w:t xml:space="preserve">interim items (699 and 177) </w:t>
      </w:r>
      <w:r w:rsidR="00FA754D" w:rsidRPr="00FA754D">
        <w:t>are available to patients with cardiovascular disease, or patients at risk of developing cardiovascular disease Cardiovascular disease including: people aged 45 years and above Aboriginal or Torres Strait Islander persons who are aged 30 years and above</w:t>
      </w:r>
      <w:r w:rsidR="00FA754D">
        <w:t xml:space="preserve">. The eligibility criteria and scope of and these items is narrower than the recommendations of the Medicare </w:t>
      </w:r>
      <w:r w:rsidR="00FA754D" w:rsidRPr="00125571">
        <w:t>Benefits Taskforce Review Report from the General Practice and Primary Care Clinical Committee</w:t>
      </w:r>
      <w:r w:rsidR="009D5CB3">
        <w:t xml:space="preserve">. The committee </w:t>
      </w:r>
      <w:r w:rsidR="00FA754D">
        <w:t>recommended expanding the avai</w:t>
      </w:r>
      <w:r w:rsidR="009D5CB3">
        <w:t xml:space="preserve">lability of health assessments </w:t>
      </w:r>
      <w:r w:rsidR="00FA754D">
        <w:t xml:space="preserve">to people </w:t>
      </w:r>
      <w:r w:rsidR="009D5CB3">
        <w:t xml:space="preserve">40 years and over and deleting the short (20 minute) health assessment items </w:t>
      </w:r>
      <w:r w:rsidR="009D5CB3" w:rsidRPr="00303AA8">
        <w:t>701 (224*)</w:t>
      </w:r>
      <w:r w:rsidR="00303AA8">
        <w:t>.</w:t>
      </w:r>
    </w:p>
    <w:p w14:paraId="5283B77A" w14:textId="77777777" w:rsidR="00E81858" w:rsidRPr="0049046A" w:rsidRDefault="00E81858" w:rsidP="001737A2">
      <w:pPr>
        <w:pStyle w:val="KidneyBodyBold"/>
      </w:pPr>
      <w:r w:rsidRPr="0049046A">
        <w:lastRenderedPageBreak/>
        <w:t>Lifestyle modification</w:t>
      </w:r>
    </w:p>
    <w:p w14:paraId="1CC1A4F7" w14:textId="433FD487" w:rsidR="00E81858" w:rsidRDefault="00E81858" w:rsidP="00AE2E9A">
      <w:r w:rsidRPr="00125571">
        <w:t>Lifestyle modification programs are aimed at are people identified at high risk or in the early stages of chronic diseases, such as CKD. Such programs typically focus on healthy eating, physical activity, weight loss and smoking cessation and can be delivered online, in person, by telephone or a combination. Lifestyle modification is shown to be effective in reducing</w:t>
      </w:r>
      <w:r>
        <w:t xml:space="preserve"> a key risk factor for CKD, diabetes</w:t>
      </w:r>
      <w:r>
        <w:rPr>
          <w:rFonts w:cs="Times"/>
          <w:color w:val="323232"/>
        </w:rPr>
        <w:t>,</w:t>
      </w:r>
      <w:r>
        <w:rPr>
          <w:rStyle w:val="EndnoteReference"/>
          <w:rFonts w:cs="Times"/>
          <w:color w:val="323232"/>
        </w:rPr>
        <w:endnoteReference w:id="65"/>
      </w:r>
      <w:r w:rsidRPr="00125571">
        <w:t>particularly when directed by a dietician</w:t>
      </w:r>
      <w:r w:rsidRPr="00B92297">
        <w:rPr>
          <w:rStyle w:val="EndnoteReference"/>
          <w:rFonts w:cs="Times"/>
          <w:color w:val="323232"/>
        </w:rPr>
        <w:endnoteReference w:id="66"/>
      </w:r>
      <w:r w:rsidR="00740181">
        <w:t xml:space="preserve"> </w:t>
      </w:r>
      <w:r>
        <w:rPr>
          <w:rFonts w:cs="Times"/>
          <w:color w:val="323232"/>
        </w:rPr>
        <w:t>a</w:t>
      </w:r>
      <w:r w:rsidRPr="00125571">
        <w:t>nd when founded on recogni</w:t>
      </w:r>
      <w:r w:rsidR="00740181">
        <w:t>s</w:t>
      </w:r>
      <w:r w:rsidRPr="00125571">
        <w:t>ed guidelines</w:t>
      </w:r>
      <w:r>
        <w:rPr>
          <w:rFonts w:cs="Times"/>
          <w:color w:val="323232"/>
        </w:rPr>
        <w:t>.</w:t>
      </w:r>
      <w:r>
        <w:rPr>
          <w:rStyle w:val="EndnoteReference"/>
          <w:rFonts w:cs="Times"/>
          <w:color w:val="323232"/>
        </w:rPr>
        <w:endnoteReference w:id="67"/>
      </w:r>
      <w:r>
        <w:rPr>
          <w:rFonts w:cs="Times"/>
          <w:color w:val="323232"/>
        </w:rPr>
        <w:t xml:space="preserve">  </w:t>
      </w:r>
      <w:r w:rsidRPr="00125571">
        <w:t>These effects are shown to last up to 20 years</w:t>
      </w:r>
      <w:r>
        <w:t>.</w:t>
      </w:r>
      <w:r>
        <w:rPr>
          <w:rStyle w:val="EndnoteReference"/>
          <w:rFonts w:cs="Times"/>
          <w:color w:val="323232"/>
        </w:rPr>
        <w:endnoteReference w:id="68"/>
      </w:r>
    </w:p>
    <w:p w14:paraId="7431D6C1" w14:textId="77777777" w:rsidR="00E81858" w:rsidRPr="0074312C" w:rsidRDefault="00E81858" w:rsidP="00AE2E9A">
      <w:pPr>
        <w:rPr>
          <w:rFonts w:cs="Times"/>
          <w:color w:val="323232"/>
        </w:rPr>
      </w:pPr>
    </w:p>
    <w:p w14:paraId="12F14A04" w14:textId="13E9A907" w:rsidR="00E81858" w:rsidRDefault="00E81858" w:rsidP="001737A2">
      <w:pPr>
        <w:pStyle w:val="KidneyBodyBold"/>
      </w:pPr>
      <w:r>
        <w:t>Inherited</w:t>
      </w:r>
      <w:r w:rsidRPr="00E226E3">
        <w:t xml:space="preserve"> kidney dise</w:t>
      </w:r>
      <w:r>
        <w:t>a</w:t>
      </w:r>
      <w:r w:rsidRPr="00E226E3">
        <w:t>ses</w:t>
      </w:r>
    </w:p>
    <w:p w14:paraId="39975BE1" w14:textId="2E8EE963" w:rsidR="00486D6F" w:rsidRDefault="00E81858" w:rsidP="00F66C63">
      <w:pPr>
        <w:rPr>
          <w:rFonts w:cstheme="minorHAnsi"/>
          <w:color w:val="000000"/>
          <w:szCs w:val="20"/>
          <w:shd w:val="clear" w:color="auto" w:fill="FFFFFF"/>
        </w:rPr>
      </w:pPr>
      <w:r>
        <w:t xml:space="preserve">A number of forms of kidney diseases are genetic. These include </w:t>
      </w:r>
      <w:r>
        <w:rPr>
          <w:rFonts w:ascii="Arial" w:hAnsi="Arial" w:cs="Arial"/>
          <w:color w:val="000000"/>
          <w:szCs w:val="20"/>
          <w:shd w:val="clear" w:color="auto" w:fill="FFFFFF"/>
        </w:rPr>
        <w:t xml:space="preserve">cystic diseases, such as autosomal dominant and recessive polycystic kidney disease, metabolic diseases, such as </w:t>
      </w:r>
      <w:hyperlink r:id="rId11" w:history="1">
        <w:r w:rsidRPr="00BF7247">
          <w:t>Bartter and </w:t>
        </w:r>
        <w:r>
          <w:t xml:space="preserve">Gitelman </w:t>
        </w:r>
        <w:r w:rsidRPr="00BF7247">
          <w:t>syndromes</w:t>
        </w:r>
      </w:hyperlink>
      <w:r>
        <w:rPr>
          <w:rFonts w:ascii="Arial" w:hAnsi="Arial" w:cs="Arial"/>
          <w:color w:val="000000"/>
          <w:szCs w:val="20"/>
          <w:shd w:val="clear" w:color="auto" w:fill="FFFFFF"/>
        </w:rPr>
        <w:t xml:space="preserve"> and immune </w:t>
      </w:r>
      <w:r w:rsidRPr="00BE505F">
        <w:rPr>
          <w:rFonts w:cstheme="minorHAnsi"/>
          <w:color w:val="000000"/>
          <w:szCs w:val="20"/>
          <w:shd w:val="clear" w:color="auto" w:fill="FFFFFF"/>
        </w:rPr>
        <w:t>glomerulonephritis.</w:t>
      </w:r>
      <w:r w:rsidRPr="00BE505F">
        <w:rPr>
          <w:rStyle w:val="EndnoteReference"/>
          <w:rFonts w:cstheme="minorHAnsi"/>
          <w:color w:val="000000"/>
          <w:szCs w:val="20"/>
          <w:shd w:val="clear" w:color="auto" w:fill="FFFFFF"/>
        </w:rPr>
        <w:endnoteReference w:id="69"/>
      </w:r>
      <w:r w:rsidRPr="00BE505F">
        <w:rPr>
          <w:rFonts w:cstheme="minorHAnsi"/>
          <w:color w:val="000000"/>
          <w:szCs w:val="20"/>
          <w:shd w:val="clear" w:color="auto" w:fill="FFFFFF"/>
        </w:rPr>
        <w:t xml:space="preserve"> </w:t>
      </w:r>
    </w:p>
    <w:p w14:paraId="3B9C491E" w14:textId="77777777" w:rsidR="001737A2" w:rsidRPr="00BE505F" w:rsidRDefault="001737A2" w:rsidP="00F66C63">
      <w:pPr>
        <w:rPr>
          <w:rFonts w:cstheme="minorHAnsi"/>
          <w:color w:val="000000"/>
          <w:szCs w:val="20"/>
          <w:shd w:val="clear" w:color="auto" w:fill="FFFFFF"/>
        </w:rPr>
      </w:pPr>
    </w:p>
    <w:p w14:paraId="40FD8F67" w14:textId="02C91FDB" w:rsidR="00486D6F" w:rsidRPr="00BE505F" w:rsidRDefault="00E81858" w:rsidP="003F15DD">
      <w:pPr>
        <w:pStyle w:val="ListParagraph"/>
        <w:numPr>
          <w:ilvl w:val="0"/>
          <w:numId w:val="10"/>
        </w:numPr>
        <w:rPr>
          <w:rFonts w:cstheme="minorHAnsi"/>
        </w:rPr>
      </w:pPr>
      <w:r w:rsidRPr="00BE505F">
        <w:rPr>
          <w:rFonts w:cstheme="minorHAnsi"/>
          <w:color w:val="000000"/>
          <w:shd w:val="clear" w:color="auto" w:fill="FFFFFF"/>
        </w:rPr>
        <w:t>Poly</w:t>
      </w:r>
      <w:r w:rsidR="00740181" w:rsidRPr="00BE505F">
        <w:rPr>
          <w:rFonts w:cstheme="minorHAnsi"/>
          <w:color w:val="000000"/>
          <w:shd w:val="clear" w:color="auto" w:fill="FFFFFF"/>
        </w:rPr>
        <w:t>c</w:t>
      </w:r>
      <w:r w:rsidRPr="00BE505F">
        <w:rPr>
          <w:rFonts w:cstheme="minorHAnsi"/>
          <w:color w:val="000000"/>
          <w:shd w:val="clear" w:color="auto" w:fill="FFFFFF"/>
        </w:rPr>
        <w:t>ystic Kidney Disease (</w:t>
      </w:r>
      <w:r w:rsidRPr="00BE505F">
        <w:rPr>
          <w:rFonts w:cstheme="minorHAnsi"/>
        </w:rPr>
        <w:t>PKD) is the most common serious genetic disorder of the kidneys, with 1 in 1,000 Australians likely to be affected.</w:t>
      </w:r>
      <w:r w:rsidRPr="00BE505F">
        <w:rPr>
          <w:rStyle w:val="EndnoteReference"/>
          <w:rFonts w:cstheme="minorHAnsi"/>
        </w:rPr>
        <w:endnoteReference w:id="70"/>
      </w:r>
      <w:r w:rsidRPr="00BE505F">
        <w:rPr>
          <w:rFonts w:cstheme="minorHAnsi"/>
        </w:rPr>
        <w:t xml:space="preserve"> </w:t>
      </w:r>
    </w:p>
    <w:p w14:paraId="0FF89761" w14:textId="78D7BBBE" w:rsidR="00486D6F" w:rsidRPr="003F3A3A" w:rsidRDefault="00E81858" w:rsidP="003F15DD">
      <w:pPr>
        <w:pStyle w:val="ListParagraph"/>
        <w:numPr>
          <w:ilvl w:val="0"/>
          <w:numId w:val="10"/>
        </w:numPr>
      </w:pPr>
      <w:r w:rsidRPr="003F3A3A">
        <w:t xml:space="preserve">In 90 percent of </w:t>
      </w:r>
      <w:r w:rsidRPr="003F3A3A">
        <w:rPr>
          <w:rFonts w:cs="Arial"/>
          <w:color w:val="000000"/>
          <w:shd w:val="clear" w:color="auto" w:fill="FFFFFF"/>
        </w:rPr>
        <w:t>Autosomal Dominant</w:t>
      </w:r>
      <w:r w:rsidRPr="003F3A3A">
        <w:t xml:space="preserve"> Polycystic Kidney Disease (ADPKD) cases there is a known family history of the disease. </w:t>
      </w:r>
    </w:p>
    <w:p w14:paraId="39D256D3" w14:textId="77777777" w:rsidR="00486D6F" w:rsidRPr="003F3A3A" w:rsidRDefault="00E81858" w:rsidP="003F15DD">
      <w:pPr>
        <w:pStyle w:val="ListParagraph"/>
        <w:numPr>
          <w:ilvl w:val="0"/>
          <w:numId w:val="10"/>
        </w:numPr>
      </w:pPr>
      <w:r w:rsidRPr="003F3A3A">
        <w:t>People with PKD have a one in two chance of passing the condition on to their children.</w:t>
      </w:r>
      <w:r w:rsidRPr="003F3A3A">
        <w:rPr>
          <w:rStyle w:val="EndnoteReference"/>
        </w:rPr>
        <w:endnoteReference w:id="71"/>
      </w:r>
      <w:r w:rsidRPr="003F3A3A">
        <w:t xml:space="preserve"> </w:t>
      </w:r>
    </w:p>
    <w:p w14:paraId="6E0B4DD2" w14:textId="77777777" w:rsidR="00486D6F" w:rsidRDefault="00486D6F" w:rsidP="00F66C63"/>
    <w:p w14:paraId="5F4FAC08" w14:textId="75ADC8AE" w:rsidR="00E81858" w:rsidRDefault="003F3A3A" w:rsidP="00F66C63">
      <w:r>
        <w:t>C</w:t>
      </w:r>
      <w:r w:rsidR="00E81858">
        <w:t>urrently genetic testing for inherited kidney diseases is not widely accessible in Australia, with access varying between states and individual hospitals. The Action Plan for Critical Change in Polycystic Kidney Disease Outcomes in Australia</w:t>
      </w:r>
      <w:r w:rsidR="00B34DB4">
        <w:rPr>
          <w:rStyle w:val="EndnoteReference"/>
        </w:rPr>
        <w:t>69</w:t>
      </w:r>
      <w:r w:rsidR="00740181">
        <w:t xml:space="preserve"> </w:t>
      </w:r>
      <w:r w:rsidR="00E81858">
        <w:t>recommends Medicare-rebatable genetic testing to provide equitable access to testing across Australia. The Medical Services Advisory Committee (MSAC) recently supported the application (1449) for MBS funding of genetic testing for the diagnosis of Alport’s Syndrome (a disease affecting the kidney function, sight and hearing).</w:t>
      </w:r>
    </w:p>
    <w:p w14:paraId="26F8B1AD" w14:textId="77777777" w:rsidR="001737A2" w:rsidRDefault="001737A2" w:rsidP="00F66C63">
      <w:pPr>
        <w:rPr>
          <w:rFonts w:ascii="Arial" w:hAnsi="Arial" w:cs="Arial"/>
          <w:color w:val="000000"/>
          <w:szCs w:val="20"/>
          <w:shd w:val="clear" w:color="auto" w:fill="FFFFFF"/>
        </w:rPr>
      </w:pPr>
    </w:p>
    <w:p w14:paraId="23272696" w14:textId="300015BF" w:rsidR="00B019B2" w:rsidRDefault="00E81858" w:rsidP="00AE2E9A">
      <w:r>
        <w:t>The benefits of genetic testing include</w:t>
      </w:r>
      <w:r w:rsidR="00F37FAE">
        <w:t>:</w:t>
      </w:r>
    </w:p>
    <w:p w14:paraId="13476CA3" w14:textId="77777777" w:rsidR="00E81858" w:rsidRPr="0074312C" w:rsidRDefault="00E81858" w:rsidP="001737A2">
      <w:pPr>
        <w:pStyle w:val="ListBullet"/>
      </w:pPr>
      <w:r w:rsidRPr="0074312C">
        <w:t>Earlier diagnosis</w:t>
      </w:r>
    </w:p>
    <w:p w14:paraId="2BB759D8" w14:textId="77777777" w:rsidR="00E81858" w:rsidRPr="0074312C" w:rsidRDefault="00E81858" w:rsidP="001737A2">
      <w:pPr>
        <w:pStyle w:val="ListBullet"/>
      </w:pPr>
      <w:r w:rsidRPr="0074312C">
        <w:t>Personalised treatment</w:t>
      </w:r>
    </w:p>
    <w:p w14:paraId="44DC5FC3" w14:textId="21BAC17B" w:rsidR="00E81858" w:rsidRPr="0074312C" w:rsidRDefault="00E81858" w:rsidP="001737A2">
      <w:pPr>
        <w:pStyle w:val="ListBullet"/>
      </w:pPr>
      <w:r w:rsidRPr="0074312C">
        <w:t>Earlier intervention and better outcomes</w:t>
      </w:r>
    </w:p>
    <w:p w14:paraId="5D9B167E" w14:textId="2458B61D" w:rsidR="00E81858" w:rsidRPr="0074312C" w:rsidRDefault="00E81858" w:rsidP="001737A2">
      <w:pPr>
        <w:pStyle w:val="ListBullet"/>
      </w:pPr>
      <w:r w:rsidRPr="0074312C">
        <w:t>Providing information to allow for family planning and other decisions</w:t>
      </w:r>
    </w:p>
    <w:p w14:paraId="51D6CE83" w14:textId="43602A60" w:rsidR="00E81858" w:rsidRDefault="00E81858" w:rsidP="001737A2">
      <w:pPr>
        <w:pStyle w:val="ListBullet"/>
      </w:pPr>
      <w:r w:rsidRPr="0074312C">
        <w:t>Enabling identification of appropriate living kidney donors</w:t>
      </w:r>
      <w:r w:rsidR="00F37FAE">
        <w:t>.</w:t>
      </w:r>
    </w:p>
    <w:p w14:paraId="1DC5C647" w14:textId="7862B0C2" w:rsidR="003F3A3A" w:rsidRDefault="003F3A3A" w:rsidP="003F3A3A">
      <w:pPr>
        <w:pStyle w:val="ListParagraph"/>
        <w:ind w:left="360"/>
      </w:pPr>
    </w:p>
    <w:p w14:paraId="7D23EF6C" w14:textId="77777777" w:rsidR="002F34C3" w:rsidRPr="0074312C" w:rsidRDefault="002F34C3" w:rsidP="003F3A3A">
      <w:pPr>
        <w:pStyle w:val="ListParagraph"/>
        <w:ind w:left="360"/>
      </w:pPr>
    </w:p>
    <w:p w14:paraId="04F174F6" w14:textId="005B0423" w:rsidR="00E81858" w:rsidRPr="00FF54C9" w:rsidRDefault="00E81858" w:rsidP="001737A2">
      <w:pPr>
        <w:pStyle w:val="Heading3"/>
        <w:rPr>
          <w:sz w:val="24"/>
          <w:shd w:val="clear" w:color="auto" w:fill="FFFFFF"/>
        </w:rPr>
      </w:pPr>
      <w:r w:rsidRPr="00FF54C9">
        <w:rPr>
          <w:color w:val="C00000"/>
          <w:sz w:val="24"/>
          <w:shd w:val="clear" w:color="auto" w:fill="FFFFFF"/>
        </w:rPr>
        <w:t xml:space="preserve">1.3 Raise community and health professional awareness and understanding of CKD and other chronic </w:t>
      </w:r>
      <w:r w:rsidR="00512926" w:rsidRPr="00FF54C9">
        <w:rPr>
          <w:color w:val="C00000"/>
          <w:sz w:val="24"/>
          <w:shd w:val="clear" w:color="auto" w:fill="FFFFFF"/>
        </w:rPr>
        <w:t>conditions</w:t>
      </w:r>
      <w:r w:rsidRPr="00FF54C9">
        <w:rPr>
          <w:color w:val="C00000"/>
          <w:sz w:val="24"/>
          <w:shd w:val="clear" w:color="auto" w:fill="FFFFFF"/>
        </w:rPr>
        <w:t xml:space="preserve"> to support prevention and early detection</w:t>
      </w:r>
      <w:r w:rsidR="00512926" w:rsidRPr="00FF54C9">
        <w:rPr>
          <w:color w:val="C00000"/>
          <w:sz w:val="24"/>
          <w:shd w:val="clear" w:color="auto" w:fill="FFFFFF"/>
        </w:rPr>
        <w:t xml:space="preserve"> targeted at priority groups</w:t>
      </w:r>
    </w:p>
    <w:p w14:paraId="78147AFC" w14:textId="77777777" w:rsidR="002F34C3" w:rsidRDefault="002F34C3" w:rsidP="004337FF">
      <w:pPr>
        <w:pStyle w:val="KidneyBodyBold"/>
      </w:pPr>
    </w:p>
    <w:p w14:paraId="70EB3C50" w14:textId="032D3344" w:rsidR="00DA108B" w:rsidRDefault="003F3A3A" w:rsidP="004337FF">
      <w:pPr>
        <w:pStyle w:val="KidneyBodyBold"/>
      </w:pPr>
      <w:r w:rsidRPr="00DA108B">
        <w:t>Health literacy</w:t>
      </w:r>
    </w:p>
    <w:p w14:paraId="0C989B7F" w14:textId="1D576434" w:rsidR="003F3A3A" w:rsidRDefault="003F3A3A" w:rsidP="00DA108B">
      <w:pPr>
        <w:ind w:right="96"/>
        <w:rPr>
          <w:rFonts w:cs="Arial"/>
          <w:bCs/>
        </w:rPr>
      </w:pPr>
      <w:r>
        <w:rPr>
          <w:rFonts w:cs="Arial"/>
          <w:bCs/>
        </w:rPr>
        <w:t>Health literacy is the capacity to absorb the health information necessary to make appropriate health decisions.</w:t>
      </w:r>
      <w:r>
        <w:rPr>
          <w:rStyle w:val="EndnoteReference"/>
          <w:rFonts w:cs="Arial"/>
          <w:bCs/>
        </w:rPr>
        <w:endnoteReference w:id="72"/>
      </w:r>
      <w:r w:rsidR="00B961F1">
        <w:rPr>
          <w:rFonts w:cs="Arial"/>
          <w:bCs/>
        </w:rPr>
        <w:t xml:space="preserve"> </w:t>
      </w:r>
    </w:p>
    <w:p w14:paraId="3CABE88C" w14:textId="77777777" w:rsidR="001737A2" w:rsidRPr="00DA108B" w:rsidRDefault="001737A2" w:rsidP="00DA108B">
      <w:pPr>
        <w:ind w:right="96"/>
        <w:rPr>
          <w:rFonts w:cs="Arial"/>
          <w:b/>
          <w:bCs/>
        </w:rPr>
      </w:pPr>
    </w:p>
    <w:p w14:paraId="61265E41" w14:textId="765C4C7E" w:rsidR="003F3A3A" w:rsidRPr="003F3A3A" w:rsidRDefault="00E81858" w:rsidP="003F15DD">
      <w:pPr>
        <w:pStyle w:val="ListParagraph"/>
        <w:numPr>
          <w:ilvl w:val="0"/>
          <w:numId w:val="11"/>
        </w:numPr>
        <w:ind w:right="96"/>
        <w:rPr>
          <w:rFonts w:cs="Arial"/>
          <w:bCs/>
        </w:rPr>
      </w:pPr>
      <w:r w:rsidRPr="003F3A3A">
        <w:rPr>
          <w:rFonts w:cs="Arial"/>
          <w:bCs/>
        </w:rPr>
        <w:t>Both chronic disease awareness and overall health litera</w:t>
      </w:r>
      <w:r w:rsidR="00BB7A59">
        <w:rPr>
          <w:rFonts w:cs="Arial"/>
          <w:bCs/>
        </w:rPr>
        <w:t>cy in Australia are relatively low</w:t>
      </w:r>
      <w:r w:rsidR="005A4522">
        <w:rPr>
          <w:rFonts w:cs="Arial"/>
          <w:bCs/>
        </w:rPr>
        <w:t>.</w:t>
      </w:r>
      <w:r w:rsidR="00BB7A59">
        <w:rPr>
          <w:rStyle w:val="EndnoteReference"/>
          <w:rFonts w:cs="Arial"/>
          <w:bCs/>
        </w:rPr>
        <w:endnoteReference w:id="73"/>
      </w:r>
      <w:r w:rsidR="00CB7AF8" w:rsidRPr="003F3A3A">
        <w:rPr>
          <w:rStyle w:val="EndnoteReference"/>
        </w:rPr>
        <w:t>,</w:t>
      </w:r>
      <w:r w:rsidR="00B961F1" w:rsidRPr="003F3A3A">
        <w:rPr>
          <w:rStyle w:val="EndnoteReference"/>
          <w:rFonts w:cs="Arial"/>
          <w:bCs/>
        </w:rPr>
        <w:endnoteReference w:id="74"/>
      </w:r>
      <w:r w:rsidR="00CB7AF8" w:rsidRPr="003F3A3A">
        <w:rPr>
          <w:rStyle w:val="EndnoteReference"/>
        </w:rPr>
        <w:t>,</w:t>
      </w:r>
      <w:r w:rsidR="00BB7A59" w:rsidRPr="003F3A3A">
        <w:rPr>
          <w:rStyle w:val="EndnoteReference"/>
          <w:rFonts w:cs="Arial"/>
          <w:bCs/>
        </w:rPr>
        <w:endnoteReference w:id="75"/>
      </w:r>
    </w:p>
    <w:p w14:paraId="3DA8DCA8" w14:textId="522B060E" w:rsidR="00E81858" w:rsidRPr="003F3A3A" w:rsidRDefault="00E81858" w:rsidP="003F15DD">
      <w:pPr>
        <w:pStyle w:val="ListParagraph"/>
        <w:numPr>
          <w:ilvl w:val="0"/>
          <w:numId w:val="11"/>
        </w:numPr>
        <w:ind w:right="96"/>
        <w:rPr>
          <w:rFonts w:cs="Arial"/>
          <w:bCs/>
        </w:rPr>
      </w:pPr>
      <w:r w:rsidRPr="003F3A3A">
        <w:rPr>
          <w:rFonts w:cs="Arial"/>
          <w:bCs/>
        </w:rPr>
        <w:t>Low health literacy is associated with lower levels of health knowledge, poorer health outcomes and higher use of health services</w:t>
      </w:r>
      <w:r w:rsidR="00B961F1">
        <w:rPr>
          <w:rFonts w:cs="Arial"/>
          <w:bCs/>
        </w:rPr>
        <w:t>.</w:t>
      </w:r>
    </w:p>
    <w:p w14:paraId="3E20A4F5" w14:textId="45CC0BF6" w:rsidR="00E81858" w:rsidRPr="003F3A3A" w:rsidRDefault="00E81858" w:rsidP="003F15DD">
      <w:pPr>
        <w:pStyle w:val="ListParagraph"/>
        <w:numPr>
          <w:ilvl w:val="0"/>
          <w:numId w:val="11"/>
        </w:numPr>
        <w:ind w:right="96"/>
        <w:rPr>
          <w:rFonts w:cs="Arial"/>
          <w:bCs/>
        </w:rPr>
      </w:pPr>
      <w:r w:rsidRPr="003F3A3A">
        <w:rPr>
          <w:rFonts w:cs="Arial"/>
          <w:bCs/>
        </w:rPr>
        <w:t>Both disease awareness and overall health literacy are important determinants of chronic disease self-management.</w:t>
      </w:r>
      <w:r w:rsidRPr="003F3A3A">
        <w:rPr>
          <w:rStyle w:val="EndnoteReference"/>
          <w:rFonts w:cs="Arial"/>
          <w:bCs/>
        </w:rPr>
        <w:endnoteReference w:id="76"/>
      </w:r>
      <w:r w:rsidRPr="003F3A3A">
        <w:rPr>
          <w:rFonts w:cs="Arial"/>
          <w:bCs/>
        </w:rPr>
        <w:t xml:space="preserve"> </w:t>
      </w:r>
    </w:p>
    <w:p w14:paraId="0B4E0547" w14:textId="77777777" w:rsidR="003F3A3A" w:rsidRDefault="003F3A3A" w:rsidP="00290DF8">
      <w:pPr>
        <w:ind w:right="96"/>
        <w:rPr>
          <w:rFonts w:cs="Arial"/>
          <w:b/>
          <w:bCs/>
        </w:rPr>
      </w:pPr>
    </w:p>
    <w:p w14:paraId="339C97AE" w14:textId="77777777" w:rsidR="00E81858" w:rsidRDefault="00E81858" w:rsidP="004337FF">
      <w:pPr>
        <w:pStyle w:val="KidneyBodyBold"/>
      </w:pPr>
      <w:r>
        <w:t>Kidney disease awareness in Australia</w:t>
      </w:r>
    </w:p>
    <w:p w14:paraId="1F55B783" w14:textId="7B667B85" w:rsidR="005E6FA1" w:rsidRPr="007342DA" w:rsidRDefault="005E6FA1" w:rsidP="00C95A35">
      <w:pPr>
        <w:ind w:right="96"/>
        <w:rPr>
          <w:color w:val="000000" w:themeColor="text1"/>
        </w:rPr>
      </w:pPr>
      <w:r w:rsidRPr="007342DA">
        <w:rPr>
          <w:color w:val="000000" w:themeColor="text1"/>
        </w:rPr>
        <w:t xml:space="preserve">1 in </w:t>
      </w:r>
      <w:r>
        <w:rPr>
          <w:color w:val="000000" w:themeColor="text1"/>
        </w:rPr>
        <w:t>3 are at risk of developing CKD</w:t>
      </w:r>
      <w:r w:rsidRPr="00AA35C7">
        <w:rPr>
          <w:color w:val="000000" w:themeColor="text1"/>
          <w:vertAlign w:val="superscript"/>
        </w:rPr>
        <w:t xml:space="preserve">2,3 </w:t>
      </w:r>
      <w:r w:rsidRPr="007342DA">
        <w:rPr>
          <w:color w:val="000000" w:themeColor="text1"/>
        </w:rPr>
        <w:t xml:space="preserve">and </w:t>
      </w:r>
      <w:r w:rsidRPr="007342DA">
        <w:t>over 1.7 million Australian adults – a striking 1 in 10 - are currently living with biomedical markers of CKD</w:t>
      </w:r>
      <w:r>
        <w:t>.</w:t>
      </w:r>
      <w:r w:rsidRPr="007342DA">
        <w:rPr>
          <w:noProof/>
        </w:rPr>
        <w:t xml:space="preserve"> </w:t>
      </w:r>
      <w:r w:rsidRPr="007342DA">
        <w:t>However less than 10% of people with CKD know they have the condition, meaning there are over 1.5 million Australians who are unaware that they are living with indicators of CKD.</w:t>
      </w:r>
      <w:r w:rsidRPr="00AA35C7">
        <w:rPr>
          <w:vertAlign w:val="superscript"/>
        </w:rPr>
        <w:t>2</w:t>
      </w:r>
      <w:r w:rsidRPr="007342DA">
        <w:t xml:space="preserve"> </w:t>
      </w:r>
    </w:p>
    <w:p w14:paraId="669E5BE2" w14:textId="77777777" w:rsidR="005E6FA1" w:rsidRDefault="005E6FA1" w:rsidP="00290DF8">
      <w:pPr>
        <w:ind w:right="96"/>
        <w:rPr>
          <w:rFonts w:cs="Arial"/>
          <w:bCs/>
        </w:rPr>
      </w:pPr>
    </w:p>
    <w:p w14:paraId="4D9AFD68" w14:textId="1094695E" w:rsidR="005E6FA1" w:rsidRDefault="005E6FA1" w:rsidP="00290DF8">
      <w:pPr>
        <w:ind w:right="96"/>
        <w:rPr>
          <w:rFonts w:cs="Arial"/>
          <w:bCs/>
        </w:rPr>
      </w:pPr>
      <w:r w:rsidRPr="005E6FA1">
        <w:rPr>
          <w:rFonts w:cs="Arial"/>
          <w:bCs/>
        </w:rPr>
        <w:t>There is relatively little recent evidence regarding knowledge of CKD among the Australian general public</w:t>
      </w:r>
      <w:r w:rsidR="00344B47">
        <w:rPr>
          <w:rFonts w:cs="Arial"/>
          <w:bCs/>
        </w:rPr>
        <w:t xml:space="preserve"> although a national study found u</w:t>
      </w:r>
      <w:r w:rsidR="00E81858">
        <w:rPr>
          <w:rFonts w:cs="Arial"/>
          <w:bCs/>
        </w:rPr>
        <w:t xml:space="preserve">nderstanding of kidney disease </w:t>
      </w:r>
      <w:r w:rsidR="00111734">
        <w:rPr>
          <w:rFonts w:cs="Arial"/>
          <w:bCs/>
        </w:rPr>
        <w:t>is</w:t>
      </w:r>
      <w:r w:rsidR="00E81858">
        <w:rPr>
          <w:rFonts w:cs="Arial"/>
          <w:bCs/>
        </w:rPr>
        <w:t xml:space="preserve"> extremely low, with less than 10 </w:t>
      </w:r>
      <w:r w:rsidR="005A4522">
        <w:rPr>
          <w:rFonts w:cs="Arial"/>
          <w:bCs/>
        </w:rPr>
        <w:t xml:space="preserve">% </w:t>
      </w:r>
      <w:r w:rsidR="00E81858">
        <w:rPr>
          <w:rFonts w:cs="Arial"/>
          <w:bCs/>
        </w:rPr>
        <w:t xml:space="preserve">of </w:t>
      </w:r>
      <w:r w:rsidR="00E81858">
        <w:rPr>
          <w:rFonts w:cs="Arial"/>
          <w:bCs/>
        </w:rPr>
        <w:lastRenderedPageBreak/>
        <w:t>respondents aware of the causes of the disease.</w:t>
      </w:r>
      <w:r w:rsidR="00E81858">
        <w:rPr>
          <w:rStyle w:val="EndnoteReference"/>
          <w:rFonts w:cs="Arial"/>
          <w:bCs/>
        </w:rPr>
        <w:endnoteReference w:id="77"/>
      </w:r>
      <w:r w:rsidR="00E81858">
        <w:rPr>
          <w:rFonts w:cs="Arial"/>
          <w:bCs/>
        </w:rPr>
        <w:t xml:space="preserve"> </w:t>
      </w:r>
      <w:r w:rsidR="00111734">
        <w:rPr>
          <w:rFonts w:cs="Arial"/>
          <w:bCs/>
        </w:rPr>
        <w:t>Equally concerning is that u</w:t>
      </w:r>
      <w:r w:rsidR="00E81858">
        <w:rPr>
          <w:rFonts w:cs="Arial"/>
          <w:bCs/>
        </w:rPr>
        <w:t>nderstanding of kidney disease in people diagnosed with CKD is also low. A survey of patients referred to a</w:t>
      </w:r>
      <w:r w:rsidR="00276E6B">
        <w:rPr>
          <w:rFonts w:cs="Arial"/>
          <w:bCs/>
        </w:rPr>
        <w:t>n Australian</w:t>
      </w:r>
      <w:r w:rsidR="00E81858">
        <w:rPr>
          <w:rFonts w:cs="Arial"/>
          <w:bCs/>
        </w:rPr>
        <w:t xml:space="preserve"> nephrology clinic</w:t>
      </w:r>
      <w:r w:rsidR="00276E6B">
        <w:rPr>
          <w:rStyle w:val="EndnoteReference"/>
          <w:rFonts w:cs="Arial"/>
          <w:bCs/>
        </w:rPr>
        <w:endnoteReference w:id="78"/>
      </w:r>
      <w:r w:rsidR="00276E6B">
        <w:rPr>
          <w:rFonts w:cs="Arial"/>
          <w:bCs/>
        </w:rPr>
        <w:t xml:space="preserve"> </w:t>
      </w:r>
      <w:r w:rsidR="00E81858">
        <w:rPr>
          <w:rFonts w:cs="Arial"/>
          <w:bCs/>
        </w:rPr>
        <w:t>found</w:t>
      </w:r>
      <w:r w:rsidR="00F37FAE">
        <w:rPr>
          <w:rFonts w:cs="Arial"/>
          <w:bCs/>
        </w:rPr>
        <w:t>:</w:t>
      </w:r>
    </w:p>
    <w:p w14:paraId="12598A16" w14:textId="2CFA2739" w:rsidR="00276E6B" w:rsidRPr="00276E6B" w:rsidRDefault="00276E6B" w:rsidP="003F15DD">
      <w:pPr>
        <w:pStyle w:val="ListParagraph"/>
        <w:numPr>
          <w:ilvl w:val="0"/>
          <w:numId w:val="19"/>
        </w:numPr>
        <w:ind w:right="96"/>
        <w:rPr>
          <w:rFonts w:cs="Arial"/>
          <w:bCs/>
        </w:rPr>
      </w:pPr>
      <w:r w:rsidRPr="00276E6B">
        <w:rPr>
          <w:rFonts w:cs="Arial"/>
          <w:bCs/>
        </w:rPr>
        <w:t>al</w:t>
      </w:r>
      <w:r w:rsidR="00E81858" w:rsidRPr="00276E6B">
        <w:rPr>
          <w:rFonts w:cs="Arial"/>
          <w:bCs/>
        </w:rPr>
        <w:t xml:space="preserve">most 40 </w:t>
      </w:r>
      <w:r w:rsidRPr="00276E6B">
        <w:rPr>
          <w:rFonts w:cs="Arial"/>
          <w:bCs/>
        </w:rPr>
        <w:t>%</w:t>
      </w:r>
      <w:r w:rsidR="00E81858" w:rsidRPr="00276E6B">
        <w:rPr>
          <w:rFonts w:cs="Arial"/>
          <w:bCs/>
        </w:rPr>
        <w:t xml:space="preserve"> </w:t>
      </w:r>
      <w:r w:rsidRPr="00276E6B">
        <w:rPr>
          <w:rFonts w:cs="Arial"/>
          <w:bCs/>
        </w:rPr>
        <w:t xml:space="preserve">were </w:t>
      </w:r>
      <w:r w:rsidR="00E81858" w:rsidRPr="00276E6B">
        <w:rPr>
          <w:rFonts w:cs="Arial"/>
          <w:bCs/>
        </w:rPr>
        <w:t>unabl</w:t>
      </w:r>
      <w:r w:rsidRPr="00276E6B">
        <w:rPr>
          <w:rFonts w:cs="Arial"/>
          <w:bCs/>
        </w:rPr>
        <w:t>e to identify causes of CKD</w:t>
      </w:r>
    </w:p>
    <w:p w14:paraId="14130DCE" w14:textId="5388DB7D" w:rsidR="00276E6B" w:rsidRPr="00276E6B" w:rsidRDefault="00E81858" w:rsidP="003F15DD">
      <w:pPr>
        <w:pStyle w:val="ListParagraph"/>
        <w:numPr>
          <w:ilvl w:val="0"/>
          <w:numId w:val="19"/>
        </w:numPr>
        <w:ind w:right="96"/>
        <w:rPr>
          <w:rFonts w:cs="Arial"/>
          <w:bCs/>
        </w:rPr>
      </w:pPr>
      <w:r w:rsidRPr="00276E6B">
        <w:rPr>
          <w:rFonts w:cs="Arial"/>
          <w:bCs/>
        </w:rPr>
        <w:t xml:space="preserve">51 </w:t>
      </w:r>
      <w:r w:rsidR="00276E6B" w:rsidRPr="00276E6B">
        <w:rPr>
          <w:rFonts w:cs="Arial"/>
          <w:bCs/>
        </w:rPr>
        <w:t xml:space="preserve">% were </w:t>
      </w:r>
      <w:r w:rsidRPr="00276E6B">
        <w:rPr>
          <w:rFonts w:cs="Arial"/>
          <w:bCs/>
        </w:rPr>
        <w:t xml:space="preserve">unsure of how </w:t>
      </w:r>
      <w:r w:rsidR="00276E6B" w:rsidRPr="00276E6B">
        <w:rPr>
          <w:rFonts w:cs="Arial"/>
          <w:bCs/>
        </w:rPr>
        <w:t>the disease is managed</w:t>
      </w:r>
    </w:p>
    <w:p w14:paraId="78916644" w14:textId="2186E0D4" w:rsidR="00276E6B" w:rsidRPr="00276E6B" w:rsidRDefault="00E81858" w:rsidP="003F15DD">
      <w:pPr>
        <w:pStyle w:val="ListParagraph"/>
        <w:numPr>
          <w:ilvl w:val="0"/>
          <w:numId w:val="19"/>
        </w:numPr>
        <w:ind w:right="96"/>
        <w:rPr>
          <w:rFonts w:cs="Arial"/>
          <w:bCs/>
        </w:rPr>
      </w:pPr>
      <w:r w:rsidRPr="00276E6B">
        <w:rPr>
          <w:rFonts w:cs="Arial"/>
          <w:bCs/>
        </w:rPr>
        <w:t xml:space="preserve">16 </w:t>
      </w:r>
      <w:r w:rsidR="00276E6B" w:rsidRPr="00276E6B">
        <w:rPr>
          <w:rFonts w:cs="Arial"/>
          <w:bCs/>
        </w:rPr>
        <w:t xml:space="preserve">% were unsure </w:t>
      </w:r>
      <w:r w:rsidRPr="00276E6B">
        <w:rPr>
          <w:rFonts w:cs="Arial"/>
          <w:bCs/>
        </w:rPr>
        <w:t>why they had bee</w:t>
      </w:r>
      <w:r w:rsidR="00276E6B" w:rsidRPr="00276E6B">
        <w:rPr>
          <w:rFonts w:cs="Arial"/>
          <w:bCs/>
        </w:rPr>
        <w:t xml:space="preserve">n referred to a </w:t>
      </w:r>
      <w:r w:rsidR="00111734" w:rsidRPr="00276E6B">
        <w:rPr>
          <w:rFonts w:cs="Arial"/>
          <w:bCs/>
        </w:rPr>
        <w:t>nephrologist</w:t>
      </w:r>
    </w:p>
    <w:p w14:paraId="739AB528" w14:textId="50B079C3" w:rsidR="00276E6B" w:rsidRPr="00276E6B" w:rsidRDefault="00111734" w:rsidP="003F15DD">
      <w:pPr>
        <w:pStyle w:val="ListParagraph"/>
        <w:numPr>
          <w:ilvl w:val="0"/>
          <w:numId w:val="19"/>
        </w:numPr>
        <w:ind w:right="96"/>
        <w:rPr>
          <w:rFonts w:cs="Arial"/>
          <w:bCs/>
        </w:rPr>
      </w:pPr>
      <w:r>
        <w:rPr>
          <w:rFonts w:cs="Arial"/>
          <w:bCs/>
        </w:rPr>
        <w:t>m</w:t>
      </w:r>
      <w:r w:rsidR="00276E6B" w:rsidRPr="00276E6B">
        <w:rPr>
          <w:rFonts w:cs="Arial"/>
          <w:bCs/>
        </w:rPr>
        <w:t>ost</w:t>
      </w:r>
      <w:r w:rsidR="00E81858" w:rsidRPr="00276E6B">
        <w:rPr>
          <w:rFonts w:cs="Arial"/>
          <w:bCs/>
        </w:rPr>
        <w:t xml:space="preserve"> </w:t>
      </w:r>
      <w:r w:rsidR="00276E6B" w:rsidRPr="00276E6B">
        <w:rPr>
          <w:rFonts w:cs="Arial"/>
          <w:bCs/>
        </w:rPr>
        <w:t xml:space="preserve">participants </w:t>
      </w:r>
      <w:r w:rsidR="00E81858" w:rsidRPr="00276E6B">
        <w:rPr>
          <w:rFonts w:cs="Arial"/>
          <w:bCs/>
        </w:rPr>
        <w:t xml:space="preserve">believed they had received insufficient information regarding kidney disease from primary care. </w:t>
      </w:r>
    </w:p>
    <w:p w14:paraId="4FA06322" w14:textId="77777777" w:rsidR="00276E6B" w:rsidRDefault="00276E6B" w:rsidP="00290DF8">
      <w:pPr>
        <w:ind w:right="96"/>
        <w:rPr>
          <w:rFonts w:cs="Arial"/>
          <w:bCs/>
        </w:rPr>
      </w:pPr>
    </w:p>
    <w:p w14:paraId="0A146BE3" w14:textId="28CC9ABD" w:rsidR="003F3A3A" w:rsidRDefault="00E81858" w:rsidP="00290DF8">
      <w:pPr>
        <w:ind w:right="96"/>
        <w:rPr>
          <w:rFonts w:cs="Arial"/>
          <w:bCs/>
        </w:rPr>
      </w:pPr>
      <w:r>
        <w:rPr>
          <w:rFonts w:cs="Arial"/>
          <w:bCs/>
        </w:rPr>
        <w:t>A follow up study of a subsection of these patients 12 months later found little improvement in overall knowledge,</w:t>
      </w:r>
      <w:r>
        <w:rPr>
          <w:rStyle w:val="EndnoteReference"/>
          <w:rFonts w:cs="Arial"/>
          <w:bCs/>
        </w:rPr>
        <w:endnoteReference w:id="79"/>
      </w:r>
      <w:r>
        <w:rPr>
          <w:rFonts w:cs="Arial"/>
          <w:bCs/>
        </w:rPr>
        <w:t xml:space="preserve"> highlighting gaps in the education offered in both primary and tertiary care. This finding reflects research showing a large number of people diagnosed with chronic diseases in Australia have limited understanding of their disease.</w:t>
      </w:r>
      <w:r>
        <w:rPr>
          <w:rStyle w:val="EndnoteReference"/>
          <w:rFonts w:cs="Arial"/>
          <w:bCs/>
        </w:rPr>
        <w:endnoteReference w:id="80"/>
      </w:r>
    </w:p>
    <w:p w14:paraId="4C590A45" w14:textId="77777777" w:rsidR="006E03C1" w:rsidRDefault="006E03C1" w:rsidP="00290DF8">
      <w:pPr>
        <w:ind w:right="96"/>
        <w:rPr>
          <w:rFonts w:cs="Arial"/>
          <w:bCs/>
        </w:rPr>
      </w:pPr>
    </w:p>
    <w:p w14:paraId="5BE4C0AA" w14:textId="77777777" w:rsidR="00E81858" w:rsidRDefault="00E81858" w:rsidP="004337FF">
      <w:pPr>
        <w:pStyle w:val="KidneyBodyBold"/>
      </w:pPr>
      <w:r w:rsidRPr="00152F84">
        <w:t>Primary care education</w:t>
      </w:r>
    </w:p>
    <w:p w14:paraId="3048881D" w14:textId="2A050B8B" w:rsidR="003F3A3A" w:rsidRDefault="00E81858" w:rsidP="00290DF8">
      <w:pPr>
        <w:ind w:right="96"/>
      </w:pPr>
      <w:r w:rsidRPr="00125571">
        <w:t>CKD is significantly under-recognised and under-treated in primary care, leading to late diagnosis and specialist referral.</w:t>
      </w:r>
    </w:p>
    <w:p w14:paraId="1E988E51" w14:textId="77777777" w:rsidR="001737A2" w:rsidRDefault="001737A2" w:rsidP="00290DF8">
      <w:pPr>
        <w:ind w:right="96"/>
      </w:pPr>
    </w:p>
    <w:p w14:paraId="6B7762AA" w14:textId="543FDC58" w:rsidR="003F3A3A" w:rsidRPr="003F3A3A" w:rsidRDefault="00E81858" w:rsidP="003F15DD">
      <w:pPr>
        <w:pStyle w:val="ListParagraph"/>
        <w:numPr>
          <w:ilvl w:val="0"/>
          <w:numId w:val="12"/>
        </w:numPr>
        <w:ind w:right="96"/>
      </w:pPr>
      <w:bookmarkStart w:id="6" w:name="_Hlk11144393"/>
      <w:r w:rsidRPr="003F3A3A">
        <w:t>Among people with abnormal kidney function, only an estimated 18% are correctly identified as having CKD in primary care settings</w:t>
      </w:r>
      <w:r w:rsidR="00BE505F">
        <w:t>.</w:t>
      </w:r>
      <w:r w:rsidR="00985D71">
        <w:rPr>
          <w:rStyle w:val="EndnoteReference"/>
        </w:rPr>
        <w:endnoteReference w:id="81"/>
      </w:r>
    </w:p>
    <w:bookmarkEnd w:id="6"/>
    <w:p w14:paraId="4EDEA5A2" w14:textId="77777777" w:rsidR="003F3A3A" w:rsidRPr="003F3A3A" w:rsidRDefault="00E81858" w:rsidP="003F15DD">
      <w:pPr>
        <w:pStyle w:val="ListParagraph"/>
        <w:numPr>
          <w:ilvl w:val="0"/>
          <w:numId w:val="12"/>
        </w:numPr>
        <w:ind w:right="96"/>
      </w:pPr>
      <w:r w:rsidRPr="003F3A3A">
        <w:t>There are large shortfalls in the recording of kidney function and the recorded prescribing of appropriate kidney protective therapy.</w:t>
      </w:r>
      <w:r w:rsidRPr="003F3A3A">
        <w:rPr>
          <w:rStyle w:val="EndnoteReference"/>
        </w:rPr>
        <w:endnoteReference w:id="82"/>
      </w:r>
      <w:r w:rsidRPr="003F3A3A">
        <w:t xml:space="preserve"> For example it is estimated every second person with CKD receiving blood pressure medication does not have their blood pressure controlled to target levels.</w:t>
      </w:r>
      <w:r w:rsidRPr="003F3A3A">
        <w:rPr>
          <w:rStyle w:val="EndnoteReference"/>
        </w:rPr>
        <w:endnoteReference w:id="83"/>
      </w:r>
    </w:p>
    <w:p w14:paraId="3066E10F" w14:textId="247FAC74" w:rsidR="00E81858" w:rsidRDefault="00E81858" w:rsidP="003F15DD">
      <w:pPr>
        <w:pStyle w:val="ListParagraph"/>
        <w:numPr>
          <w:ilvl w:val="0"/>
          <w:numId w:val="12"/>
        </w:numPr>
        <w:ind w:right="96"/>
        <w:rPr>
          <w:rFonts w:cs="Arial"/>
          <w:bCs/>
        </w:rPr>
      </w:pPr>
      <w:r w:rsidRPr="003F3A3A">
        <w:rPr>
          <w:rFonts w:cs="Arial"/>
          <w:bCs/>
        </w:rPr>
        <w:t xml:space="preserve">The high proportion of CKD patients failing to be diagnosed in primary care highlights the need for ongoing primary care </w:t>
      </w:r>
      <w:r w:rsidR="00A22298">
        <w:rPr>
          <w:rFonts w:cs="Arial"/>
          <w:bCs/>
        </w:rPr>
        <w:t xml:space="preserve">health professional </w:t>
      </w:r>
      <w:r w:rsidRPr="003F3A3A">
        <w:rPr>
          <w:rFonts w:cs="Arial"/>
          <w:bCs/>
        </w:rPr>
        <w:t>education to improve knowledge of CKD and appropriate treatment.</w:t>
      </w:r>
      <w:r w:rsidRPr="003F3A3A">
        <w:rPr>
          <w:rStyle w:val="EndnoteReference"/>
          <w:rFonts w:cs="Arial"/>
          <w:bCs/>
        </w:rPr>
        <w:endnoteReference w:id="84"/>
      </w:r>
    </w:p>
    <w:p w14:paraId="55A7060E" w14:textId="049D903D" w:rsidR="003F3A3A" w:rsidRPr="00B019B2" w:rsidRDefault="00105BA9" w:rsidP="00B019B2">
      <w:pPr>
        <w:pStyle w:val="ListBullet"/>
      </w:pPr>
      <w:r w:rsidRPr="00B019B2">
        <w:t>T</w:t>
      </w:r>
      <w:r w:rsidR="00152B2D" w:rsidRPr="00B019B2">
        <w:t xml:space="preserve">here is variation in </w:t>
      </w:r>
      <w:r w:rsidRPr="00B019B2">
        <w:t xml:space="preserve">kidney disease </w:t>
      </w:r>
      <w:r w:rsidR="00152B2D" w:rsidRPr="00B019B2">
        <w:t xml:space="preserve">patient education practices </w:t>
      </w:r>
      <w:r w:rsidRPr="00B019B2">
        <w:t>Australia. I</w:t>
      </w:r>
      <w:r w:rsidR="00152B2D" w:rsidRPr="00B019B2">
        <w:t xml:space="preserve">nconsistencies </w:t>
      </w:r>
      <w:r w:rsidRPr="00B019B2">
        <w:t>are evident</w:t>
      </w:r>
      <w:r w:rsidR="00E838EB" w:rsidRPr="00B019B2">
        <w:t xml:space="preserve"> in</w:t>
      </w:r>
      <w:r w:rsidR="00152B2D" w:rsidRPr="00B019B2">
        <w:t>: the method and delivery format; time devoted to education; the timing of information delivery; and the provision of information, such as dialysis type and location</w:t>
      </w:r>
      <w:r w:rsidR="00F37FAE" w:rsidRPr="00B019B2">
        <w:t>.</w:t>
      </w:r>
      <w:r w:rsidR="00E838EB" w:rsidRPr="00B019B2">
        <w:rPr>
          <w:rStyle w:val="EndnoteReference"/>
        </w:rPr>
        <w:endnoteReference w:id="85"/>
      </w:r>
      <w:r w:rsidR="00F37FAE" w:rsidRPr="00B019B2">
        <w:rPr>
          <w:vertAlign w:val="superscript"/>
        </w:rPr>
        <w:t>,</w:t>
      </w:r>
      <w:r w:rsidR="00E838EB" w:rsidRPr="00B019B2">
        <w:rPr>
          <w:rStyle w:val="EndnoteReference"/>
        </w:rPr>
        <w:endnoteReference w:id="86"/>
      </w:r>
    </w:p>
    <w:p w14:paraId="2BB31548" w14:textId="77777777" w:rsidR="00792A6D" w:rsidRPr="00E838EB" w:rsidRDefault="00792A6D" w:rsidP="00792A6D">
      <w:pPr>
        <w:pStyle w:val="ListParagraph"/>
        <w:widowControl w:val="0"/>
        <w:tabs>
          <w:tab w:val="left" w:pos="220"/>
          <w:tab w:val="left" w:pos="720"/>
        </w:tabs>
        <w:autoSpaceDE w:val="0"/>
        <w:autoSpaceDN w:val="0"/>
        <w:adjustRightInd w:val="0"/>
        <w:spacing w:after="293"/>
        <w:ind w:left="360" w:right="96"/>
        <w:rPr>
          <w:rFonts w:cs="Arial"/>
          <w:bCs/>
        </w:rPr>
      </w:pPr>
    </w:p>
    <w:p w14:paraId="6AFE9951" w14:textId="289AF957" w:rsidR="00711E80" w:rsidRPr="00F733A4" w:rsidRDefault="00792A6D" w:rsidP="00FB7CC4">
      <w:pPr>
        <w:pStyle w:val="Heading2"/>
        <w:rPr>
          <w:color w:val="C00000"/>
        </w:rPr>
      </w:pPr>
      <w:r w:rsidRPr="00F733A4">
        <w:rPr>
          <w:color w:val="C00000"/>
        </w:rPr>
        <w:t>Priority 2.  Optimal Care and Support</w:t>
      </w:r>
    </w:p>
    <w:p w14:paraId="5C5C4F4D" w14:textId="77777777" w:rsidR="00B019B2" w:rsidRPr="00B019B2" w:rsidRDefault="00B019B2" w:rsidP="00B019B2"/>
    <w:p w14:paraId="2E688194" w14:textId="274707AF" w:rsidR="00276E6B" w:rsidRPr="00FF54C9" w:rsidRDefault="00DA108B" w:rsidP="00FB7CC4">
      <w:pPr>
        <w:pStyle w:val="Heading3"/>
        <w:rPr>
          <w:color w:val="C00000"/>
          <w:sz w:val="24"/>
        </w:rPr>
      </w:pPr>
      <w:r w:rsidRPr="00FF54C9">
        <w:rPr>
          <w:color w:val="C00000"/>
          <w:sz w:val="24"/>
        </w:rPr>
        <w:t xml:space="preserve">2.1 </w:t>
      </w:r>
      <w:r w:rsidR="00E81858" w:rsidRPr="00FF54C9">
        <w:rPr>
          <w:color w:val="C00000"/>
          <w:sz w:val="24"/>
        </w:rPr>
        <w:t xml:space="preserve">Deliver high quality, equitable kidney care </w:t>
      </w:r>
      <w:r w:rsidR="00624B78" w:rsidRPr="00FF54C9">
        <w:rPr>
          <w:color w:val="C00000"/>
          <w:sz w:val="24"/>
        </w:rPr>
        <w:t>a</w:t>
      </w:r>
      <w:r w:rsidR="00E81858" w:rsidRPr="00FF54C9">
        <w:rPr>
          <w:color w:val="C00000"/>
          <w:sz w:val="24"/>
        </w:rPr>
        <w:t>cross Australia</w:t>
      </w:r>
    </w:p>
    <w:p w14:paraId="725907EC" w14:textId="77777777" w:rsidR="002F34C3" w:rsidRDefault="002F34C3" w:rsidP="00F173C6"/>
    <w:p w14:paraId="3AC7E8A4" w14:textId="44BF1A19" w:rsidR="00E81858" w:rsidRPr="00955BA1" w:rsidRDefault="00276E6B" w:rsidP="00F173C6">
      <w:r>
        <w:t>While overall people in Australia affected by CKD receive high quality care</w:t>
      </w:r>
      <w:r w:rsidR="00F37FAE">
        <w:t>,</w:t>
      </w:r>
      <w:r>
        <w:t xml:space="preserve"> disparities in access to and outcomes of care across the country. These differences are evident in disparities for people experiencing economic and social disadvantage, those in regional and remote areas and Aboriginal and Torres Strait Islander </w:t>
      </w:r>
      <w:r w:rsidR="00F37FAE">
        <w:t>p</w:t>
      </w:r>
      <w:r>
        <w:t>opulations.</w:t>
      </w:r>
    </w:p>
    <w:p w14:paraId="2FDCFAC5" w14:textId="77777777" w:rsidR="00955BA1" w:rsidRDefault="00955BA1" w:rsidP="00955BA1"/>
    <w:p w14:paraId="1BE20E8B" w14:textId="2EA6004F" w:rsidR="00955BA1" w:rsidRDefault="00F01A27" w:rsidP="004337FF">
      <w:pPr>
        <w:pStyle w:val="KidneyBodyBold"/>
      </w:pPr>
      <w:r>
        <w:t xml:space="preserve">Optimal </w:t>
      </w:r>
      <w:r w:rsidR="008B2A6D">
        <w:t>Care Pathways</w:t>
      </w:r>
    </w:p>
    <w:p w14:paraId="257AA3DB" w14:textId="36DC6F3C" w:rsidR="00CF285F" w:rsidRDefault="000E6D8D" w:rsidP="00CF285F">
      <w:r>
        <w:t>Optimal Care P</w:t>
      </w:r>
      <w:r w:rsidR="00CF285F">
        <w:t>athways</w:t>
      </w:r>
      <w:r w:rsidR="0040510A">
        <w:t xml:space="preserve"> (also known as standardised care pathways, care pathways, c</w:t>
      </w:r>
      <w:r w:rsidR="00CF285F">
        <w:t xml:space="preserve">are </w:t>
      </w:r>
      <w:r w:rsidR="0040510A">
        <w:t xml:space="preserve">maps) are </w:t>
      </w:r>
      <w:r w:rsidR="00CF285F">
        <w:t xml:space="preserve">guides that describe the best possible care for patients with </w:t>
      </w:r>
      <w:r w:rsidR="00F01A27" w:rsidRPr="00F01A27">
        <w:t xml:space="preserve">particular condition or with particular needs. </w:t>
      </w:r>
      <w:r w:rsidR="008B2A6D">
        <w:t>T</w:t>
      </w:r>
      <w:r w:rsidR="00CF285F">
        <w:t>he</w:t>
      </w:r>
      <w:r>
        <w:t>y</w:t>
      </w:r>
      <w:r w:rsidR="00CF285F">
        <w:t xml:space="preserve"> </w:t>
      </w:r>
      <w:r>
        <w:t xml:space="preserve">aim </w:t>
      </w:r>
      <w:r w:rsidRPr="000E6D8D">
        <w:t xml:space="preserve">to improve patient outcomes by promoting </w:t>
      </w:r>
      <w:r>
        <w:t xml:space="preserve">consistent, coordinated and quality </w:t>
      </w:r>
      <w:r w:rsidRPr="000E6D8D">
        <w:t xml:space="preserve">care </w:t>
      </w:r>
      <w:r w:rsidR="00CF285F">
        <w:t>regardless of where they live.</w:t>
      </w:r>
    </w:p>
    <w:p w14:paraId="050F5111" w14:textId="77777777" w:rsidR="000E6D8D" w:rsidRDefault="000E6D8D" w:rsidP="00CF285F"/>
    <w:p w14:paraId="7EFC57E0" w14:textId="5112126F" w:rsidR="00F01A27" w:rsidRDefault="00624B78" w:rsidP="00CF285F">
      <w:r w:rsidRPr="00624B78">
        <w:t xml:space="preserve">Optimal Care Pathways </w:t>
      </w:r>
      <w:r w:rsidR="00CF285F">
        <w:t xml:space="preserve">provide </w:t>
      </w:r>
      <w:r w:rsidR="000E6D8D">
        <w:t>healthcare professionals</w:t>
      </w:r>
      <w:r w:rsidR="00CF285F">
        <w:t xml:space="preserve"> and health </w:t>
      </w:r>
      <w:r w:rsidR="000E6D8D">
        <w:t>service providers</w:t>
      </w:r>
      <w:r w:rsidR="00CF285F">
        <w:t xml:space="preserve"> with an agreed consistent nationwide approach to </w:t>
      </w:r>
      <w:r w:rsidR="00A22298">
        <w:t xml:space="preserve">basic standards of </w:t>
      </w:r>
      <w:r w:rsidR="00CF285F">
        <w:t>care that is based on current best practice including clinical guidelines, consensus statements, standards and research.</w:t>
      </w:r>
      <w:r w:rsidR="00F01A27">
        <w:t xml:space="preserve"> The </w:t>
      </w:r>
      <w:r w:rsidRPr="00624B78">
        <w:t xml:space="preserve">Optimal Care Pathways </w:t>
      </w:r>
      <w:r w:rsidR="00F01A27">
        <w:t xml:space="preserve">must allow for healthcare professionals to use their own professional judgement as appropriate and be flexible to accommodate </w:t>
      </w:r>
      <w:r w:rsidR="00F01A27" w:rsidRPr="00F01A27">
        <w:t>non-standard situations such as the pr</w:t>
      </w:r>
      <w:r w:rsidR="00F01A27">
        <w:t xml:space="preserve">esence of complex comorbidities. </w:t>
      </w:r>
    </w:p>
    <w:p w14:paraId="7BF894FC" w14:textId="77777777" w:rsidR="00CF285F" w:rsidRDefault="00CF285F" w:rsidP="00CF285F"/>
    <w:p w14:paraId="365B2125" w14:textId="5C5B2EDD" w:rsidR="001737A2" w:rsidRPr="00AA35C7" w:rsidRDefault="00624B78" w:rsidP="00CF285F">
      <w:r w:rsidRPr="00624B78">
        <w:t>Optimal Care Pathways</w:t>
      </w:r>
      <w:r w:rsidR="00CF285F" w:rsidRPr="00AA35C7">
        <w:t>:</w:t>
      </w:r>
    </w:p>
    <w:p w14:paraId="56B3E44E" w14:textId="49B357F4" w:rsidR="00CF285F" w:rsidRPr="00AA35C7" w:rsidRDefault="00DA6879" w:rsidP="003F15DD">
      <w:pPr>
        <w:pStyle w:val="ListParagraph"/>
        <w:numPr>
          <w:ilvl w:val="0"/>
          <w:numId w:val="23"/>
        </w:numPr>
      </w:pPr>
      <w:r>
        <w:t xml:space="preserve">Provide a mandate for </w:t>
      </w:r>
      <w:r w:rsidR="00CF285F" w:rsidRPr="00AA35C7">
        <w:t xml:space="preserve">service improvement priorities such as </w:t>
      </w:r>
      <w:r w:rsidR="00A22298">
        <w:t>i</w:t>
      </w:r>
      <w:r w:rsidRPr="00DA6879">
        <w:t>dentify</w:t>
      </w:r>
      <w:r w:rsidR="00A22298">
        <w:t>ing</w:t>
      </w:r>
      <w:r w:rsidRPr="00DA6879">
        <w:t xml:space="preserve"> gaps in current services</w:t>
      </w:r>
      <w:r>
        <w:t xml:space="preserve"> and </w:t>
      </w:r>
      <w:r w:rsidR="00CF285F" w:rsidRPr="00AA35C7">
        <w:t>reducing unwanted variations in practice</w:t>
      </w:r>
    </w:p>
    <w:p w14:paraId="4FB0E572" w14:textId="77777777" w:rsidR="00DA6879" w:rsidRPr="00DA6879" w:rsidRDefault="00DA6879" w:rsidP="003F15DD">
      <w:pPr>
        <w:pStyle w:val="ListParagraph"/>
        <w:numPr>
          <w:ilvl w:val="0"/>
          <w:numId w:val="23"/>
        </w:numPr>
      </w:pPr>
      <w:r w:rsidRPr="00DA6879">
        <w:lastRenderedPageBreak/>
        <w:t>Are useful in deciding how best to organise service delivery to achieve the best outcomes for patients</w:t>
      </w:r>
    </w:p>
    <w:p w14:paraId="4E4A7088" w14:textId="71E136F9" w:rsidR="00CF285F" w:rsidRPr="00AA35C7" w:rsidRDefault="00CF285F" w:rsidP="003F15DD">
      <w:pPr>
        <w:pStyle w:val="ListParagraph"/>
        <w:numPr>
          <w:ilvl w:val="0"/>
          <w:numId w:val="23"/>
        </w:numPr>
      </w:pPr>
      <w:r w:rsidRPr="00AA35C7">
        <w:t xml:space="preserve">Are relevant across all jurisdictions </w:t>
      </w:r>
    </w:p>
    <w:p w14:paraId="2A59E4FF" w14:textId="7076C9F8" w:rsidR="00CF285F" w:rsidRPr="00AA35C7" w:rsidRDefault="00DA6879" w:rsidP="003F15DD">
      <w:pPr>
        <w:pStyle w:val="ListParagraph"/>
        <w:numPr>
          <w:ilvl w:val="0"/>
          <w:numId w:val="23"/>
        </w:numPr>
      </w:pPr>
      <w:r w:rsidRPr="00AA35C7">
        <w:t xml:space="preserve">Use by </w:t>
      </w:r>
      <w:r w:rsidR="00CF285F" w:rsidRPr="00AA35C7">
        <w:t>health</w:t>
      </w:r>
      <w:r w:rsidRPr="00AA35C7">
        <w:t>care</w:t>
      </w:r>
      <w:r w:rsidR="00CF285F" w:rsidRPr="00AA35C7">
        <w:t xml:space="preserve"> professionals as an information resource and tool to promote </w:t>
      </w:r>
      <w:r w:rsidRPr="00DA6879">
        <w:t xml:space="preserve">multidisciplinary </w:t>
      </w:r>
      <w:r w:rsidR="00CF285F" w:rsidRPr="00AA35C7">
        <w:t xml:space="preserve">discussion </w:t>
      </w:r>
    </w:p>
    <w:p w14:paraId="55B2C8E7" w14:textId="3CBEE467" w:rsidR="00CF285F" w:rsidRPr="00AA35C7" w:rsidRDefault="00CF285F" w:rsidP="003F15DD">
      <w:pPr>
        <w:pStyle w:val="ListParagraph"/>
        <w:numPr>
          <w:ilvl w:val="0"/>
          <w:numId w:val="23"/>
        </w:numPr>
      </w:pPr>
      <w:r w:rsidRPr="00AA35C7">
        <w:t xml:space="preserve">Patient versions (“what to expect” guides) </w:t>
      </w:r>
      <w:r w:rsidR="00DA6879" w:rsidRPr="00AA35C7">
        <w:t xml:space="preserve">can </w:t>
      </w:r>
      <w:r w:rsidRPr="00AA35C7">
        <w:t>help patients</w:t>
      </w:r>
      <w:r w:rsidR="000C3D6B" w:rsidRPr="00AA35C7">
        <w:t>, carers and family me</w:t>
      </w:r>
      <w:r w:rsidR="000C3D6B">
        <w:t xml:space="preserve">mbers </w:t>
      </w:r>
      <w:r w:rsidR="000C3D6B" w:rsidRPr="00AA35C7">
        <w:t xml:space="preserve">understand </w:t>
      </w:r>
      <w:r w:rsidR="00DA6879" w:rsidRPr="00AA35C7">
        <w:t xml:space="preserve">their </w:t>
      </w:r>
      <w:r w:rsidR="000C3D6B">
        <w:t xml:space="preserve">disease and </w:t>
      </w:r>
      <w:r w:rsidR="00DA6879" w:rsidRPr="00AA35C7">
        <w:t xml:space="preserve">treatment </w:t>
      </w:r>
      <w:r w:rsidRPr="00AA35C7">
        <w:t xml:space="preserve">and what </w:t>
      </w:r>
      <w:r w:rsidR="00DA6879" w:rsidRPr="00AA35C7">
        <w:t xml:space="preserve">they should </w:t>
      </w:r>
      <w:r w:rsidRPr="00AA35C7">
        <w:t>expect</w:t>
      </w:r>
      <w:r w:rsidR="000C3D6B">
        <w:t xml:space="preserve"> in terms of management</w:t>
      </w:r>
      <w:r w:rsidR="000C3D6B" w:rsidRPr="00AA35C7">
        <w:t xml:space="preserve">. They </w:t>
      </w:r>
      <w:r w:rsidR="000C3D6B">
        <w:t>also</w:t>
      </w:r>
      <w:r w:rsidR="00DA6879" w:rsidRPr="00AA35C7">
        <w:t xml:space="preserve"> support collaboration and communication </w:t>
      </w:r>
      <w:r w:rsidR="000C3D6B">
        <w:t>between</w:t>
      </w:r>
      <w:r w:rsidR="00DA6879" w:rsidRPr="00AA35C7">
        <w:t xml:space="preserve"> people affected by </w:t>
      </w:r>
      <w:r w:rsidR="000C3D6B" w:rsidRPr="00AA35C7">
        <w:t>a disease.</w:t>
      </w:r>
    </w:p>
    <w:p w14:paraId="3CD8C051" w14:textId="77777777" w:rsidR="000E6D8D" w:rsidRPr="00AA35C7" w:rsidRDefault="000E6D8D" w:rsidP="00CF285F"/>
    <w:p w14:paraId="11C99B8F" w14:textId="7D758F2E" w:rsidR="00095565" w:rsidRDefault="00624B78" w:rsidP="00A737BB">
      <w:r w:rsidRPr="00624B78">
        <w:t>Optimal Care Pathways</w:t>
      </w:r>
      <w:r>
        <w:t xml:space="preserve"> </w:t>
      </w:r>
      <w:r w:rsidR="000C3D6B" w:rsidRPr="00AA35C7">
        <w:t>are well established</w:t>
      </w:r>
      <w:r w:rsidR="00D474A4" w:rsidRPr="00AA35C7">
        <w:t xml:space="preserve"> and </w:t>
      </w:r>
      <w:r w:rsidR="000C3D6B">
        <w:t xml:space="preserve">have </w:t>
      </w:r>
      <w:r w:rsidR="00095565">
        <w:t xml:space="preserve">generally </w:t>
      </w:r>
      <w:r w:rsidR="000C3D6B">
        <w:t>been shown to improve patient outcomes</w:t>
      </w:r>
      <w:r w:rsidR="0040510A">
        <w:t xml:space="preserve">, reduce </w:t>
      </w:r>
      <w:r w:rsidR="00095565">
        <w:t>health care</w:t>
      </w:r>
      <w:r w:rsidR="0040510A">
        <w:t xml:space="preserve"> costs, </w:t>
      </w:r>
      <w:r w:rsidR="00095565">
        <w:t>promote patient satisfaction, foster healthcare professional collaboration and improve process outcomes</w:t>
      </w:r>
      <w:r w:rsidR="00966FED">
        <w:t>.</w:t>
      </w:r>
      <w:r w:rsidR="00344B47" w:rsidRPr="00C215A1">
        <w:rPr>
          <w:rStyle w:val="EndnoteReference"/>
        </w:rPr>
        <w:endnoteReference w:id="87"/>
      </w:r>
      <w:r w:rsidR="00C215A1" w:rsidRPr="00C215A1">
        <w:rPr>
          <w:vertAlign w:val="superscript"/>
        </w:rPr>
        <w:t>,</w:t>
      </w:r>
      <w:r w:rsidR="00966FED">
        <w:rPr>
          <w:rStyle w:val="EndnoteReference"/>
        </w:rPr>
        <w:endnoteReference w:id="88"/>
      </w:r>
      <w:r w:rsidR="00095565">
        <w:t xml:space="preserve"> </w:t>
      </w:r>
    </w:p>
    <w:p w14:paraId="7CC96441" w14:textId="77777777" w:rsidR="00095565" w:rsidRDefault="00095565" w:rsidP="00A737BB"/>
    <w:p w14:paraId="024D183E" w14:textId="4D4CEA76" w:rsidR="000C3D6B" w:rsidRPr="00AA35C7" w:rsidRDefault="00D474A4" w:rsidP="00A737BB">
      <w:r>
        <w:t>Cancer care in Australia has been improved through the national adoption of Optimal Care Cancer Pathways t</w:t>
      </w:r>
      <w:r w:rsidR="00095565" w:rsidRPr="00095565">
        <w:t xml:space="preserve">hrough the </w:t>
      </w:r>
      <w:bookmarkStart w:id="7" w:name="_Hlk11315107"/>
      <w:r w:rsidR="00095565" w:rsidRPr="00095565">
        <w:t>Australian Health Minis</w:t>
      </w:r>
      <w:r>
        <w:t xml:space="preserve">ters’ Advisory Council (AHMAC). </w:t>
      </w:r>
      <w:bookmarkEnd w:id="7"/>
      <w:r w:rsidR="00966FED">
        <w:t xml:space="preserve">The pathways have been </w:t>
      </w:r>
      <w:r w:rsidR="00095565" w:rsidRPr="00095565">
        <w:t>developed through consultation with a wide range of expert multidisciplinary teams, peak health organisati</w:t>
      </w:r>
      <w:r w:rsidR="00966FED">
        <w:t xml:space="preserve">ons, consumers and carers and </w:t>
      </w:r>
      <w:r w:rsidR="00095565" w:rsidRPr="00095565">
        <w:t>are nationally endorsed by the National Cancer Expert Reference Group (includes representation from each jurisdiction and nationally), Cancer Australi</w:t>
      </w:r>
      <w:r>
        <w:t>a and Cancer Council Australia</w:t>
      </w:r>
      <w:r w:rsidR="00966FED">
        <w:t>.</w:t>
      </w:r>
      <w:r w:rsidR="00966FED">
        <w:rPr>
          <w:rStyle w:val="EndnoteReference"/>
        </w:rPr>
        <w:endnoteReference w:id="89"/>
      </w:r>
      <w:r w:rsidR="00C215A1">
        <w:t xml:space="preserve"> </w:t>
      </w:r>
      <w:r w:rsidR="00966FED">
        <w:t xml:space="preserve">Evaluation of the Optimal Care Cancer Pathways is currently underway. The findings </w:t>
      </w:r>
      <w:r w:rsidR="007B0D52">
        <w:t>will help</w:t>
      </w:r>
      <w:r w:rsidR="00966FED">
        <w:t xml:space="preserve"> inform the development of the prop</w:t>
      </w:r>
      <w:r w:rsidR="007B0D52">
        <w:t>o</w:t>
      </w:r>
      <w:r w:rsidR="00966FED">
        <w:t>sed Optimal Care Kidney Pathways.</w:t>
      </w:r>
    </w:p>
    <w:p w14:paraId="088A4DD6" w14:textId="77777777" w:rsidR="000E6D8D" w:rsidRDefault="000E6D8D" w:rsidP="00A737BB">
      <w:pPr>
        <w:rPr>
          <w:b/>
        </w:rPr>
      </w:pPr>
    </w:p>
    <w:p w14:paraId="0C00F9F0" w14:textId="166B116F" w:rsidR="00123E29" w:rsidRPr="00123E29" w:rsidRDefault="00412F5F" w:rsidP="004337FF">
      <w:pPr>
        <w:pStyle w:val="KidneyBodyBold"/>
      </w:pPr>
      <w:r>
        <w:t xml:space="preserve">Resource </w:t>
      </w:r>
      <w:r w:rsidRPr="004337FF">
        <w:t>planning</w:t>
      </w:r>
    </w:p>
    <w:p w14:paraId="70E1F15D" w14:textId="77777777" w:rsidR="001D7F09" w:rsidRDefault="00BB4197" w:rsidP="005F7115">
      <w:pPr>
        <w:widowControl w:val="0"/>
        <w:autoSpaceDE w:val="0"/>
        <w:autoSpaceDN w:val="0"/>
        <w:adjustRightInd w:val="0"/>
        <w:spacing w:after="240"/>
      </w:pPr>
      <w:r>
        <w:t xml:space="preserve">There is a clear </w:t>
      </w:r>
      <w:r w:rsidR="005F7115" w:rsidRPr="005F7115">
        <w:t xml:space="preserve">need to address planning and delivery of renal replacement services throughout Australia. </w:t>
      </w:r>
      <w:r w:rsidR="001D7F09">
        <w:t>T</w:t>
      </w:r>
      <w:r w:rsidR="00624B78" w:rsidRPr="00624B78">
        <w:t>he biggest growth</w:t>
      </w:r>
      <w:r w:rsidR="001D7F09">
        <w:t xml:space="preserve"> in service needs is likely to be</w:t>
      </w:r>
      <w:r w:rsidR="00624B78" w:rsidRPr="00624B78">
        <w:t xml:space="preserve"> </w:t>
      </w:r>
      <w:r w:rsidR="001D7F09">
        <w:t xml:space="preserve">for </w:t>
      </w:r>
      <w:r w:rsidR="00624B78" w:rsidRPr="00624B78">
        <w:t>th</w:t>
      </w:r>
      <w:r w:rsidR="001D7F09">
        <w:t xml:space="preserve">ose with pre-dialysis stage CKD, </w:t>
      </w:r>
      <w:r w:rsidR="00624B78" w:rsidRPr="00624B78">
        <w:t xml:space="preserve">where preparation for ESKD is crucial to prevent hospitalisations, comorbidity and costs. </w:t>
      </w:r>
      <w:r w:rsidR="001D7F09">
        <w:t>T</w:t>
      </w:r>
      <w:r w:rsidR="00624B78" w:rsidRPr="00624B78">
        <w:t xml:space="preserve">he non-RRT cohort with ESKD also need specific resources around conservative management, management of symptom burden and palliative care. The resources required here may be largely community based and in primary care. </w:t>
      </w:r>
    </w:p>
    <w:p w14:paraId="441E24FE" w14:textId="5B38BFB2" w:rsidR="005F7115" w:rsidRPr="005F7115" w:rsidRDefault="005F7115" w:rsidP="005F7115">
      <w:pPr>
        <w:widowControl w:val="0"/>
        <w:autoSpaceDE w:val="0"/>
        <w:autoSpaceDN w:val="0"/>
        <w:adjustRightInd w:val="0"/>
        <w:spacing w:after="240"/>
      </w:pPr>
      <w:r w:rsidRPr="005F7115">
        <w:t xml:space="preserve">Increasing demands for </w:t>
      </w:r>
      <w:r w:rsidR="00F37FAE">
        <w:t>RRT</w:t>
      </w:r>
      <w:r w:rsidR="00F63D9F">
        <w:t xml:space="preserve"> are</w:t>
      </w:r>
      <w:r w:rsidR="001D7F09">
        <w:t xml:space="preserve"> </w:t>
      </w:r>
      <w:r w:rsidRPr="005F7115">
        <w:t xml:space="preserve">placing </w:t>
      </w:r>
      <w:r w:rsidR="00F37FAE">
        <w:t xml:space="preserve">an </w:t>
      </w:r>
      <w:r w:rsidRPr="005F7115">
        <w:t>additional strain on existing service</w:t>
      </w:r>
      <w:r w:rsidR="00F37FAE">
        <w:t>s</w:t>
      </w:r>
      <w:r w:rsidRPr="005F7115">
        <w:t xml:space="preserve"> and there is an overall shortfall in the capacity of dialysis services resulting in:</w:t>
      </w:r>
    </w:p>
    <w:p w14:paraId="537DF053" w14:textId="65693A9D" w:rsidR="005F7115" w:rsidRPr="005F7115" w:rsidRDefault="005F7115" w:rsidP="003F15DD">
      <w:pPr>
        <w:pStyle w:val="ListParagraph"/>
        <w:widowControl w:val="0"/>
        <w:numPr>
          <w:ilvl w:val="0"/>
          <w:numId w:val="20"/>
        </w:numPr>
        <w:tabs>
          <w:tab w:val="left" w:pos="0"/>
          <w:tab w:val="left" w:pos="720"/>
        </w:tabs>
        <w:autoSpaceDE w:val="0"/>
        <w:autoSpaceDN w:val="0"/>
        <w:adjustRightInd w:val="0"/>
        <w:spacing w:after="240"/>
      </w:pPr>
      <w:r w:rsidRPr="005F7115">
        <w:t>A lack of choice for many people facing dialysis leading to the allocation of people to a type of dialysis that is not their preferred option and is often cost inefficient</w:t>
      </w:r>
      <w:r w:rsidR="00E838EB" w:rsidRPr="001737A2">
        <w:rPr>
          <w:rStyle w:val="EndnoteReference"/>
        </w:rPr>
        <w:endnoteReference w:id="90"/>
      </w:r>
      <w:r w:rsidRPr="005F7115">
        <w:t xml:space="preserve"> </w:t>
      </w:r>
    </w:p>
    <w:p w14:paraId="21798801" w14:textId="4759804D" w:rsidR="005F7115" w:rsidRPr="005F7115" w:rsidRDefault="005F7115" w:rsidP="003F15DD">
      <w:pPr>
        <w:pStyle w:val="ListParagraph"/>
        <w:widowControl w:val="0"/>
        <w:numPr>
          <w:ilvl w:val="0"/>
          <w:numId w:val="20"/>
        </w:numPr>
        <w:tabs>
          <w:tab w:val="left" w:pos="0"/>
          <w:tab w:val="left" w:pos="720"/>
        </w:tabs>
        <w:autoSpaceDE w:val="0"/>
        <w:autoSpaceDN w:val="0"/>
        <w:adjustRightInd w:val="0"/>
        <w:spacing w:after="240"/>
      </w:pPr>
      <w:r w:rsidRPr="005F7115">
        <w:t xml:space="preserve">A marked variation by </w:t>
      </w:r>
      <w:r w:rsidR="00F37FAE">
        <w:t>s</w:t>
      </w:r>
      <w:r w:rsidRPr="005F7115">
        <w:t>tate in the uptake of home dialysis programs</w:t>
      </w:r>
      <w:r w:rsidR="00E838EB">
        <w:rPr>
          <w:rStyle w:val="EndnoteReference"/>
        </w:rPr>
        <w:endnoteReference w:id="91"/>
      </w:r>
      <w:r w:rsidRPr="005F7115">
        <w:t xml:space="preserve"> </w:t>
      </w:r>
    </w:p>
    <w:p w14:paraId="4E635EC3" w14:textId="70F021A3" w:rsidR="005F7115" w:rsidRPr="005F7115" w:rsidRDefault="005F7115" w:rsidP="003F15DD">
      <w:pPr>
        <w:pStyle w:val="ListParagraph"/>
        <w:widowControl w:val="0"/>
        <w:numPr>
          <w:ilvl w:val="0"/>
          <w:numId w:val="20"/>
        </w:numPr>
        <w:tabs>
          <w:tab w:val="left" w:pos="0"/>
          <w:tab w:val="left" w:pos="720"/>
        </w:tabs>
        <w:autoSpaceDE w:val="0"/>
        <w:autoSpaceDN w:val="0"/>
        <w:adjustRightInd w:val="0"/>
        <w:spacing w:after="240"/>
      </w:pPr>
      <w:r w:rsidRPr="005F7115">
        <w:t xml:space="preserve">A low number of people being treated on dialysis programs by </w:t>
      </w:r>
      <w:r w:rsidR="00F37FAE">
        <w:t>i</w:t>
      </w:r>
      <w:r w:rsidRPr="005F7115">
        <w:t>nternational comparison</w:t>
      </w:r>
      <w:r w:rsidR="0007124E">
        <w:rPr>
          <w:rStyle w:val="EndnoteReference"/>
        </w:rPr>
        <w:endnoteReference w:id="92"/>
      </w:r>
    </w:p>
    <w:p w14:paraId="4EAA2228" w14:textId="30F4FB81" w:rsidR="00871910" w:rsidRPr="00871910" w:rsidRDefault="005F7115" w:rsidP="003F15DD">
      <w:pPr>
        <w:pStyle w:val="ListParagraph"/>
        <w:widowControl w:val="0"/>
        <w:numPr>
          <w:ilvl w:val="0"/>
          <w:numId w:val="20"/>
        </w:numPr>
        <w:tabs>
          <w:tab w:val="left" w:pos="0"/>
          <w:tab w:val="left" w:pos="720"/>
        </w:tabs>
        <w:autoSpaceDE w:val="0"/>
        <w:autoSpaceDN w:val="0"/>
        <w:adjustRightInd w:val="0"/>
        <w:spacing w:after="240"/>
      </w:pPr>
      <w:r w:rsidRPr="00E838EB">
        <w:t xml:space="preserve">A marked variation by </w:t>
      </w:r>
      <w:r w:rsidR="00F37FAE">
        <w:t>s</w:t>
      </w:r>
      <w:r w:rsidRPr="00E838EB">
        <w:t>tate in the demographics being offered dialysis therapy</w:t>
      </w:r>
      <w:r w:rsidR="00BE505F">
        <w:t>.</w:t>
      </w:r>
      <w:r w:rsidR="00E838EB">
        <w:rPr>
          <w:rStyle w:val="EndnoteReference"/>
        </w:rPr>
        <w:endnoteReference w:id="93"/>
      </w:r>
    </w:p>
    <w:p w14:paraId="6BE2DDF1" w14:textId="4CFBCF17" w:rsidR="00F66169" w:rsidRPr="00871910" w:rsidRDefault="00871910" w:rsidP="00871910">
      <w:pPr>
        <w:widowControl w:val="0"/>
        <w:tabs>
          <w:tab w:val="left" w:pos="0"/>
          <w:tab w:val="left" w:pos="720"/>
        </w:tabs>
        <w:autoSpaceDE w:val="0"/>
        <w:autoSpaceDN w:val="0"/>
        <w:adjustRightInd w:val="0"/>
        <w:spacing w:after="240"/>
      </w:pPr>
      <w:r w:rsidRPr="00871910">
        <w:t xml:space="preserve">In </w:t>
      </w:r>
      <w:r w:rsidR="005F7115" w:rsidRPr="00871910">
        <w:t xml:space="preserve">addition </w:t>
      </w:r>
      <w:r>
        <w:t xml:space="preserve">there is </w:t>
      </w:r>
      <w:r w:rsidR="005F7115" w:rsidRPr="00871910">
        <w:t xml:space="preserve">there is </w:t>
      </w:r>
      <w:r>
        <w:t>a lack of</w:t>
      </w:r>
      <w:r w:rsidR="005F7115" w:rsidRPr="00871910">
        <w:t xml:space="preserve"> public accountability of dialysis activity and no systematic auditing of adequacy of care, safety or patient outcomes. </w:t>
      </w:r>
      <w:r w:rsidR="00F63D9F">
        <w:t>Some of the data needed to support the development of performance indicators and benchmarking is currently available through the ANZDATA. However</w:t>
      </w:r>
      <w:r w:rsidR="00F66169">
        <w:t xml:space="preserve"> there is a</w:t>
      </w:r>
      <w:r w:rsidR="00F63D9F">
        <w:t xml:space="preserve"> </w:t>
      </w:r>
      <w:r w:rsidR="00F66169">
        <w:t>lack of nationally consistent data collection for detection and pre-dialysis stage CKD</w:t>
      </w:r>
      <w:r w:rsidR="0028048F">
        <w:t>, hindering the measurement and reporting of early stage patient outcomes. Data collection throughout the entire patient journey is required to effectively monitor and evaluate quality of care and patient outcomes.</w:t>
      </w:r>
    </w:p>
    <w:p w14:paraId="06C47BA4" w14:textId="5FABAD1D" w:rsidR="00E81858" w:rsidRPr="00582AAF" w:rsidRDefault="00E81858" w:rsidP="004337FF">
      <w:pPr>
        <w:pStyle w:val="KidneyBodyBold"/>
      </w:pPr>
      <w:r w:rsidRPr="00582AAF">
        <w:t>Kidney care in regional, rural and remote communities</w:t>
      </w:r>
    </w:p>
    <w:p w14:paraId="3FB115B3" w14:textId="6CDA9723" w:rsidR="001737A2" w:rsidRDefault="00E81858" w:rsidP="00FB0D33">
      <w:pPr>
        <w:pStyle w:val="ListParagraph"/>
        <w:spacing w:line="276" w:lineRule="auto"/>
        <w:ind w:left="0"/>
        <w:rPr>
          <w:rFonts w:cs="Arial"/>
          <w:bCs/>
          <w:lang w:val="en-AU"/>
        </w:rPr>
      </w:pPr>
      <w:r w:rsidRPr="0010298A">
        <w:rPr>
          <w:rFonts w:cs="Arial"/>
          <w:bCs/>
          <w:lang w:val="en-AU"/>
        </w:rPr>
        <w:t>People living in rural areas of Australia have poorer health outcom</w:t>
      </w:r>
      <w:r w:rsidR="003F3A3A">
        <w:rPr>
          <w:rFonts w:cs="Arial"/>
          <w:bCs/>
          <w:lang w:val="en-AU"/>
        </w:rPr>
        <w:t>es than those living in cities.</w:t>
      </w:r>
    </w:p>
    <w:p w14:paraId="18E514C0" w14:textId="77777777" w:rsidR="001737A2" w:rsidRDefault="001737A2" w:rsidP="00FB0D33">
      <w:pPr>
        <w:pStyle w:val="ListParagraph"/>
        <w:spacing w:line="276" w:lineRule="auto"/>
        <w:ind w:left="0"/>
        <w:rPr>
          <w:rFonts w:cs="Arial"/>
          <w:bCs/>
          <w:lang w:val="en-AU"/>
        </w:rPr>
      </w:pPr>
    </w:p>
    <w:p w14:paraId="4CA2CC6D" w14:textId="77777777" w:rsidR="00BA086B" w:rsidRPr="00BA086B" w:rsidRDefault="00E81858" w:rsidP="001737A2">
      <w:pPr>
        <w:pStyle w:val="ListBullet"/>
      </w:pPr>
      <w:r w:rsidRPr="003F3A3A">
        <w:t>Mortality rates in regional areas are higher than major cities and increase further with increasing remoteness.</w:t>
      </w:r>
      <w:r w:rsidRPr="003F3A3A">
        <w:rPr>
          <w:rStyle w:val="EndnoteReference"/>
          <w:rFonts w:cs="Arial"/>
          <w:bCs/>
        </w:rPr>
        <w:endnoteReference w:id="94"/>
      </w:r>
      <w:r w:rsidRPr="003F3A3A">
        <w:t xml:space="preserve"> </w:t>
      </w:r>
    </w:p>
    <w:p w14:paraId="029B4F69" w14:textId="79927323" w:rsidR="003F3A3A" w:rsidRPr="00BA086B" w:rsidRDefault="00BA086B" w:rsidP="001737A2">
      <w:pPr>
        <w:pStyle w:val="ListBullet"/>
      </w:pPr>
      <w:r>
        <w:t xml:space="preserve">The </w:t>
      </w:r>
      <w:r w:rsidRPr="003F3A3A">
        <w:t>CKD related death rate in remote areas is twice that of the death rate in cities</w:t>
      </w:r>
      <w:r w:rsidR="0028048F">
        <w:t>.</w:t>
      </w:r>
      <w:r w:rsidRPr="003F3A3A">
        <w:rPr>
          <w:rStyle w:val="EndnoteReference"/>
        </w:rPr>
        <w:endnoteReference w:id="95"/>
      </w:r>
    </w:p>
    <w:p w14:paraId="7ED37246" w14:textId="73A69A6B" w:rsidR="004C06BF" w:rsidRDefault="00E81858" w:rsidP="001737A2">
      <w:pPr>
        <w:pStyle w:val="ListBullet"/>
      </w:pPr>
      <w:r w:rsidRPr="003F3A3A">
        <w:t xml:space="preserve">While socioeconomic and demographic factors (including being Aboriginal and Torres Strait Islander) contribute to the disparity in health outcomes, the gap remains even after controlling for these factors. For </w:t>
      </w:r>
      <w:proofErr w:type="gramStart"/>
      <w:r w:rsidRPr="003F3A3A">
        <w:t>example</w:t>
      </w:r>
      <w:proofErr w:type="gramEnd"/>
      <w:r w:rsidRPr="003F3A3A">
        <w:t xml:space="preserve"> people in rural areas undergo fewer diagnostic</w:t>
      </w:r>
      <w:r w:rsidRPr="00C73444">
        <w:rPr>
          <w:rStyle w:val="EndnoteReference"/>
        </w:rPr>
        <w:endnoteReference w:id="96"/>
      </w:r>
      <w:r w:rsidR="00C73444" w:rsidRPr="00AA35C7">
        <w:rPr>
          <w:vertAlign w:val="superscript"/>
        </w:rPr>
        <w:t>,</w:t>
      </w:r>
      <w:r w:rsidRPr="00C73444">
        <w:rPr>
          <w:rStyle w:val="EndnoteReference"/>
        </w:rPr>
        <w:endnoteReference w:id="97"/>
      </w:r>
      <w:r w:rsidR="00C73444" w:rsidRPr="00AA35C7">
        <w:rPr>
          <w:vertAlign w:val="superscript"/>
        </w:rPr>
        <w:t>,</w:t>
      </w:r>
      <w:r w:rsidRPr="00C73444">
        <w:rPr>
          <w:rStyle w:val="EndnoteReference"/>
        </w:rPr>
        <w:endnoteReference w:id="98"/>
      </w:r>
      <w:r w:rsidRPr="003F3A3A">
        <w:rPr>
          <w:rStyle w:val="EndnoteReference"/>
        </w:rPr>
        <w:t xml:space="preserve"> </w:t>
      </w:r>
      <w:r w:rsidRPr="003F3A3A">
        <w:t>or therapeutic interventions</w:t>
      </w:r>
      <w:r w:rsidRPr="003F3A3A">
        <w:rPr>
          <w:rStyle w:val="EndnoteReference"/>
        </w:rPr>
        <w:endnoteReference w:id="99"/>
      </w:r>
      <w:r w:rsidR="004C06BF" w:rsidRPr="00AA35C7">
        <w:rPr>
          <w:vertAlign w:val="superscript"/>
        </w:rPr>
        <w:t>,</w:t>
      </w:r>
      <w:r w:rsidRPr="00C73444">
        <w:rPr>
          <w:rStyle w:val="EndnoteReference"/>
        </w:rPr>
        <w:endnoteReference w:id="100"/>
      </w:r>
      <w:r w:rsidRPr="00C73444">
        <w:rPr>
          <w:rStyle w:val="EndnoteReference"/>
        </w:rPr>
        <w:t xml:space="preserve"> </w:t>
      </w:r>
      <w:r w:rsidRPr="003F3A3A">
        <w:t>than Australians in major cities.</w:t>
      </w:r>
    </w:p>
    <w:p w14:paraId="71B23EE1" w14:textId="3808DEEA" w:rsidR="004C06BF" w:rsidRPr="004C06BF" w:rsidRDefault="004C06BF" w:rsidP="003F15DD">
      <w:pPr>
        <w:pStyle w:val="ListParagraph"/>
        <w:numPr>
          <w:ilvl w:val="0"/>
          <w:numId w:val="13"/>
        </w:numPr>
        <w:rPr>
          <w:rFonts w:cs="Arial"/>
          <w:bCs/>
          <w:lang w:val="en-AU"/>
        </w:rPr>
      </w:pPr>
      <w:r w:rsidRPr="004C06BF">
        <w:rPr>
          <w:rFonts w:cs="Arial"/>
          <w:bCs/>
        </w:rPr>
        <w:t>P</w:t>
      </w:r>
      <w:r w:rsidR="00E81858" w:rsidRPr="004C06BF">
        <w:rPr>
          <w:rFonts w:cs="Arial"/>
          <w:bCs/>
        </w:rPr>
        <w:t>atients in metropolitan areas are more likely to access dialysis than regional and remote areas. In 2016 there were 12,706 people in Australia on dialysis.  Around 80% of these people live in major cities, 20% of these are located in inner regional areas, 8% in outer regional and 2% i</w:t>
      </w:r>
      <w:r>
        <w:rPr>
          <w:rFonts w:cs="Arial"/>
          <w:bCs/>
        </w:rPr>
        <w:t>n remote or very remote areas</w:t>
      </w:r>
      <w:r w:rsidR="00C215A1">
        <w:rPr>
          <w:rFonts w:cs="Arial"/>
          <w:bCs/>
        </w:rPr>
        <w:t>.</w:t>
      </w:r>
      <w:r w:rsidR="001A11B1">
        <w:rPr>
          <w:rStyle w:val="EndnoteReference"/>
          <w:rFonts w:cs="Arial"/>
          <w:bCs/>
        </w:rPr>
        <w:endnoteReference w:id="101"/>
      </w:r>
    </w:p>
    <w:p w14:paraId="048E4C08" w14:textId="43AA757D" w:rsidR="004C06BF" w:rsidRPr="004C06BF" w:rsidRDefault="00E90506" w:rsidP="003F15DD">
      <w:pPr>
        <w:pStyle w:val="ListParagraph"/>
        <w:numPr>
          <w:ilvl w:val="0"/>
          <w:numId w:val="13"/>
        </w:numPr>
        <w:rPr>
          <w:rFonts w:cs="Arial"/>
          <w:bCs/>
          <w:lang w:val="en-AU"/>
        </w:rPr>
      </w:pPr>
      <w:r>
        <w:rPr>
          <w:lang w:val="en-US"/>
        </w:rPr>
        <w:lastRenderedPageBreak/>
        <w:t>P</w:t>
      </w:r>
      <w:r w:rsidR="00E81858" w:rsidRPr="004C06BF">
        <w:rPr>
          <w:lang w:val="en-US"/>
        </w:rPr>
        <w:t>atients commencing dialysis in rural and remote settings have worse outcomes than those in metropolitan areas. In 2012-13, the hospitalisation rate where CKD was recorded as the principal and/or additional diagnosis (excluding dialysis) was twice as high in remote and very remote compared with major cities</w:t>
      </w:r>
      <w:r w:rsidR="00C215A1">
        <w:rPr>
          <w:lang w:val="en-US"/>
        </w:rPr>
        <w:t>.</w:t>
      </w:r>
      <w:r w:rsidR="0013601D">
        <w:rPr>
          <w:rStyle w:val="EndnoteReference"/>
          <w:lang w:val="en-US"/>
        </w:rPr>
        <w:t>101</w:t>
      </w:r>
    </w:p>
    <w:p w14:paraId="3DBD81CF" w14:textId="55EDD217" w:rsidR="00E81858" w:rsidRPr="00985D71" w:rsidRDefault="00E81858" w:rsidP="003F15DD">
      <w:pPr>
        <w:pStyle w:val="ListParagraph"/>
        <w:numPr>
          <w:ilvl w:val="0"/>
          <w:numId w:val="13"/>
        </w:numPr>
        <w:rPr>
          <w:rFonts w:cs="Arial"/>
          <w:bCs/>
          <w:lang w:val="en-AU"/>
        </w:rPr>
      </w:pPr>
      <w:r w:rsidRPr="004C06BF">
        <w:rPr>
          <w:lang w:val="en-US"/>
        </w:rPr>
        <w:t>Commencing dialysis in regional or remote areas of Australia is an independent predictor of mortality.</w:t>
      </w:r>
      <w:r>
        <w:rPr>
          <w:rStyle w:val="EndnoteReference"/>
          <w:lang w:val="en-US"/>
        </w:rPr>
        <w:endnoteReference w:id="102"/>
      </w:r>
      <w:r w:rsidRPr="004C06BF">
        <w:rPr>
          <w:lang w:val="en-US"/>
        </w:rPr>
        <w:t xml:space="preserve"> </w:t>
      </w:r>
    </w:p>
    <w:p w14:paraId="1ACDA49E" w14:textId="5E31050F" w:rsidR="00985D71" w:rsidRPr="00985D71" w:rsidRDefault="00985D71" w:rsidP="003F15DD">
      <w:pPr>
        <w:pStyle w:val="ListParagraph"/>
        <w:numPr>
          <w:ilvl w:val="0"/>
          <w:numId w:val="13"/>
        </w:numPr>
        <w:rPr>
          <w:rFonts w:cs="Arial"/>
          <w:bCs/>
          <w:lang w:val="en-AU"/>
        </w:rPr>
      </w:pPr>
      <w:r w:rsidRPr="004C06BF">
        <w:t xml:space="preserve">Regional and remote patients with </w:t>
      </w:r>
      <w:r>
        <w:t>ESKD</w:t>
      </w:r>
      <w:r w:rsidRPr="004C06BF">
        <w:t xml:space="preserve"> are less likely to undergo transplants</w:t>
      </w:r>
      <w:r>
        <w:t>.</w:t>
      </w:r>
      <w:r>
        <w:rPr>
          <w:rStyle w:val="EndnoteReference"/>
        </w:rPr>
        <w:endnoteReference w:id="103"/>
      </w:r>
    </w:p>
    <w:p w14:paraId="3BC8D491" w14:textId="1CEA02E5" w:rsidR="00E81858" w:rsidRPr="00985D71" w:rsidRDefault="00985D71" w:rsidP="003F15DD">
      <w:pPr>
        <w:pStyle w:val="ListParagraph"/>
        <w:numPr>
          <w:ilvl w:val="0"/>
          <w:numId w:val="13"/>
        </w:numPr>
        <w:rPr>
          <w:lang w:val="en-US"/>
        </w:rPr>
      </w:pPr>
      <w:r w:rsidRPr="00985D71">
        <w:rPr>
          <w:lang w:val="en-US"/>
        </w:rPr>
        <w:t>Distance from healthcare facilities is associated with lower attendance at renal specialist or multidisciplinary care clinics</w:t>
      </w:r>
      <w:r>
        <w:rPr>
          <w:lang w:val="en-US"/>
        </w:rPr>
        <w:t xml:space="preserve"> and lower overall quality of care.</w:t>
      </w:r>
      <w:r>
        <w:rPr>
          <w:rStyle w:val="EndnoteReference"/>
          <w:lang w:val="en-US"/>
        </w:rPr>
        <w:endnoteReference w:id="104"/>
      </w:r>
    </w:p>
    <w:p w14:paraId="00CEFCCD" w14:textId="0920293E" w:rsidR="00C1552D" w:rsidRPr="00894F66" w:rsidRDefault="007E25FA" w:rsidP="003F15DD">
      <w:pPr>
        <w:pStyle w:val="ListParagraph"/>
        <w:numPr>
          <w:ilvl w:val="0"/>
          <w:numId w:val="13"/>
        </w:numPr>
        <w:autoSpaceDE w:val="0"/>
        <w:autoSpaceDN w:val="0"/>
        <w:adjustRightInd w:val="0"/>
        <w:rPr>
          <w:rFonts w:cstheme="minorHAnsi"/>
          <w:lang w:val="en-US"/>
        </w:rPr>
      </w:pPr>
      <w:r w:rsidRPr="00C1552D">
        <w:rPr>
          <w:lang w:val="en-US"/>
        </w:rPr>
        <w:t>Telehealth has the capacity to improve CKD ca</w:t>
      </w:r>
      <w:r w:rsidR="00C1552D" w:rsidRPr="00C1552D">
        <w:rPr>
          <w:lang w:val="en-US"/>
        </w:rPr>
        <w:t>re in regional and remote areas and reduce costs to both for both patients and the health system.</w:t>
      </w:r>
      <w:r w:rsidRPr="00C1552D">
        <w:rPr>
          <w:lang w:val="en-US"/>
        </w:rPr>
        <w:t xml:space="preserve"> </w:t>
      </w:r>
      <w:r w:rsidR="00C1552D">
        <w:rPr>
          <w:lang w:val="en-US"/>
        </w:rPr>
        <w:t xml:space="preserve"> </w:t>
      </w:r>
      <w:r w:rsidR="00C1552D" w:rsidRPr="00C1552D">
        <w:rPr>
          <w:lang w:val="en-US"/>
        </w:rPr>
        <w:t>A</w:t>
      </w:r>
      <w:r w:rsidR="00A51E12">
        <w:rPr>
          <w:lang w:val="en-US"/>
        </w:rPr>
        <w:t xml:space="preserve"> review of tele</w:t>
      </w:r>
      <w:r w:rsidRPr="00C1552D">
        <w:rPr>
          <w:lang w:val="en-US"/>
        </w:rPr>
        <w:t>health at Royal Melbourne Hospital transplant unit</w:t>
      </w:r>
      <w:r w:rsidR="00C1552D" w:rsidRPr="00C1552D">
        <w:rPr>
          <w:lang w:val="en-US"/>
        </w:rPr>
        <w:t xml:space="preserve"> </w:t>
      </w:r>
      <w:r w:rsidRPr="00C1552D">
        <w:rPr>
          <w:lang w:val="en-US"/>
        </w:rPr>
        <w:t>found remote clinical reviews resulted in significant time and costs savings for patients and reduced greenhouse emissions.</w:t>
      </w:r>
      <w:r>
        <w:rPr>
          <w:rStyle w:val="EndnoteReference"/>
        </w:rPr>
        <w:endnoteReference w:id="105"/>
      </w:r>
      <w:r>
        <w:t xml:space="preserve"> </w:t>
      </w:r>
      <w:r w:rsidR="00C1552D" w:rsidRPr="00C1552D">
        <w:rPr>
          <w:lang w:val="en-US"/>
        </w:rPr>
        <w:t>Similarly a</w:t>
      </w:r>
      <w:r w:rsidRPr="00C1552D">
        <w:rPr>
          <w:lang w:val="en-US"/>
        </w:rPr>
        <w:t xml:space="preserve"> </w:t>
      </w:r>
      <w:r w:rsidR="00C1552D" w:rsidRPr="00C1552D">
        <w:rPr>
          <w:lang w:val="en-US"/>
        </w:rPr>
        <w:t xml:space="preserve">retrospective audit of </w:t>
      </w:r>
      <w:r w:rsidR="00C1552D" w:rsidRPr="00894F66">
        <w:rPr>
          <w:rFonts w:cstheme="minorHAnsi"/>
          <w:lang w:val="en-US"/>
        </w:rPr>
        <w:t>paediatric nephrology telehealth consultations through the Queensland Telepaediatric Service over 10 years found</w:t>
      </w:r>
      <w:r w:rsidR="00C1552D" w:rsidRPr="00894F66">
        <w:rPr>
          <w:rFonts w:cstheme="minorHAnsi"/>
          <w:szCs w:val="20"/>
        </w:rPr>
        <w:t xml:space="preserve"> 318 paediatric telenephrology consultations had been conducted with regional remote patients, with an </w:t>
      </w:r>
      <w:r w:rsidR="00C1552D" w:rsidRPr="00894F66">
        <w:rPr>
          <w:rFonts w:cstheme="minorHAnsi"/>
          <w:lang w:val="en-US"/>
        </w:rPr>
        <w:t>average saving of $505 per consultation</w:t>
      </w:r>
      <w:r w:rsidR="00C215A1" w:rsidRPr="00894F66">
        <w:rPr>
          <w:rFonts w:cstheme="minorHAnsi"/>
          <w:lang w:val="en-US"/>
        </w:rPr>
        <w:t>.</w:t>
      </w:r>
      <w:r w:rsidR="00C1552D" w:rsidRPr="00894F66">
        <w:rPr>
          <w:rStyle w:val="EndnoteReference"/>
          <w:rFonts w:cstheme="minorHAnsi"/>
          <w:lang w:val="en-US"/>
        </w:rPr>
        <w:endnoteReference w:id="106"/>
      </w:r>
    </w:p>
    <w:p w14:paraId="6B947CF2" w14:textId="77777777" w:rsidR="00C1552D" w:rsidRDefault="00C1552D" w:rsidP="004C06BF">
      <w:pPr>
        <w:widowControl w:val="0"/>
        <w:autoSpaceDE w:val="0"/>
        <w:autoSpaceDN w:val="0"/>
        <w:adjustRightInd w:val="0"/>
        <w:spacing w:line="276" w:lineRule="auto"/>
        <w:rPr>
          <w:rFonts w:cs="Times"/>
          <w:b/>
        </w:rPr>
      </w:pPr>
    </w:p>
    <w:p w14:paraId="73B30054" w14:textId="35209C6A" w:rsidR="004C06BF" w:rsidRPr="004C06BF" w:rsidRDefault="004C06BF" w:rsidP="002E07BE">
      <w:pPr>
        <w:pStyle w:val="KidneyBodyBold"/>
      </w:pPr>
      <w:r w:rsidRPr="004C06BF">
        <w:t xml:space="preserve">Living donation and </w:t>
      </w:r>
      <w:r w:rsidRPr="002E07BE">
        <w:t>transplantation</w:t>
      </w:r>
    </w:p>
    <w:p w14:paraId="3F1D58C3" w14:textId="51D11A86" w:rsidR="004C06BF" w:rsidRPr="001B35B1" w:rsidRDefault="00025567" w:rsidP="003F15DD">
      <w:pPr>
        <w:pStyle w:val="ListParagraph"/>
        <w:numPr>
          <w:ilvl w:val="0"/>
          <w:numId w:val="15"/>
        </w:numPr>
        <w:ind w:right="96"/>
        <w:rPr>
          <w:rFonts w:cstheme="minorHAnsi"/>
        </w:rPr>
      </w:pPr>
      <w:r>
        <w:rPr>
          <w:rFonts w:cstheme="minorHAnsi"/>
        </w:rPr>
        <w:t xml:space="preserve">Recipients of </w:t>
      </w:r>
      <w:r w:rsidR="00F23CFB">
        <w:rPr>
          <w:rFonts w:cstheme="minorHAnsi"/>
        </w:rPr>
        <w:t>l</w:t>
      </w:r>
      <w:r w:rsidR="00E81858" w:rsidRPr="001B35B1">
        <w:rPr>
          <w:rFonts w:cstheme="minorHAnsi"/>
        </w:rPr>
        <w:t xml:space="preserve">iving donor transplants have </w:t>
      </w:r>
      <w:r>
        <w:rPr>
          <w:rFonts w:cstheme="minorHAnsi"/>
        </w:rPr>
        <w:t>better</w:t>
      </w:r>
      <w:r w:rsidRPr="001B35B1">
        <w:rPr>
          <w:rFonts w:cstheme="minorHAnsi"/>
        </w:rPr>
        <w:t xml:space="preserve"> </w:t>
      </w:r>
      <w:r w:rsidR="00E81858" w:rsidRPr="001B35B1">
        <w:rPr>
          <w:rFonts w:cstheme="minorHAnsi"/>
        </w:rPr>
        <w:t>morbidity and mortality outcomes, with donor kidney transplantation associated with a 27 percent increase in patient survival at 20 years over that observed with deceased donors.</w:t>
      </w:r>
      <w:r w:rsidR="00E81858" w:rsidRPr="001B35B1">
        <w:rPr>
          <w:rStyle w:val="EndnoteReference"/>
          <w:rFonts w:cstheme="minorHAnsi"/>
        </w:rPr>
        <w:endnoteReference w:id="107"/>
      </w:r>
      <w:r w:rsidR="00E81858" w:rsidRPr="001B35B1">
        <w:rPr>
          <w:rFonts w:cstheme="minorHAnsi"/>
        </w:rPr>
        <w:t xml:space="preserve">  </w:t>
      </w:r>
    </w:p>
    <w:p w14:paraId="169E8EDD" w14:textId="77777777" w:rsidR="004C06BF" w:rsidRPr="001B35B1" w:rsidRDefault="004C06BF" w:rsidP="003F15DD">
      <w:pPr>
        <w:pStyle w:val="ListParagraph"/>
        <w:numPr>
          <w:ilvl w:val="0"/>
          <w:numId w:val="15"/>
        </w:numPr>
        <w:ind w:right="96"/>
        <w:rPr>
          <w:rFonts w:cstheme="minorHAnsi"/>
        </w:rPr>
      </w:pPr>
      <w:r w:rsidRPr="001B35B1">
        <w:rPr>
          <w:rFonts w:cstheme="minorHAnsi"/>
        </w:rPr>
        <w:t>R</w:t>
      </w:r>
      <w:r w:rsidR="00E81858" w:rsidRPr="001B35B1">
        <w:rPr>
          <w:rFonts w:cstheme="minorHAnsi"/>
        </w:rPr>
        <w:t xml:space="preserve">ates of living donation vary markedly across the country, with lower rates of living donation outside major cities. </w:t>
      </w:r>
    </w:p>
    <w:p w14:paraId="06CFE13A" w14:textId="06BD1806" w:rsidR="004C06BF" w:rsidRDefault="004C06BF" w:rsidP="003F15DD">
      <w:pPr>
        <w:pStyle w:val="ListParagraph"/>
        <w:numPr>
          <w:ilvl w:val="0"/>
          <w:numId w:val="15"/>
        </w:numPr>
        <w:ind w:right="96"/>
        <w:rPr>
          <w:rFonts w:cs="Calibri"/>
          <w:color w:val="000000"/>
        </w:rPr>
      </w:pPr>
      <w:r w:rsidRPr="001B35B1">
        <w:rPr>
          <w:rFonts w:cs="Calibri"/>
          <w:color w:val="000000"/>
        </w:rPr>
        <w:t>A barrier</w:t>
      </w:r>
      <w:r w:rsidR="00E81858" w:rsidRPr="001B35B1">
        <w:rPr>
          <w:rFonts w:cs="Calibri"/>
          <w:color w:val="000000"/>
        </w:rPr>
        <w:t xml:space="preserve"> to live kidney donation is the financial cost to the donor, with international experience indicating that 45% of living donors experience some form of financial hardship</w:t>
      </w:r>
      <w:r w:rsidR="00E81858" w:rsidRPr="001B35B1">
        <w:rPr>
          <w:rStyle w:val="EndnoteReference"/>
          <w:rFonts w:cs="Calibri"/>
          <w:color w:val="000000"/>
        </w:rPr>
        <w:endnoteReference w:id="108"/>
      </w:r>
      <w:r w:rsidR="00E81858" w:rsidRPr="001B35B1">
        <w:rPr>
          <w:rFonts w:cs="Calibri"/>
          <w:color w:val="000000"/>
          <w:sz w:val="14"/>
          <w:szCs w:val="14"/>
        </w:rPr>
        <w:t xml:space="preserve"> </w:t>
      </w:r>
      <w:r w:rsidR="0045546C">
        <w:rPr>
          <w:rFonts w:cs="Calibri"/>
          <w:color w:val="000000"/>
        </w:rPr>
        <w:t xml:space="preserve">and </w:t>
      </w:r>
      <w:r w:rsidR="00E81858" w:rsidRPr="001B35B1">
        <w:rPr>
          <w:rFonts w:cs="Calibri"/>
          <w:color w:val="000000"/>
        </w:rPr>
        <w:t xml:space="preserve">that </w:t>
      </w:r>
      <w:r w:rsidR="0045546C">
        <w:rPr>
          <w:rFonts w:cs="Calibri"/>
          <w:color w:val="000000"/>
        </w:rPr>
        <w:t>nearly a quarter</w:t>
      </w:r>
      <w:r w:rsidR="00E81858" w:rsidRPr="001B35B1">
        <w:rPr>
          <w:rFonts w:cs="Calibri"/>
          <w:color w:val="000000"/>
        </w:rPr>
        <w:t xml:space="preserve"> of potential living donors choose not to donate because of anticipated financial hardship.</w:t>
      </w:r>
      <w:r w:rsidR="00E81858" w:rsidRPr="001B35B1">
        <w:rPr>
          <w:rStyle w:val="EndnoteReference"/>
          <w:rFonts w:cs="Calibri"/>
          <w:color w:val="000000"/>
        </w:rPr>
        <w:endnoteReference w:id="109"/>
      </w:r>
      <w:r w:rsidR="00E81858" w:rsidRPr="001B35B1">
        <w:rPr>
          <w:rFonts w:cs="Calibri"/>
          <w:color w:val="000000"/>
        </w:rPr>
        <w:t xml:space="preserve"> </w:t>
      </w:r>
    </w:p>
    <w:p w14:paraId="52BD15A5" w14:textId="7344900D" w:rsidR="00E81858" w:rsidRPr="009C06AB" w:rsidRDefault="001B35B1" w:rsidP="003F15DD">
      <w:pPr>
        <w:pStyle w:val="ListParagraph"/>
        <w:numPr>
          <w:ilvl w:val="0"/>
          <w:numId w:val="15"/>
        </w:numPr>
        <w:ind w:right="96"/>
        <w:rPr>
          <w:rFonts w:cstheme="minorHAnsi"/>
        </w:rPr>
      </w:pPr>
      <w:r w:rsidRPr="009C06AB">
        <w:rPr>
          <w:rFonts w:cs="Calibri"/>
          <w:color w:val="000000"/>
        </w:rPr>
        <w:t xml:space="preserve">In Australia </w:t>
      </w:r>
      <w:r w:rsidR="00E81858" w:rsidRPr="009C06AB">
        <w:rPr>
          <w:rFonts w:ascii="Calibri" w:hAnsi="Calibri" w:cs="Calibri"/>
          <w:color w:val="000000"/>
        </w:rPr>
        <w:t xml:space="preserve">donors who work </w:t>
      </w:r>
      <w:r w:rsidRPr="009C06AB">
        <w:rPr>
          <w:rFonts w:ascii="Calibri" w:hAnsi="Calibri" w:cs="Calibri"/>
          <w:color w:val="000000"/>
        </w:rPr>
        <w:t xml:space="preserve">can </w:t>
      </w:r>
      <w:r w:rsidR="00E81858" w:rsidRPr="009C06AB">
        <w:rPr>
          <w:rFonts w:ascii="Calibri" w:hAnsi="Calibri" w:cs="Calibri"/>
          <w:color w:val="000000"/>
        </w:rPr>
        <w:t>access paid leave, for a specified period, via a reimbursem</w:t>
      </w:r>
      <w:r w:rsidR="009C06AB" w:rsidRPr="009C06AB">
        <w:rPr>
          <w:rFonts w:ascii="Calibri" w:hAnsi="Calibri" w:cs="Calibri"/>
          <w:color w:val="000000"/>
        </w:rPr>
        <w:t xml:space="preserve">ent to the employer through </w:t>
      </w:r>
      <w:r w:rsidR="00E81858" w:rsidRPr="009C06AB">
        <w:rPr>
          <w:rFonts w:ascii="Calibri" w:hAnsi="Calibri" w:cs="Calibri"/>
          <w:color w:val="000000"/>
        </w:rPr>
        <w:t>the ‘</w:t>
      </w:r>
      <w:r w:rsidR="00E81858" w:rsidRPr="009C06AB">
        <w:rPr>
          <w:rFonts w:ascii="Calibri" w:hAnsi="Calibri" w:cs="Calibri"/>
          <w:i/>
          <w:iCs/>
          <w:color w:val="000000"/>
        </w:rPr>
        <w:t xml:space="preserve">Supporting </w:t>
      </w:r>
      <w:r w:rsidR="00C73444" w:rsidRPr="009C06AB">
        <w:rPr>
          <w:rFonts w:ascii="Calibri" w:hAnsi="Calibri" w:cs="Calibri"/>
          <w:i/>
          <w:iCs/>
          <w:color w:val="000000"/>
        </w:rPr>
        <w:t xml:space="preserve">Living Organ </w:t>
      </w:r>
      <w:r w:rsidR="00E81858" w:rsidRPr="009C06AB">
        <w:rPr>
          <w:rFonts w:ascii="Calibri" w:hAnsi="Calibri" w:cs="Calibri"/>
          <w:i/>
          <w:iCs/>
          <w:color w:val="000000"/>
        </w:rPr>
        <w:t xml:space="preserve">Donors’ </w:t>
      </w:r>
      <w:r w:rsidR="009C06AB">
        <w:rPr>
          <w:rFonts w:ascii="Calibri" w:hAnsi="Calibri" w:cs="Calibri"/>
          <w:color w:val="000000"/>
        </w:rPr>
        <w:t>program</w:t>
      </w:r>
      <w:r w:rsidR="009C06AB" w:rsidRPr="009C06AB">
        <w:rPr>
          <w:rFonts w:ascii="Calibri" w:hAnsi="Calibri" w:cs="Calibri"/>
          <w:color w:val="000000"/>
        </w:rPr>
        <w:t xml:space="preserve">. </w:t>
      </w:r>
      <w:r w:rsidR="009C06AB">
        <w:rPr>
          <w:rFonts w:ascii="Calibri" w:hAnsi="Calibri" w:cs="Calibri"/>
          <w:color w:val="000000"/>
        </w:rPr>
        <w:t>The program</w:t>
      </w:r>
      <w:r w:rsidR="009C06AB" w:rsidRPr="009C06AB">
        <w:rPr>
          <w:rFonts w:ascii="Calibri" w:hAnsi="Calibri" w:cs="Calibri"/>
          <w:color w:val="000000"/>
        </w:rPr>
        <w:t xml:space="preserve"> </w:t>
      </w:r>
      <w:r w:rsidR="009C06AB">
        <w:rPr>
          <w:color w:val="222222"/>
          <w:shd w:val="clear" w:color="auto" w:fill="FFFFFF"/>
        </w:rPr>
        <w:t>a</w:t>
      </w:r>
      <w:r w:rsidR="009C06AB" w:rsidRPr="009C06AB">
        <w:rPr>
          <w:color w:val="222222"/>
          <w:shd w:val="clear" w:color="auto" w:fill="FFFFFF"/>
        </w:rPr>
        <w:t>lso allows donors to claim reimbursement for some out of pocket expenses, enabling donors who a</w:t>
      </w:r>
      <w:r w:rsidR="009C06AB">
        <w:rPr>
          <w:color w:val="222222"/>
          <w:shd w:val="clear" w:color="auto" w:fill="FFFFFF"/>
        </w:rPr>
        <w:t>re not employed to participate</w:t>
      </w:r>
      <w:r w:rsidR="004C5EA4">
        <w:rPr>
          <w:color w:val="222222"/>
          <w:shd w:val="clear" w:color="auto" w:fill="FFFFFF"/>
        </w:rPr>
        <w:t>.</w:t>
      </w:r>
    </w:p>
    <w:p w14:paraId="7FCE831F" w14:textId="77777777" w:rsidR="009C06AB" w:rsidRDefault="009C06AB" w:rsidP="009C06AB">
      <w:pPr>
        <w:pStyle w:val="ListParagraph"/>
        <w:ind w:left="360" w:right="96"/>
        <w:rPr>
          <w:rFonts w:cstheme="minorHAnsi"/>
        </w:rPr>
      </w:pPr>
    </w:p>
    <w:p w14:paraId="08205ED7" w14:textId="75D9CFF3" w:rsidR="00496D51" w:rsidRDefault="00496D51" w:rsidP="002E07BE">
      <w:pPr>
        <w:pStyle w:val="KidneyBodyBold"/>
      </w:pPr>
      <w:r w:rsidRPr="00496D51">
        <w:t>Transplant access and outcomes</w:t>
      </w:r>
    </w:p>
    <w:p w14:paraId="418C7874" w14:textId="23932FB9" w:rsidR="00E94D19" w:rsidRPr="00C215A1" w:rsidRDefault="00E94D19" w:rsidP="003F15DD">
      <w:pPr>
        <w:pStyle w:val="ListParagraph"/>
        <w:widowControl w:val="0"/>
        <w:numPr>
          <w:ilvl w:val="0"/>
          <w:numId w:val="25"/>
        </w:numPr>
        <w:autoSpaceDE w:val="0"/>
        <w:autoSpaceDN w:val="0"/>
        <w:adjustRightInd w:val="0"/>
        <w:rPr>
          <w:rFonts w:cstheme="minorHAnsi"/>
        </w:rPr>
      </w:pPr>
      <w:r w:rsidRPr="00C215A1">
        <w:rPr>
          <w:rFonts w:cstheme="minorHAnsi"/>
          <w:color w:val="000000"/>
        </w:rPr>
        <w:t>Kidney transplants are associated with a five to ten fold reduction in mortality in comparison with dialysis.</w:t>
      </w:r>
      <w:r w:rsidRPr="00C215A1">
        <w:rPr>
          <w:rStyle w:val="EndnoteReference"/>
          <w:rFonts w:cstheme="minorHAnsi"/>
        </w:rPr>
        <w:endnoteReference w:id="110"/>
      </w:r>
    </w:p>
    <w:p w14:paraId="112CD0DB" w14:textId="609A91D0" w:rsidR="004E2C14" w:rsidRPr="00C215A1" w:rsidRDefault="004E2C14" w:rsidP="003F15DD">
      <w:pPr>
        <w:pStyle w:val="ListParagraph"/>
        <w:widowControl w:val="0"/>
        <w:numPr>
          <w:ilvl w:val="0"/>
          <w:numId w:val="25"/>
        </w:numPr>
        <w:autoSpaceDE w:val="0"/>
        <w:autoSpaceDN w:val="0"/>
        <w:adjustRightInd w:val="0"/>
        <w:rPr>
          <w:rFonts w:cstheme="minorHAnsi"/>
        </w:rPr>
      </w:pPr>
      <w:r w:rsidRPr="00C215A1">
        <w:rPr>
          <w:rFonts w:cstheme="minorHAnsi"/>
          <w:color w:val="000000"/>
        </w:rPr>
        <w:t>The Organ and Tissue Authority (OTA) was established in 2009 to manage the implementation of the Australian Government’s national program for increasing organ and tissue donation for transplantation in partnership with the DonateLife Network, state and territory governments, the donation and transplantation clinical sectors, eye and tissue banks, and the community</w:t>
      </w:r>
      <w:r w:rsidR="00E94D19" w:rsidRPr="00C215A1">
        <w:rPr>
          <w:rFonts w:cstheme="minorHAnsi"/>
          <w:color w:val="000000"/>
        </w:rPr>
        <w:t xml:space="preserve"> </w:t>
      </w:r>
      <w:r w:rsidRPr="00C215A1">
        <w:rPr>
          <w:rFonts w:cstheme="minorHAnsi"/>
          <w:color w:val="000000"/>
        </w:rPr>
        <w:t>Between 2009 and 2017 the number of deceased organ donors more than doubled (106%) and the number of transplant recipients increased by 75%</w:t>
      </w:r>
      <w:r w:rsidR="00E94D19" w:rsidRPr="00C215A1">
        <w:rPr>
          <w:rFonts w:cstheme="minorHAnsi"/>
          <w:color w:val="000000"/>
        </w:rPr>
        <w:t>.</w:t>
      </w:r>
      <w:r w:rsidR="00243814" w:rsidRPr="00C215A1">
        <w:rPr>
          <w:rStyle w:val="EndnoteReference"/>
          <w:rFonts w:cstheme="minorHAnsi"/>
        </w:rPr>
        <w:endnoteReference w:id="111"/>
      </w:r>
    </w:p>
    <w:p w14:paraId="43CE99A5" w14:textId="4D9B04E2" w:rsidR="00CC52C6" w:rsidRPr="00C215A1" w:rsidRDefault="005B50A8" w:rsidP="003F15DD">
      <w:pPr>
        <w:pStyle w:val="ListParagraph"/>
        <w:widowControl w:val="0"/>
        <w:numPr>
          <w:ilvl w:val="0"/>
          <w:numId w:val="25"/>
        </w:numPr>
        <w:autoSpaceDE w:val="0"/>
        <w:autoSpaceDN w:val="0"/>
        <w:adjustRightInd w:val="0"/>
        <w:rPr>
          <w:rFonts w:cstheme="minorHAnsi"/>
        </w:rPr>
      </w:pPr>
      <w:r w:rsidRPr="00C215A1">
        <w:rPr>
          <w:rFonts w:cstheme="minorHAnsi"/>
          <w:color w:val="000000"/>
        </w:rPr>
        <w:t>Access to the kidney transplant waiting list is via individual transplant programs based on set eligibility criteria – including meeting the medium to long term life expectancy eligibility criteria from the Transplantation Society of Australia and New Zealand (TSANZ) and as well being eligible for Medicare. States and individual transplant unit may also have differing approaches that account for differences in populations and geography</w:t>
      </w:r>
      <w:r w:rsidR="004E2C14" w:rsidRPr="00C215A1">
        <w:rPr>
          <w:rFonts w:cstheme="minorHAnsi"/>
        </w:rPr>
        <w:t>.</w:t>
      </w:r>
      <w:r w:rsidR="004E2C14" w:rsidRPr="00C215A1">
        <w:rPr>
          <w:rStyle w:val="EndnoteReference"/>
          <w:rFonts w:cstheme="minorHAnsi"/>
        </w:rPr>
        <w:endnoteReference w:id="112"/>
      </w:r>
    </w:p>
    <w:p w14:paraId="5C1284E5" w14:textId="1F8C97B8" w:rsidR="00E94D19" w:rsidRPr="00C215A1" w:rsidRDefault="00E94D19" w:rsidP="003F15DD">
      <w:pPr>
        <w:pStyle w:val="ListParagraph"/>
        <w:widowControl w:val="0"/>
        <w:numPr>
          <w:ilvl w:val="0"/>
          <w:numId w:val="25"/>
        </w:numPr>
        <w:autoSpaceDE w:val="0"/>
        <w:autoSpaceDN w:val="0"/>
        <w:adjustRightInd w:val="0"/>
        <w:rPr>
          <w:rFonts w:cstheme="minorHAnsi"/>
        </w:rPr>
      </w:pPr>
      <w:r w:rsidRPr="00C215A1">
        <w:rPr>
          <w:rFonts w:cstheme="minorHAnsi"/>
          <w:color w:val="000000"/>
        </w:rPr>
        <w:t xml:space="preserve">There is evidence of disparities in access to transplants between population groups. </w:t>
      </w:r>
      <w:r w:rsidR="00BE505F" w:rsidRPr="00BE505F">
        <w:rPr>
          <w:rFonts w:cstheme="minorHAnsi"/>
          <w:color w:val="000000"/>
        </w:rPr>
        <w:t xml:space="preserve">Aboriginal and Torres Strait Islander </w:t>
      </w:r>
      <w:r w:rsidRPr="00C215A1">
        <w:rPr>
          <w:rFonts w:cstheme="minorHAnsi"/>
          <w:color w:val="000000"/>
        </w:rPr>
        <w:t>patients are less likely to be added to transplantation waiting list, a disparity not explained by patient or disease related factors.</w:t>
      </w:r>
      <w:r w:rsidRPr="00C215A1">
        <w:rPr>
          <w:rStyle w:val="EndnoteReference"/>
          <w:rFonts w:cstheme="minorHAnsi"/>
        </w:rPr>
        <w:endnoteReference w:id="113"/>
      </w:r>
      <w:r w:rsidR="00C215A1">
        <w:rPr>
          <w:rFonts w:cstheme="minorHAnsi"/>
          <w:color w:val="000000"/>
        </w:rPr>
        <w:t xml:space="preserve"> </w:t>
      </w:r>
      <w:r w:rsidR="00BE505F" w:rsidRPr="00C215A1">
        <w:rPr>
          <w:rFonts w:cstheme="minorHAnsi"/>
          <w:color w:val="000000"/>
        </w:rPr>
        <w:t xml:space="preserve">Aboriginal and Torres Strait Islander </w:t>
      </w:r>
      <w:r w:rsidRPr="00C215A1">
        <w:rPr>
          <w:rFonts w:cstheme="minorHAnsi"/>
          <w:color w:val="000000"/>
        </w:rPr>
        <w:t xml:space="preserve">patients </w:t>
      </w:r>
      <w:r w:rsidR="00E40835" w:rsidRPr="00C215A1">
        <w:rPr>
          <w:rFonts w:cstheme="minorHAnsi"/>
          <w:color w:val="000000"/>
        </w:rPr>
        <w:t>and people living in rural Australia also experience poorer transplant outcomes, including higher vascular rejection rates and/or lower patient survival post-transplantation.</w:t>
      </w:r>
      <w:r w:rsidR="00E40835" w:rsidRPr="00C215A1">
        <w:rPr>
          <w:rStyle w:val="EndnoteReference"/>
          <w:rFonts w:cstheme="minorHAnsi"/>
          <w:color w:val="000000"/>
        </w:rPr>
        <w:endnoteReference w:id="114"/>
      </w:r>
    </w:p>
    <w:p w14:paraId="4B163A46" w14:textId="10EBC019" w:rsidR="00E40835" w:rsidRPr="00C215A1" w:rsidRDefault="00E40835" w:rsidP="003F15DD">
      <w:pPr>
        <w:pStyle w:val="ListParagraph"/>
        <w:widowControl w:val="0"/>
        <w:numPr>
          <w:ilvl w:val="0"/>
          <w:numId w:val="25"/>
        </w:numPr>
        <w:autoSpaceDE w:val="0"/>
        <w:autoSpaceDN w:val="0"/>
        <w:adjustRightInd w:val="0"/>
        <w:rPr>
          <w:rFonts w:cstheme="minorHAnsi"/>
          <w:color w:val="000000"/>
        </w:rPr>
      </w:pPr>
      <w:r w:rsidRPr="00C215A1">
        <w:rPr>
          <w:rFonts w:cstheme="minorHAnsi"/>
          <w:color w:val="000000"/>
        </w:rPr>
        <w:t>The TSANZ Improving Access to and Outcomes of Kidney Transplantation for Aboriginal and Torres Strait Islander People in Australia report includes 35 recommendations to address these disparities.</w:t>
      </w:r>
    </w:p>
    <w:p w14:paraId="6901E0F7" w14:textId="055345B2" w:rsidR="00496D51" w:rsidRDefault="001F49F4" w:rsidP="006E03C1">
      <w:pPr>
        <w:pStyle w:val="ListParagraph"/>
        <w:numPr>
          <w:ilvl w:val="0"/>
          <w:numId w:val="25"/>
        </w:numPr>
        <w:rPr>
          <w:rFonts w:cstheme="minorHAnsi"/>
          <w:color w:val="000000"/>
        </w:rPr>
      </w:pPr>
      <w:r w:rsidRPr="00C215A1">
        <w:rPr>
          <w:rFonts w:cstheme="minorHAnsi"/>
          <w:color w:val="000000"/>
        </w:rPr>
        <w:t xml:space="preserve">A further Review of Organ Donation, Retrieval and Transplantation System undertaken by </w:t>
      </w:r>
      <w:r w:rsidR="00C215A1">
        <w:rPr>
          <w:rFonts w:cstheme="minorHAnsi"/>
          <w:color w:val="000000"/>
        </w:rPr>
        <w:t>the Department of Health for all governments through the Council of Australian Governments Health Council</w:t>
      </w:r>
      <w:r w:rsidRPr="00C215A1">
        <w:rPr>
          <w:rFonts w:cstheme="minorHAnsi"/>
          <w:color w:val="000000"/>
        </w:rPr>
        <w:t xml:space="preserve"> will be </w:t>
      </w:r>
      <w:r w:rsidR="00C215A1" w:rsidRPr="00C215A1">
        <w:rPr>
          <w:rFonts w:cstheme="minorHAnsi"/>
          <w:color w:val="000000"/>
        </w:rPr>
        <w:t>publicly</w:t>
      </w:r>
      <w:r w:rsidR="006E03C1">
        <w:rPr>
          <w:rFonts w:cstheme="minorHAnsi"/>
          <w:color w:val="000000"/>
        </w:rPr>
        <w:t xml:space="preserve"> available in 2019.</w:t>
      </w:r>
    </w:p>
    <w:p w14:paraId="261EC409" w14:textId="77777777" w:rsidR="006E03C1" w:rsidRPr="006E03C1" w:rsidRDefault="006E03C1" w:rsidP="006E03C1">
      <w:pPr>
        <w:rPr>
          <w:rFonts w:cstheme="minorHAnsi"/>
          <w:color w:val="000000"/>
        </w:rPr>
      </w:pPr>
    </w:p>
    <w:p w14:paraId="61E1D0B1" w14:textId="77777777" w:rsidR="002F34C3" w:rsidRDefault="002F34C3" w:rsidP="00AE2E9A">
      <w:pPr>
        <w:rPr>
          <w:b/>
        </w:rPr>
      </w:pPr>
    </w:p>
    <w:p w14:paraId="27D01087" w14:textId="5C91D694" w:rsidR="00E81858" w:rsidRDefault="00E81858" w:rsidP="00AE2E9A">
      <w:pPr>
        <w:rPr>
          <w:b/>
        </w:rPr>
      </w:pPr>
      <w:r w:rsidRPr="00F173C6">
        <w:rPr>
          <w:b/>
        </w:rPr>
        <w:lastRenderedPageBreak/>
        <w:t xml:space="preserve">Paediatric to adult transition </w:t>
      </w:r>
    </w:p>
    <w:p w14:paraId="0D7E9679" w14:textId="66936F85" w:rsidR="00A770F6" w:rsidRDefault="00A33A86" w:rsidP="00A33A86">
      <w:r>
        <w:t xml:space="preserve">Over 150,000 </w:t>
      </w:r>
      <w:r w:rsidRPr="00A33A86">
        <w:t>young Australians (aged &lt;25 years)</w:t>
      </w:r>
      <w:r>
        <w:t xml:space="preserve"> have biomedical markers of kidney disease</w:t>
      </w:r>
      <w:r w:rsidR="00BE505F">
        <w:t>.</w:t>
      </w:r>
      <w:r w:rsidR="009C06AB">
        <w:rPr>
          <w:rStyle w:val="EndnoteReference"/>
        </w:rPr>
        <w:endnoteReference w:id="115"/>
      </w:r>
      <w:r w:rsidR="00BE505F">
        <w:t xml:space="preserve"> </w:t>
      </w:r>
      <w:r>
        <w:t>In 2018 a</w:t>
      </w:r>
      <w:r w:rsidR="00E81858">
        <w:t xml:space="preserve">lmost 700 </w:t>
      </w:r>
      <w:r w:rsidR="00A770F6">
        <w:t xml:space="preserve">were on RRT for </w:t>
      </w:r>
      <w:r w:rsidR="00624B78">
        <w:t>ESKD</w:t>
      </w:r>
      <w:r w:rsidR="00A770F6">
        <w:t xml:space="preserve">. Of these, </w:t>
      </w:r>
      <w:r>
        <w:t xml:space="preserve">190 young Australians </w:t>
      </w:r>
      <w:r w:rsidR="00A770F6">
        <w:t xml:space="preserve">were </w:t>
      </w:r>
      <w:r>
        <w:t>receiving dialysis and 506 living with a transplant</w:t>
      </w:r>
      <w:r w:rsidR="00C1552D">
        <w:t>.</w:t>
      </w:r>
      <w:r w:rsidR="004C5EA4">
        <w:rPr>
          <w:rStyle w:val="EndnoteReference"/>
        </w:rPr>
        <w:endnoteReference w:id="116"/>
      </w:r>
    </w:p>
    <w:p w14:paraId="5063083A" w14:textId="3B542071" w:rsidR="00E81858" w:rsidRDefault="00E81858" w:rsidP="00A33A86"/>
    <w:p w14:paraId="3A3EF974" w14:textId="482DF966" w:rsidR="001B35B1" w:rsidRPr="001B35B1" w:rsidRDefault="00E81858" w:rsidP="003F15DD">
      <w:pPr>
        <w:pStyle w:val="ListParagraph"/>
        <w:numPr>
          <w:ilvl w:val="0"/>
          <w:numId w:val="16"/>
        </w:numPr>
        <w:autoSpaceDE w:val="0"/>
        <w:autoSpaceDN w:val="0"/>
        <w:adjustRightInd w:val="0"/>
        <w:rPr>
          <w:rFonts w:cs="Calibri"/>
          <w:color w:val="000000"/>
        </w:rPr>
      </w:pPr>
      <w:r w:rsidRPr="001B35B1">
        <w:rPr>
          <w:rFonts w:cs="Calibri"/>
          <w:color w:val="000000"/>
        </w:rPr>
        <w:t>Transition to adult health care is challenging for young people, their families and health care workers.</w:t>
      </w:r>
      <w:r w:rsidRPr="001B35B1">
        <w:rPr>
          <w:rStyle w:val="EndnoteReference"/>
          <w:rFonts w:cs="Calibri"/>
          <w:color w:val="000000"/>
        </w:rPr>
        <w:endnoteReference w:id="117"/>
      </w:r>
      <w:r w:rsidRPr="001B35B1">
        <w:rPr>
          <w:rFonts w:cs="Calibri"/>
          <w:color w:val="000000"/>
        </w:rPr>
        <w:t xml:space="preserve"> Apart from the normal developmental factors influencing young people, there are additional factors associated with having a chronic disease including anger and resentment, denial of severity of illness and/or questioning authority leading to rejecting medical advice and treatment</w:t>
      </w:r>
      <w:r w:rsidR="00EE3A1B">
        <w:rPr>
          <w:rFonts w:cs="Calibri"/>
          <w:color w:val="000000"/>
        </w:rPr>
        <w:t>.</w:t>
      </w:r>
      <w:r w:rsidRPr="001B35B1">
        <w:rPr>
          <w:rStyle w:val="EndnoteReference"/>
          <w:rFonts w:cs="Calibri"/>
          <w:color w:val="000000"/>
        </w:rPr>
        <w:endnoteReference w:id="118"/>
      </w:r>
      <w:r w:rsidRPr="001B35B1">
        <w:rPr>
          <w:rFonts w:cs="Calibri"/>
          <w:color w:val="000000"/>
        </w:rPr>
        <w:t xml:space="preserve"> </w:t>
      </w:r>
    </w:p>
    <w:p w14:paraId="73E2AB95" w14:textId="1C3C7122" w:rsidR="001B35B1" w:rsidRPr="001B35B1" w:rsidRDefault="00E90506" w:rsidP="003F15DD">
      <w:pPr>
        <w:pStyle w:val="ListParagraph"/>
        <w:numPr>
          <w:ilvl w:val="0"/>
          <w:numId w:val="16"/>
        </w:numPr>
        <w:autoSpaceDE w:val="0"/>
        <w:autoSpaceDN w:val="0"/>
        <w:adjustRightInd w:val="0"/>
        <w:rPr>
          <w:rFonts w:cs="Calibri"/>
          <w:color w:val="000000"/>
        </w:rPr>
      </w:pPr>
      <w:r>
        <w:rPr>
          <w:rFonts w:cs="Calibri"/>
          <w:color w:val="000000"/>
        </w:rPr>
        <w:t>P</w:t>
      </w:r>
      <w:r w:rsidR="00E81858" w:rsidRPr="001B35B1">
        <w:rPr>
          <w:rFonts w:cs="Calibri"/>
          <w:color w:val="000000"/>
        </w:rPr>
        <w:t xml:space="preserve">atients in the 15-24 age range have to cope with treatment in an adult clinic dominated by a significantly larger and older cohort with medical teams </w:t>
      </w:r>
      <w:r w:rsidR="00025567">
        <w:rPr>
          <w:rFonts w:cs="Calibri"/>
          <w:color w:val="000000"/>
        </w:rPr>
        <w:t xml:space="preserve">often </w:t>
      </w:r>
      <w:r w:rsidR="00E81858" w:rsidRPr="001B35B1">
        <w:rPr>
          <w:rFonts w:cs="Calibri"/>
          <w:color w:val="000000"/>
        </w:rPr>
        <w:t xml:space="preserve">ill-equipped and under-resourced to tailor services to support younger patients.  </w:t>
      </w:r>
    </w:p>
    <w:p w14:paraId="1F8476DE" w14:textId="7EB0C748" w:rsidR="001B35B1" w:rsidRPr="001B35B1" w:rsidRDefault="00E81858" w:rsidP="003F15DD">
      <w:pPr>
        <w:pStyle w:val="ListParagraph"/>
        <w:numPr>
          <w:ilvl w:val="0"/>
          <w:numId w:val="16"/>
        </w:numPr>
        <w:autoSpaceDE w:val="0"/>
        <w:autoSpaceDN w:val="0"/>
        <w:adjustRightInd w:val="0"/>
      </w:pPr>
      <w:r w:rsidRPr="001B35B1">
        <w:rPr>
          <w:rFonts w:cs="Calibri"/>
          <w:color w:val="000000"/>
        </w:rPr>
        <w:t>These factors mark the transition from to adult care as high risk of non-adherence to medication</w:t>
      </w:r>
      <w:r w:rsidRPr="001B35B1">
        <w:rPr>
          <w:rStyle w:val="EndnoteReference"/>
          <w:rFonts w:cs="Calibri"/>
          <w:color w:val="000000"/>
        </w:rPr>
        <w:endnoteReference w:id="119"/>
      </w:r>
      <w:r w:rsidR="00C73444" w:rsidRPr="00AA35C7">
        <w:rPr>
          <w:rFonts w:cs="Calibri"/>
          <w:color w:val="000000"/>
          <w:vertAlign w:val="superscript"/>
        </w:rPr>
        <w:t>,</w:t>
      </w:r>
      <w:r w:rsidRPr="001B35B1">
        <w:rPr>
          <w:rStyle w:val="EndnoteReference"/>
          <w:rFonts w:cs="Calibri"/>
          <w:color w:val="000000"/>
        </w:rPr>
        <w:endnoteReference w:id="120"/>
      </w:r>
      <w:r w:rsidR="00C215A1">
        <w:rPr>
          <w:rFonts w:cs="Calibri"/>
          <w:color w:val="000000"/>
          <w:vertAlign w:val="superscript"/>
        </w:rPr>
        <w:t xml:space="preserve"> </w:t>
      </w:r>
      <w:r w:rsidRPr="001B35B1">
        <w:rPr>
          <w:rFonts w:cs="Calibri"/>
          <w:color w:val="000000"/>
        </w:rPr>
        <w:t xml:space="preserve">and/or complex </w:t>
      </w:r>
      <w:r w:rsidR="00025567">
        <w:rPr>
          <w:rFonts w:cs="Calibri"/>
          <w:color w:val="000000"/>
        </w:rPr>
        <w:t>transplant medication</w:t>
      </w:r>
      <w:r w:rsidR="00025567" w:rsidRPr="001B35B1">
        <w:rPr>
          <w:rFonts w:cs="Calibri"/>
          <w:color w:val="000000"/>
        </w:rPr>
        <w:t xml:space="preserve"> </w:t>
      </w:r>
      <w:r w:rsidRPr="001B35B1">
        <w:rPr>
          <w:rFonts w:cs="Calibri"/>
          <w:color w:val="000000"/>
        </w:rPr>
        <w:t>compliance regimes</w:t>
      </w:r>
      <w:r w:rsidRPr="001B35B1">
        <w:t xml:space="preserve">. </w:t>
      </w:r>
    </w:p>
    <w:p w14:paraId="2D0CCF68" w14:textId="5A0C463B" w:rsidR="00123E29" w:rsidRDefault="00E81858" w:rsidP="003F15DD">
      <w:pPr>
        <w:pStyle w:val="ListParagraph"/>
        <w:numPr>
          <w:ilvl w:val="0"/>
          <w:numId w:val="16"/>
        </w:numPr>
        <w:autoSpaceDE w:val="0"/>
        <w:autoSpaceDN w:val="0"/>
        <w:adjustRightInd w:val="0"/>
      </w:pPr>
      <w:r w:rsidRPr="001B35B1">
        <w:t xml:space="preserve">Consequently adolescent and young adult kidney transplant recipients have a worse </w:t>
      </w:r>
      <w:r w:rsidR="00025567">
        <w:t>transplant</w:t>
      </w:r>
      <w:r w:rsidR="00025567" w:rsidRPr="001B35B1">
        <w:t xml:space="preserve"> </w:t>
      </w:r>
      <w:r w:rsidRPr="001B35B1">
        <w:t>outcome than any other age group up to 70 years of age, with</w:t>
      </w:r>
      <w:r w:rsidR="00025567">
        <w:t xml:space="preserve"> higher rates of dangerous </w:t>
      </w:r>
      <w:r w:rsidRPr="001B35B1">
        <w:t>late acute rejection and reduced 5-year graft survival.</w:t>
      </w:r>
      <w:r w:rsidRPr="001B35B1">
        <w:rPr>
          <w:rStyle w:val="EndnoteReference"/>
        </w:rPr>
        <w:endnoteReference w:id="121"/>
      </w:r>
      <w:r w:rsidRPr="001B35B1">
        <w:t xml:space="preserve"> </w:t>
      </w:r>
    </w:p>
    <w:p w14:paraId="5805247C" w14:textId="6DA42E3A" w:rsidR="00E81858" w:rsidRPr="00123E29" w:rsidRDefault="00E81858" w:rsidP="003F15DD">
      <w:pPr>
        <w:pStyle w:val="ListParagraph"/>
        <w:numPr>
          <w:ilvl w:val="0"/>
          <w:numId w:val="16"/>
        </w:numPr>
        <w:autoSpaceDE w:val="0"/>
        <w:autoSpaceDN w:val="0"/>
        <w:adjustRightInd w:val="0"/>
      </w:pPr>
      <w:r w:rsidRPr="00123E29">
        <w:t>Dedicated clinics for young adults transitioning to adult care or presenting with kidney disease for the first time are designed to improve outcomes for these patients, with evidence from a UK service demonstrating</w:t>
      </w:r>
      <w:r w:rsidRPr="00123E29">
        <w:rPr>
          <w:rFonts w:cs="Calibri"/>
          <w:color w:val="000000"/>
        </w:rPr>
        <w:t xml:space="preserve"> </w:t>
      </w:r>
      <w:r w:rsidRPr="00123E29">
        <w:t>a 67% reduction in transplant failure associated with transition to adult care</w:t>
      </w:r>
      <w:r w:rsidR="00EE3A1B">
        <w:t>.</w:t>
      </w:r>
      <w:r w:rsidRPr="001B35B1">
        <w:rPr>
          <w:rStyle w:val="EndnoteReference"/>
        </w:rPr>
        <w:endnoteReference w:id="122"/>
      </w:r>
    </w:p>
    <w:p w14:paraId="5D634C1A" w14:textId="2F1009D7" w:rsidR="00E81858" w:rsidRDefault="00E81858" w:rsidP="000A353A">
      <w:pPr>
        <w:autoSpaceDE w:val="0"/>
        <w:autoSpaceDN w:val="0"/>
        <w:adjustRightInd w:val="0"/>
        <w:rPr>
          <w:rFonts w:ascii="Calibri" w:hAnsi="Calibri" w:cs="Calibri"/>
          <w:color w:val="000000"/>
        </w:rPr>
      </w:pPr>
    </w:p>
    <w:p w14:paraId="15565A65" w14:textId="77777777" w:rsidR="002F34C3" w:rsidRPr="000A353A" w:rsidRDefault="002F34C3" w:rsidP="000A353A">
      <w:pPr>
        <w:autoSpaceDE w:val="0"/>
        <w:autoSpaceDN w:val="0"/>
        <w:adjustRightInd w:val="0"/>
        <w:rPr>
          <w:rFonts w:ascii="Calibri" w:hAnsi="Calibri" w:cs="Calibri"/>
          <w:color w:val="000000"/>
        </w:rPr>
      </w:pPr>
    </w:p>
    <w:p w14:paraId="7416C675" w14:textId="3EBA7447" w:rsidR="00E81858" w:rsidRPr="00FF54C9" w:rsidRDefault="00DA108B" w:rsidP="00FB7CC4">
      <w:pPr>
        <w:pStyle w:val="Heading3"/>
        <w:rPr>
          <w:color w:val="C00000"/>
          <w:sz w:val="24"/>
        </w:rPr>
      </w:pPr>
      <w:r w:rsidRPr="00FF54C9">
        <w:rPr>
          <w:color w:val="C00000"/>
          <w:sz w:val="24"/>
        </w:rPr>
        <w:t xml:space="preserve">2.2 </w:t>
      </w:r>
      <w:r w:rsidR="00E81858" w:rsidRPr="00FF54C9">
        <w:rPr>
          <w:color w:val="C00000"/>
          <w:sz w:val="24"/>
        </w:rPr>
        <w:t xml:space="preserve">Reduce the financial impact of kidney disease on </w:t>
      </w:r>
      <w:proofErr w:type="gramStart"/>
      <w:r w:rsidR="00E81858" w:rsidRPr="00FF54C9">
        <w:rPr>
          <w:color w:val="C00000"/>
          <w:sz w:val="24"/>
        </w:rPr>
        <w:t>patients</w:t>
      </w:r>
      <w:proofErr w:type="gramEnd"/>
      <w:r w:rsidR="00E81858" w:rsidRPr="00FF54C9">
        <w:rPr>
          <w:color w:val="C00000"/>
          <w:sz w:val="24"/>
        </w:rPr>
        <w:t xml:space="preserve"> carers and families</w:t>
      </w:r>
      <w:r w:rsidR="00512926" w:rsidRPr="00FF54C9">
        <w:rPr>
          <w:color w:val="C00000"/>
          <w:sz w:val="24"/>
        </w:rPr>
        <w:t xml:space="preserve"> and the health system</w:t>
      </w:r>
    </w:p>
    <w:p w14:paraId="1C635650" w14:textId="77777777" w:rsidR="00F733A4" w:rsidRDefault="00F733A4" w:rsidP="002C7915">
      <w:pPr>
        <w:pStyle w:val="KidneyBodyBold"/>
      </w:pPr>
    </w:p>
    <w:p w14:paraId="56D6A0CD" w14:textId="39E933A0" w:rsidR="00E81858" w:rsidRDefault="00E81858" w:rsidP="002C7915">
      <w:pPr>
        <w:pStyle w:val="KidneyBodyBold"/>
      </w:pPr>
      <w:r>
        <w:t>The financial impact of kidney disease</w:t>
      </w:r>
    </w:p>
    <w:p w14:paraId="37F8CE5D" w14:textId="001F9ADF" w:rsidR="00E81858" w:rsidRDefault="00E81858" w:rsidP="002C7915">
      <w:pPr>
        <w:rPr>
          <w:rFonts w:ascii="AdvOT7bedbc7e" w:hAnsi="AdvOT7bedbc7e"/>
        </w:rPr>
      </w:pPr>
      <w:r>
        <w:t xml:space="preserve">CKD takes a significant toll on the lives of patients and their families. </w:t>
      </w:r>
      <w:r w:rsidRPr="00641405">
        <w:t>Advanced kidney disease is associated with increased odds of falling into relative poverty, beyond social determinants</w:t>
      </w:r>
      <w:r>
        <w:rPr>
          <w:rFonts w:ascii="AdvOT7bedbc7e" w:hAnsi="AdvOT7bedbc7e"/>
        </w:rPr>
        <w:t>.</w:t>
      </w:r>
      <w:r w:rsidRPr="002C7915">
        <w:rPr>
          <w:rStyle w:val="EndnoteReference"/>
        </w:rPr>
        <w:endnoteReference w:id="123"/>
      </w:r>
    </w:p>
    <w:p w14:paraId="7353C75C" w14:textId="77777777" w:rsidR="007A563F" w:rsidRDefault="007A563F" w:rsidP="002C7915"/>
    <w:p w14:paraId="73F2DE2A" w14:textId="72D8697D" w:rsidR="002C7915" w:rsidRDefault="00E81858" w:rsidP="002C7915">
      <w:r w:rsidRPr="00641405">
        <w:t>An Australia</w:t>
      </w:r>
      <w:r w:rsidR="00C73444">
        <w:t>n</w:t>
      </w:r>
      <w:r w:rsidRPr="00641405">
        <w:t xml:space="preserve"> study of CKD patients found over </w:t>
      </w:r>
      <w:r w:rsidR="00BA086B">
        <w:t>70%</w:t>
      </w:r>
      <w:r w:rsidRPr="00641405">
        <w:t xml:space="preserve"> of participants faced out of pocket cost exceeding 10</w:t>
      </w:r>
      <w:r w:rsidR="00BA086B">
        <w:t>%</w:t>
      </w:r>
      <w:r w:rsidRPr="00641405">
        <w:t xml:space="preserve"> of their household costs, with over half reporting economic hardship as a result. </w:t>
      </w:r>
    </w:p>
    <w:p w14:paraId="45B6E630" w14:textId="77777777" w:rsidR="002C7915" w:rsidRDefault="002C7915" w:rsidP="002E0497">
      <w:pPr>
        <w:pStyle w:val="CommentText"/>
        <w:contextualSpacing/>
        <w:rPr>
          <w:sz w:val="22"/>
          <w:szCs w:val="22"/>
        </w:rPr>
      </w:pPr>
    </w:p>
    <w:p w14:paraId="66FD6220" w14:textId="70140470" w:rsidR="002C7915" w:rsidRDefault="00E81858" w:rsidP="00B019B2">
      <w:pPr>
        <w:rPr>
          <w:lang w:val="en-US"/>
        </w:rPr>
      </w:pPr>
      <w:r w:rsidRPr="00641405">
        <w:t xml:space="preserve">These costs were found to have </w:t>
      </w:r>
      <w:r w:rsidRPr="00641405">
        <w:rPr>
          <w:lang w:val="en-US"/>
        </w:rPr>
        <w:t>severe consequences for people with low financial resources, with</w:t>
      </w:r>
      <w:r w:rsidR="00C73444">
        <w:rPr>
          <w:lang w:val="en-US"/>
        </w:rPr>
        <w:t>:</w:t>
      </w:r>
    </w:p>
    <w:p w14:paraId="4AFB2BCE" w14:textId="77777777" w:rsidR="007A563F" w:rsidRPr="00B019B2" w:rsidRDefault="007A563F" w:rsidP="00B019B2">
      <w:pPr>
        <w:rPr>
          <w:lang w:val="en-US"/>
        </w:rPr>
      </w:pPr>
    </w:p>
    <w:p w14:paraId="725421D7" w14:textId="77777777" w:rsidR="00E81858" w:rsidRPr="002205AC" w:rsidRDefault="00E81858" w:rsidP="002C7915">
      <w:pPr>
        <w:pStyle w:val="ListBullet"/>
        <w:rPr>
          <w:lang w:val="en-US"/>
        </w:rPr>
      </w:pPr>
      <w:r w:rsidRPr="002205AC">
        <w:rPr>
          <w:lang w:val="en-US"/>
        </w:rPr>
        <w:t>13% of participants going without meals</w:t>
      </w:r>
    </w:p>
    <w:p w14:paraId="20A32F04" w14:textId="77777777" w:rsidR="00E81858" w:rsidRPr="002C7915" w:rsidRDefault="00E81858" w:rsidP="002C7915">
      <w:pPr>
        <w:pStyle w:val="ListBullet"/>
      </w:pPr>
      <w:r w:rsidRPr="002205AC">
        <w:rPr>
          <w:lang w:val="en-US"/>
        </w:rPr>
        <w:t xml:space="preserve">11% unable to </w:t>
      </w:r>
      <w:r w:rsidRPr="002C7915">
        <w:t>heat their homes</w:t>
      </w:r>
    </w:p>
    <w:p w14:paraId="2F4F7450" w14:textId="5316C590" w:rsidR="00E81858" w:rsidRPr="002C7915" w:rsidRDefault="00E81858" w:rsidP="002C7915">
      <w:pPr>
        <w:pStyle w:val="ListBullet"/>
      </w:pPr>
      <w:r w:rsidRPr="002C7915">
        <w:t>12% increasing the amount owing on their credit cards by greater than $1000</w:t>
      </w:r>
    </w:p>
    <w:p w14:paraId="162DDBF6" w14:textId="25C1E936" w:rsidR="00E81858" w:rsidRPr="002205AC" w:rsidRDefault="00E81858" w:rsidP="002C7915">
      <w:pPr>
        <w:pStyle w:val="ListBullet"/>
        <w:rPr>
          <w:lang w:val="en-US"/>
        </w:rPr>
      </w:pPr>
      <w:r w:rsidRPr="002C7915">
        <w:t>19% missing medical appointments</w:t>
      </w:r>
      <w:r w:rsidRPr="002205AC">
        <w:rPr>
          <w:lang w:val="en-US"/>
        </w:rPr>
        <w:t xml:space="preserve"> or failing to fill prescriptions because they were short of money</w:t>
      </w:r>
      <w:r w:rsidR="00123E29">
        <w:rPr>
          <w:lang w:val="en-US"/>
        </w:rPr>
        <w:t>.</w:t>
      </w:r>
      <w:r>
        <w:rPr>
          <w:rStyle w:val="EndnoteReference"/>
          <w:rFonts w:cstheme="minorHAnsi"/>
          <w:bCs/>
          <w:lang w:val="en-US"/>
        </w:rPr>
        <w:endnoteReference w:id="124"/>
      </w:r>
    </w:p>
    <w:p w14:paraId="11316DEA" w14:textId="77777777" w:rsidR="002C7915" w:rsidRDefault="002C7915" w:rsidP="002C7915">
      <w:pPr>
        <w:rPr>
          <w:lang w:val="en-US"/>
        </w:rPr>
      </w:pPr>
    </w:p>
    <w:p w14:paraId="5C7440B0" w14:textId="777D40E8" w:rsidR="007A563F" w:rsidRDefault="00E81858" w:rsidP="002C7915">
      <w:pPr>
        <w:rPr>
          <w:lang w:val="en-US"/>
        </w:rPr>
      </w:pPr>
      <w:r>
        <w:rPr>
          <w:lang w:val="en-US"/>
        </w:rPr>
        <w:t>The financial impact of kidney disease relate to</w:t>
      </w:r>
      <w:r w:rsidR="00C73444">
        <w:rPr>
          <w:lang w:val="en-US"/>
        </w:rPr>
        <w:t>:</w:t>
      </w:r>
    </w:p>
    <w:p w14:paraId="1B3004C9" w14:textId="77777777" w:rsidR="007A563F" w:rsidRPr="002C7915" w:rsidRDefault="007A563F" w:rsidP="002C7915">
      <w:pPr>
        <w:rPr>
          <w:lang w:val="en-US"/>
        </w:rPr>
      </w:pPr>
    </w:p>
    <w:p w14:paraId="58C01746" w14:textId="64B62FB8" w:rsidR="00E81858" w:rsidRDefault="00E81858" w:rsidP="002C7915">
      <w:pPr>
        <w:pStyle w:val="ListBullet"/>
        <w:rPr>
          <w:lang w:val="en-US"/>
        </w:rPr>
      </w:pPr>
      <w:r>
        <w:rPr>
          <w:lang w:val="en-US"/>
        </w:rPr>
        <w:t>treatment and medication associated costs</w:t>
      </w:r>
    </w:p>
    <w:p w14:paraId="27A56B1E" w14:textId="6270272A" w:rsidR="00E81858" w:rsidRDefault="00E81858" w:rsidP="002C7915">
      <w:pPr>
        <w:pStyle w:val="ListBullet"/>
        <w:rPr>
          <w:lang w:val="en-US"/>
        </w:rPr>
      </w:pPr>
      <w:r>
        <w:rPr>
          <w:lang w:val="en-US"/>
        </w:rPr>
        <w:t>transport for treatment and specialist appointment costs</w:t>
      </w:r>
    </w:p>
    <w:p w14:paraId="0A883CCE" w14:textId="6B2B3ECF" w:rsidR="00E81858" w:rsidRDefault="00E81858" w:rsidP="002C7915">
      <w:pPr>
        <w:pStyle w:val="ListBullet"/>
        <w:rPr>
          <w:lang w:val="en-US"/>
        </w:rPr>
      </w:pPr>
      <w:r>
        <w:rPr>
          <w:lang w:val="en-US"/>
        </w:rPr>
        <w:t>impact of the disease on capacity to work</w:t>
      </w:r>
    </w:p>
    <w:p w14:paraId="100B162C" w14:textId="23E5C475" w:rsidR="00E81858" w:rsidRDefault="00E81858" w:rsidP="002C7915">
      <w:pPr>
        <w:pStyle w:val="ListBullet"/>
        <w:rPr>
          <w:lang w:val="en-US"/>
        </w:rPr>
      </w:pPr>
      <w:r>
        <w:rPr>
          <w:lang w:val="en-US"/>
        </w:rPr>
        <w:t>the need for ongoing care from a family member, further impacting on family income</w:t>
      </w:r>
      <w:r w:rsidR="00C73444">
        <w:rPr>
          <w:lang w:val="en-US"/>
        </w:rPr>
        <w:t>.</w:t>
      </w:r>
    </w:p>
    <w:p w14:paraId="7F5F365E" w14:textId="756376AC" w:rsidR="00E81858" w:rsidRPr="002C7915" w:rsidRDefault="003A0C35" w:rsidP="00C02293">
      <w:pPr>
        <w:pStyle w:val="ListBullet"/>
        <w:rPr>
          <w:lang w:val="en-US"/>
        </w:rPr>
      </w:pPr>
      <w:r>
        <w:rPr>
          <w:lang w:val="en-US"/>
        </w:rPr>
        <w:t>Difficulty accessing carers support payments</w:t>
      </w:r>
      <w:r w:rsidR="00BE505F">
        <w:rPr>
          <w:lang w:val="en-US"/>
        </w:rPr>
        <w:t>.</w:t>
      </w:r>
    </w:p>
    <w:p w14:paraId="5DDF39C9" w14:textId="77777777" w:rsidR="002C7915" w:rsidRDefault="002C7915" w:rsidP="002C7915">
      <w:pPr>
        <w:pStyle w:val="KidneyBodyBold"/>
      </w:pPr>
    </w:p>
    <w:p w14:paraId="750AC175" w14:textId="03CCAB96" w:rsidR="00E81858" w:rsidRPr="00D919A9" w:rsidRDefault="00E81858" w:rsidP="002C7915">
      <w:pPr>
        <w:pStyle w:val="KidneyBodyBold"/>
      </w:pPr>
      <w:r w:rsidRPr="00D919A9">
        <w:t>Costs of home dialysis and the role of carers</w:t>
      </w:r>
    </w:p>
    <w:p w14:paraId="264447B3" w14:textId="2476B35C" w:rsidR="001B35B1" w:rsidRPr="001B35B1" w:rsidRDefault="00E81858" w:rsidP="002C7915">
      <w:pPr>
        <w:pStyle w:val="ListBullet"/>
      </w:pPr>
      <w:r w:rsidRPr="001B35B1">
        <w:t>Currently</w:t>
      </w:r>
      <w:r w:rsidRPr="001B35B1">
        <w:rPr>
          <w:b/>
        </w:rPr>
        <w:t xml:space="preserve"> </w:t>
      </w:r>
      <w:r w:rsidR="00BA086B">
        <w:t>30%</w:t>
      </w:r>
      <w:r w:rsidRPr="001B35B1">
        <w:t xml:space="preserve"> of total dialysis patients dialyse at home. </w:t>
      </w:r>
    </w:p>
    <w:p w14:paraId="7BE82D4F" w14:textId="77777777" w:rsidR="001B35B1" w:rsidRPr="001B35B1" w:rsidRDefault="00E81858" w:rsidP="002C7915">
      <w:pPr>
        <w:pStyle w:val="ListBullet"/>
      </w:pPr>
      <w:r w:rsidRPr="001B35B1">
        <w:t>Home dialysis is a considerable cost saving to government – annually up to $30,000 per patient.</w:t>
      </w:r>
      <w:r w:rsidRPr="001B35B1">
        <w:rPr>
          <w:rStyle w:val="EndnoteReference"/>
          <w:rFonts w:cstheme="minorHAnsi"/>
          <w:sz w:val="22"/>
          <w:szCs w:val="22"/>
        </w:rPr>
        <w:endnoteReference w:id="125"/>
      </w:r>
    </w:p>
    <w:p w14:paraId="67E693FB" w14:textId="77777777" w:rsidR="001B35B1" w:rsidRPr="001B35B1" w:rsidRDefault="00E81858" w:rsidP="002C7915">
      <w:pPr>
        <w:pStyle w:val="ListBullet"/>
      </w:pPr>
      <w:r w:rsidRPr="001B35B1">
        <w:t xml:space="preserve">Greater uptake of home dialysis has the potential to reduce strain on renal unit resource and the costs of dialysis treatment to the healthcare system.  </w:t>
      </w:r>
    </w:p>
    <w:p w14:paraId="79B0CEE7" w14:textId="77777777" w:rsidR="001B35B1" w:rsidRPr="001B35B1" w:rsidRDefault="00E81858" w:rsidP="002C7915">
      <w:pPr>
        <w:pStyle w:val="ListBullet"/>
      </w:pPr>
      <w:r w:rsidRPr="001B35B1">
        <w:rPr>
          <w:rFonts w:ascii="Calibri" w:hAnsi="Calibri" w:cs="Calibri"/>
          <w:color w:val="000000"/>
        </w:rPr>
        <w:t xml:space="preserve">Many patients undertaking home dialysis are able to return to or continue in the workforce, where previously this was not possible as the ability to undertake dialysis outside work hours was restricted. </w:t>
      </w:r>
    </w:p>
    <w:p w14:paraId="1D05732C" w14:textId="0A3ABE5C" w:rsidR="001B35B1" w:rsidRDefault="001B35B1" w:rsidP="002C7915">
      <w:pPr>
        <w:pStyle w:val="ListBullet"/>
        <w:rPr>
          <w:rFonts w:ascii="Calibri" w:hAnsi="Calibri" w:cs="Calibri"/>
          <w:color w:val="000000"/>
        </w:rPr>
      </w:pPr>
      <w:r w:rsidRPr="001B35B1">
        <w:rPr>
          <w:rFonts w:ascii="Calibri" w:hAnsi="Calibri" w:cs="Calibri"/>
          <w:color w:val="000000"/>
        </w:rPr>
        <w:lastRenderedPageBreak/>
        <w:t>Other savings include decreasing need for travel and accommodation assistance</w:t>
      </w:r>
      <w:r w:rsidR="00BE505F">
        <w:rPr>
          <w:rFonts w:ascii="Calibri" w:hAnsi="Calibri" w:cs="Calibri"/>
          <w:color w:val="000000"/>
        </w:rPr>
        <w:t>.</w:t>
      </w:r>
      <w:r w:rsidRPr="001B35B1">
        <w:rPr>
          <w:rFonts w:ascii="Calibri" w:hAnsi="Calibri" w:cs="Calibri"/>
          <w:color w:val="000000"/>
        </w:rPr>
        <w:t xml:space="preserve"> </w:t>
      </w:r>
    </w:p>
    <w:p w14:paraId="245A5187" w14:textId="3E07CCCB" w:rsidR="00E81858" w:rsidRPr="001B35B1" w:rsidRDefault="00E81858" w:rsidP="002C7915">
      <w:pPr>
        <w:pStyle w:val="ListBullet"/>
        <w:rPr>
          <w:rFonts w:ascii="Calibri" w:hAnsi="Calibri" w:cs="Calibri"/>
          <w:color w:val="000000"/>
        </w:rPr>
      </w:pPr>
      <w:r w:rsidRPr="001B35B1">
        <w:rPr>
          <w:rFonts w:ascii="Calibri" w:hAnsi="Calibri" w:cs="Calibri"/>
          <w:color w:val="000000"/>
        </w:rPr>
        <w:t>An estimated $378 to $430 million could be saved over the next 10 years if the increased use of home dialysis was achieved.</w:t>
      </w:r>
      <w:r w:rsidRPr="001B35B1">
        <w:rPr>
          <w:rStyle w:val="EndnoteReference"/>
          <w:rFonts w:ascii="Calibri" w:hAnsi="Calibri" w:cs="Calibri"/>
          <w:color w:val="000000"/>
          <w:sz w:val="22"/>
          <w:szCs w:val="22"/>
        </w:rPr>
        <w:endnoteReference w:id="126"/>
      </w:r>
    </w:p>
    <w:p w14:paraId="5853AB3F" w14:textId="77777777" w:rsidR="002C7915" w:rsidRDefault="002C7915" w:rsidP="00281262">
      <w:pPr>
        <w:autoSpaceDE w:val="0"/>
        <w:autoSpaceDN w:val="0"/>
        <w:adjustRightInd w:val="0"/>
        <w:rPr>
          <w:rFonts w:ascii="Calibri" w:hAnsi="Calibri" w:cs="Calibri"/>
          <w:color w:val="000000"/>
        </w:rPr>
      </w:pPr>
    </w:p>
    <w:p w14:paraId="3E75FEDE" w14:textId="7D9500FB" w:rsidR="00E81858" w:rsidRDefault="001B35B1" w:rsidP="00281262">
      <w:pPr>
        <w:autoSpaceDE w:val="0"/>
        <w:autoSpaceDN w:val="0"/>
        <w:adjustRightInd w:val="0"/>
        <w:rPr>
          <w:rFonts w:ascii="Calibri" w:hAnsi="Calibri" w:cs="Calibri"/>
          <w:color w:val="000000"/>
        </w:rPr>
      </w:pPr>
      <w:r>
        <w:rPr>
          <w:rFonts w:ascii="Calibri" w:hAnsi="Calibri" w:cs="Calibri"/>
          <w:color w:val="000000"/>
        </w:rPr>
        <w:t>D</w:t>
      </w:r>
      <w:r w:rsidR="00E81858" w:rsidRPr="00E12840">
        <w:rPr>
          <w:rFonts w:ascii="Calibri" w:hAnsi="Calibri" w:cs="Calibri"/>
          <w:color w:val="000000"/>
        </w:rPr>
        <w:t xml:space="preserve">espite this, the capital set-up costs for home dialysis machines and the associated water and electrical costs are only partially reimbursed or discounted, in varying degrees, through differing means across </w:t>
      </w:r>
      <w:r w:rsidR="00C73444">
        <w:rPr>
          <w:rFonts w:ascii="Calibri" w:hAnsi="Calibri" w:cs="Calibri"/>
          <w:color w:val="000000"/>
        </w:rPr>
        <w:t>s</w:t>
      </w:r>
      <w:r w:rsidR="00E81858" w:rsidRPr="00E12840">
        <w:rPr>
          <w:rFonts w:ascii="Calibri" w:hAnsi="Calibri" w:cs="Calibri"/>
          <w:color w:val="000000"/>
        </w:rPr>
        <w:t xml:space="preserve">tates and </w:t>
      </w:r>
      <w:r w:rsidR="00C73444">
        <w:rPr>
          <w:rFonts w:ascii="Calibri" w:hAnsi="Calibri" w:cs="Calibri"/>
          <w:color w:val="000000"/>
        </w:rPr>
        <w:t>t</w:t>
      </w:r>
      <w:r w:rsidR="00E81858" w:rsidRPr="00E12840">
        <w:rPr>
          <w:rFonts w:ascii="Calibri" w:hAnsi="Calibri" w:cs="Calibri"/>
          <w:color w:val="000000"/>
        </w:rPr>
        <w:t xml:space="preserve">erritories. </w:t>
      </w:r>
    </w:p>
    <w:p w14:paraId="7D595740" w14:textId="77777777" w:rsidR="00E81858" w:rsidRDefault="00E81858" w:rsidP="00281262">
      <w:pPr>
        <w:autoSpaceDE w:val="0"/>
        <w:autoSpaceDN w:val="0"/>
        <w:adjustRightInd w:val="0"/>
        <w:rPr>
          <w:rFonts w:ascii="Calibri" w:hAnsi="Calibri" w:cs="Calibri"/>
          <w:color w:val="000000"/>
        </w:rPr>
      </w:pPr>
    </w:p>
    <w:p w14:paraId="4E44B1C7" w14:textId="46807621" w:rsidR="00E81858" w:rsidRDefault="00E81858" w:rsidP="00281262">
      <w:pPr>
        <w:autoSpaceDE w:val="0"/>
        <w:autoSpaceDN w:val="0"/>
        <w:adjustRightInd w:val="0"/>
        <w:rPr>
          <w:rFonts w:cstheme="minorHAnsi"/>
        </w:rPr>
      </w:pPr>
      <w:r>
        <w:rPr>
          <w:rFonts w:cstheme="minorHAnsi"/>
        </w:rPr>
        <w:t>In addition u</w:t>
      </w:r>
      <w:r w:rsidR="001B35B1">
        <w:rPr>
          <w:rFonts w:cstheme="minorHAnsi"/>
        </w:rPr>
        <w:t xml:space="preserve">ptake of home dialysis </w:t>
      </w:r>
      <w:r w:rsidRPr="007F6ACD">
        <w:rPr>
          <w:rFonts w:cstheme="minorHAnsi"/>
        </w:rPr>
        <w:t xml:space="preserve">frequently depends on carer management </w:t>
      </w:r>
      <w:r>
        <w:rPr>
          <w:rFonts w:cstheme="minorHAnsi"/>
        </w:rPr>
        <w:t xml:space="preserve">especially if the patient is a </w:t>
      </w:r>
      <w:r w:rsidRPr="007F6ACD">
        <w:rPr>
          <w:rFonts w:cstheme="minorHAnsi"/>
        </w:rPr>
        <w:t xml:space="preserve">child, has limited mobility, dexterity or movement, or has failing memory. </w:t>
      </w:r>
      <w:r>
        <w:rPr>
          <w:rFonts w:cstheme="minorHAnsi"/>
        </w:rPr>
        <w:t>C</w:t>
      </w:r>
      <w:r w:rsidRPr="007F6ACD">
        <w:rPr>
          <w:rFonts w:cstheme="minorHAnsi"/>
        </w:rPr>
        <w:t>arer contribution varies from completely performing the dialysis, to being present during dialysis to assist during clinical emergencies</w:t>
      </w:r>
      <w:r>
        <w:rPr>
          <w:rFonts w:cstheme="minorHAnsi"/>
        </w:rPr>
        <w:t xml:space="preserve"> (which </w:t>
      </w:r>
      <w:r w:rsidRPr="007F6ACD">
        <w:rPr>
          <w:rFonts w:cstheme="minorHAnsi"/>
        </w:rPr>
        <w:t>can be potentially life-threatening</w:t>
      </w:r>
      <w:r>
        <w:rPr>
          <w:rFonts w:cstheme="minorHAnsi"/>
        </w:rPr>
        <w:t>)</w:t>
      </w:r>
      <w:r w:rsidRPr="007F6ACD">
        <w:rPr>
          <w:rFonts w:cstheme="minorHAnsi"/>
        </w:rPr>
        <w:t>. During dialysis the person undergoin</w:t>
      </w:r>
      <w:r>
        <w:rPr>
          <w:rFonts w:cstheme="minorHAnsi"/>
        </w:rPr>
        <w:t xml:space="preserve">g treatment is </w:t>
      </w:r>
      <w:r w:rsidRPr="007F6ACD">
        <w:rPr>
          <w:rFonts w:cstheme="minorHAnsi"/>
        </w:rPr>
        <w:t xml:space="preserve">completely dependent on their </w:t>
      </w:r>
      <w:r w:rsidR="001B35B1">
        <w:rPr>
          <w:rFonts w:cstheme="minorHAnsi"/>
        </w:rPr>
        <w:t>c</w:t>
      </w:r>
      <w:r w:rsidRPr="007F6ACD">
        <w:rPr>
          <w:rFonts w:cstheme="minorHAnsi"/>
        </w:rPr>
        <w:t>arer for</w:t>
      </w:r>
      <w:r>
        <w:rPr>
          <w:rFonts w:cstheme="minorHAnsi"/>
        </w:rPr>
        <w:t xml:space="preserve"> all support related to provisio</w:t>
      </w:r>
      <w:r w:rsidRPr="007F6ACD">
        <w:rPr>
          <w:rFonts w:cstheme="minorHAnsi"/>
        </w:rPr>
        <w:t xml:space="preserve">n of daily living. The average time spent for this role </w:t>
      </w:r>
      <w:r>
        <w:rPr>
          <w:rFonts w:cstheme="minorHAnsi"/>
        </w:rPr>
        <w:t xml:space="preserve">alone, </w:t>
      </w:r>
      <w:r w:rsidRPr="007F6ACD">
        <w:rPr>
          <w:rFonts w:cstheme="minorHAnsi"/>
        </w:rPr>
        <w:t>is around 20 hours a week, which compromises th</w:t>
      </w:r>
      <w:r>
        <w:rPr>
          <w:rFonts w:cstheme="minorHAnsi"/>
        </w:rPr>
        <w:t>e ability of the carer to work.</w:t>
      </w:r>
    </w:p>
    <w:p w14:paraId="4940AAA7" w14:textId="50DF9A44" w:rsidR="001C3A42" w:rsidRDefault="001C3A42" w:rsidP="00281262">
      <w:pPr>
        <w:autoSpaceDE w:val="0"/>
        <w:autoSpaceDN w:val="0"/>
        <w:adjustRightInd w:val="0"/>
        <w:rPr>
          <w:rFonts w:cstheme="minorHAnsi"/>
        </w:rPr>
      </w:pPr>
    </w:p>
    <w:p w14:paraId="2D2DF520" w14:textId="3ED4ABF2" w:rsidR="001C3A42" w:rsidRDefault="001C3A42" w:rsidP="00A3671E">
      <w:pPr>
        <w:pStyle w:val="KidneyBodyBold"/>
      </w:pPr>
      <w:r w:rsidRPr="001C3A42">
        <w:t>Estimated cost of expanding finance support to patients and carers</w:t>
      </w:r>
    </w:p>
    <w:p w14:paraId="242BA17B" w14:textId="1C345A47" w:rsidR="001C3A42" w:rsidRDefault="001C3A42" w:rsidP="001C3A42">
      <w:pPr>
        <w:autoSpaceDE w:val="0"/>
        <w:autoSpaceDN w:val="0"/>
        <w:adjustRightInd w:val="0"/>
        <w:rPr>
          <w:rFonts w:cstheme="minorHAnsi"/>
        </w:rPr>
      </w:pPr>
      <w:r w:rsidRPr="001C3A42">
        <w:rPr>
          <w:rFonts w:cstheme="minorHAnsi"/>
        </w:rPr>
        <w:t xml:space="preserve">Deloitte Access Economics was engaged by Kidney Health Australia to provide indicative costings for two of the proposed actions in the Action Plan: </w:t>
      </w:r>
    </w:p>
    <w:p w14:paraId="1F7825AB" w14:textId="77777777" w:rsidR="007A563F" w:rsidRPr="00B019B2" w:rsidRDefault="007A563F" w:rsidP="001C3A42">
      <w:pPr>
        <w:autoSpaceDE w:val="0"/>
        <w:autoSpaceDN w:val="0"/>
        <w:adjustRightInd w:val="0"/>
        <w:rPr>
          <w:rFonts w:cstheme="minorHAnsi"/>
        </w:rPr>
      </w:pPr>
    </w:p>
    <w:p w14:paraId="11DE25A6" w14:textId="661603C2" w:rsidR="001C3A42" w:rsidRPr="00A3671E" w:rsidRDefault="001C3A42" w:rsidP="00A3671E">
      <w:pPr>
        <w:pStyle w:val="ListBullet"/>
      </w:pPr>
      <w:r w:rsidRPr="00A3671E">
        <w:rPr>
          <w:b/>
          <w:bCs/>
        </w:rPr>
        <w:t>Action 2.2.3</w:t>
      </w:r>
      <w:r w:rsidRPr="00A3671E">
        <w:t xml:space="preserve"> Increase access to the Commonwealth funded Carer Allowance for carers of patients with ESKD</w:t>
      </w:r>
    </w:p>
    <w:p w14:paraId="4BEB52EB" w14:textId="098D5D8F" w:rsidR="001C3A42" w:rsidRPr="00A3671E" w:rsidRDefault="001C3A42" w:rsidP="00A3671E">
      <w:pPr>
        <w:pStyle w:val="ListBullet"/>
      </w:pPr>
      <w:r w:rsidRPr="00A3671E">
        <w:rPr>
          <w:b/>
          <w:bCs/>
        </w:rPr>
        <w:t>Action 2.2.4</w:t>
      </w:r>
      <w:r w:rsidRPr="00A3671E">
        <w:t xml:space="preserve"> Increase access to government support for people with ESKD </w:t>
      </w:r>
    </w:p>
    <w:p w14:paraId="66B00870" w14:textId="77777777" w:rsidR="001C3A42" w:rsidRDefault="001C3A42" w:rsidP="001C3A42">
      <w:pPr>
        <w:autoSpaceDE w:val="0"/>
        <w:autoSpaceDN w:val="0"/>
        <w:adjustRightInd w:val="0"/>
        <w:rPr>
          <w:rFonts w:ascii="Calibri" w:hAnsi="Calibri" w:cs="Calibri"/>
          <w:color w:val="000000"/>
        </w:rPr>
      </w:pPr>
    </w:p>
    <w:p w14:paraId="21111C1F" w14:textId="77777777" w:rsidR="001C3A42" w:rsidRDefault="001C3A42" w:rsidP="001C3A42">
      <w:pPr>
        <w:autoSpaceDE w:val="0"/>
        <w:autoSpaceDN w:val="0"/>
        <w:adjustRightInd w:val="0"/>
        <w:rPr>
          <w:rFonts w:ascii="Calibri" w:hAnsi="Calibri" w:cs="Calibri"/>
          <w:color w:val="000000"/>
        </w:rPr>
      </w:pPr>
      <w:r w:rsidRPr="001C3A42">
        <w:rPr>
          <w:rFonts w:ascii="Calibri" w:hAnsi="Calibri" w:cs="Calibri"/>
          <w:color w:val="000000"/>
        </w:rPr>
        <w:t>Note that conservative eligibility assumptions have been made to estimate an ‘upper bound’ cost of the</w:t>
      </w:r>
      <w:r>
        <w:rPr>
          <w:rFonts w:ascii="Calibri" w:hAnsi="Calibri" w:cs="Calibri"/>
          <w:color w:val="000000"/>
        </w:rPr>
        <w:t xml:space="preserve"> </w:t>
      </w:r>
      <w:r w:rsidRPr="001C3A42">
        <w:rPr>
          <w:rFonts w:ascii="Calibri" w:hAnsi="Calibri" w:cs="Calibri"/>
          <w:color w:val="000000"/>
        </w:rPr>
        <w:t>actions. In addition, it is assumed that the entire eligible population would receive the payments, which is</w:t>
      </w:r>
      <w:r>
        <w:rPr>
          <w:rFonts w:ascii="Calibri" w:hAnsi="Calibri" w:cs="Calibri"/>
          <w:color w:val="000000"/>
        </w:rPr>
        <w:t xml:space="preserve"> </w:t>
      </w:r>
      <w:r w:rsidRPr="001C3A42">
        <w:rPr>
          <w:rFonts w:ascii="Calibri" w:hAnsi="Calibri" w:cs="Calibri"/>
          <w:color w:val="000000"/>
        </w:rPr>
        <w:t>unlikely in practice.</w:t>
      </w:r>
    </w:p>
    <w:p w14:paraId="01CBDF60" w14:textId="77777777" w:rsidR="001C3A42" w:rsidRDefault="001C3A42" w:rsidP="001C3A42">
      <w:pPr>
        <w:autoSpaceDE w:val="0"/>
        <w:autoSpaceDN w:val="0"/>
        <w:adjustRightInd w:val="0"/>
        <w:rPr>
          <w:rFonts w:ascii="Calibri" w:hAnsi="Calibri" w:cs="Calibri"/>
          <w:color w:val="000000"/>
        </w:rPr>
      </w:pPr>
    </w:p>
    <w:p w14:paraId="603B0109" w14:textId="112D8F91" w:rsidR="002E4DE3" w:rsidRDefault="001C3A42" w:rsidP="001C3A42">
      <w:pPr>
        <w:autoSpaceDE w:val="0"/>
        <w:autoSpaceDN w:val="0"/>
        <w:adjustRightInd w:val="0"/>
        <w:rPr>
          <w:rFonts w:ascii="Calibri" w:hAnsi="Calibri" w:cs="Calibri"/>
          <w:color w:val="000000"/>
        </w:rPr>
      </w:pPr>
      <w:r w:rsidRPr="001C3A42">
        <w:rPr>
          <w:rFonts w:ascii="Calibri" w:hAnsi="Calibri" w:cs="Calibri"/>
          <w:color w:val="000000"/>
        </w:rPr>
        <w:t>The estimated cost of expanding the Commonwealth-funded Carer Allowance for carers of ESKD patients</w:t>
      </w:r>
      <w:r>
        <w:rPr>
          <w:rFonts w:ascii="Calibri" w:hAnsi="Calibri" w:cs="Calibri"/>
          <w:color w:val="000000"/>
        </w:rPr>
        <w:t xml:space="preserve"> </w:t>
      </w:r>
      <w:r w:rsidRPr="001C3A42">
        <w:rPr>
          <w:rFonts w:ascii="Calibri" w:hAnsi="Calibri" w:cs="Calibri"/>
          <w:color w:val="000000"/>
        </w:rPr>
        <w:t>from 2019 to 2029 is $467.2 million</w:t>
      </w:r>
      <w:r>
        <w:rPr>
          <w:rFonts w:ascii="Calibri" w:hAnsi="Calibri" w:cs="Calibri"/>
          <w:color w:val="000000"/>
        </w:rPr>
        <w:t xml:space="preserve">. </w:t>
      </w:r>
      <w:r w:rsidRPr="001C3A42">
        <w:rPr>
          <w:rFonts w:ascii="Calibri" w:hAnsi="Calibri" w:cs="Calibri"/>
          <w:color w:val="000000"/>
        </w:rPr>
        <w:t>If the allowance</w:t>
      </w:r>
      <w:r>
        <w:rPr>
          <w:rFonts w:ascii="Calibri" w:hAnsi="Calibri" w:cs="Calibri"/>
          <w:color w:val="000000"/>
        </w:rPr>
        <w:t xml:space="preserve"> </w:t>
      </w:r>
      <w:r w:rsidR="0013601D" w:rsidRPr="001C3A42">
        <w:rPr>
          <w:rFonts w:ascii="Calibri" w:hAnsi="Calibri" w:cs="Calibri"/>
          <w:color w:val="000000"/>
        </w:rPr>
        <w:t>were</w:t>
      </w:r>
      <w:r w:rsidRPr="001C3A42">
        <w:rPr>
          <w:rFonts w:ascii="Calibri" w:hAnsi="Calibri" w:cs="Calibri"/>
          <w:color w:val="000000"/>
        </w:rPr>
        <w:t xml:space="preserve"> limited to eligible patients undergoing home haemodialysis the cost of the allowance from</w:t>
      </w:r>
      <w:r>
        <w:rPr>
          <w:rFonts w:ascii="Calibri" w:hAnsi="Calibri" w:cs="Calibri"/>
          <w:color w:val="000000"/>
        </w:rPr>
        <w:t xml:space="preserve"> </w:t>
      </w:r>
      <w:r w:rsidRPr="001C3A42">
        <w:rPr>
          <w:rFonts w:ascii="Calibri" w:hAnsi="Calibri" w:cs="Calibri"/>
          <w:color w:val="000000"/>
        </w:rPr>
        <w:t>2019 to 2029 would be $56.0 million (assuming that the growth rate of home dialysis remains constant</w:t>
      </w:r>
      <w:r>
        <w:rPr>
          <w:rFonts w:ascii="Calibri" w:hAnsi="Calibri" w:cs="Calibri"/>
          <w:color w:val="000000"/>
        </w:rPr>
        <w:t xml:space="preserve"> </w:t>
      </w:r>
      <w:r w:rsidRPr="001C3A42">
        <w:rPr>
          <w:rFonts w:ascii="Calibri" w:hAnsi="Calibri" w:cs="Calibri"/>
          <w:color w:val="000000"/>
        </w:rPr>
        <w:t xml:space="preserve">relative to other modalities). </w:t>
      </w:r>
    </w:p>
    <w:p w14:paraId="6A54B764" w14:textId="77777777" w:rsidR="002E4DE3" w:rsidRDefault="002E4DE3" w:rsidP="001C3A42">
      <w:pPr>
        <w:autoSpaceDE w:val="0"/>
        <w:autoSpaceDN w:val="0"/>
        <w:adjustRightInd w:val="0"/>
        <w:rPr>
          <w:rFonts w:ascii="Calibri" w:hAnsi="Calibri" w:cs="Calibri"/>
          <w:color w:val="000000"/>
        </w:rPr>
      </w:pPr>
    </w:p>
    <w:p w14:paraId="2DEBD50B" w14:textId="52A3A098" w:rsidR="001C3A42" w:rsidRPr="001C3A42" w:rsidRDefault="001C3A42" w:rsidP="001C3A42">
      <w:pPr>
        <w:autoSpaceDE w:val="0"/>
        <w:autoSpaceDN w:val="0"/>
        <w:adjustRightInd w:val="0"/>
        <w:rPr>
          <w:rFonts w:ascii="Calibri" w:hAnsi="Calibri" w:cs="Calibri"/>
          <w:color w:val="000000"/>
        </w:rPr>
      </w:pPr>
      <w:r w:rsidRPr="001C3A42">
        <w:rPr>
          <w:rFonts w:ascii="Calibri" w:hAnsi="Calibri" w:cs="Calibri"/>
          <w:color w:val="000000"/>
        </w:rPr>
        <w:t>The estimated cost of a medical allowance for ESKD patients from 2019 to 2029</w:t>
      </w:r>
      <w:r>
        <w:rPr>
          <w:rFonts w:ascii="Calibri" w:hAnsi="Calibri" w:cs="Calibri"/>
          <w:color w:val="000000"/>
        </w:rPr>
        <w:t xml:space="preserve"> </w:t>
      </w:r>
      <w:r w:rsidRPr="001C3A42">
        <w:rPr>
          <w:rFonts w:ascii="Calibri" w:hAnsi="Calibri" w:cs="Calibri"/>
          <w:color w:val="000000"/>
        </w:rPr>
        <w:t>is $355.4 million.</w:t>
      </w:r>
      <w:r>
        <w:rPr>
          <w:rFonts w:ascii="Calibri" w:hAnsi="Calibri" w:cs="Calibri"/>
          <w:color w:val="000000"/>
        </w:rPr>
        <w:t xml:space="preserve"> </w:t>
      </w:r>
      <w:r w:rsidRPr="001C3A42">
        <w:rPr>
          <w:rFonts w:ascii="Calibri" w:hAnsi="Calibri" w:cs="Calibri"/>
          <w:color w:val="000000"/>
        </w:rPr>
        <w:t>The estimated average annual cost of implementing actions (between the period of 2019 to 2029) would be</w:t>
      </w:r>
      <w:r>
        <w:rPr>
          <w:rFonts w:ascii="Calibri" w:hAnsi="Calibri" w:cs="Calibri"/>
          <w:color w:val="000000"/>
        </w:rPr>
        <w:t xml:space="preserve"> </w:t>
      </w:r>
      <w:r w:rsidRPr="001C3A42">
        <w:rPr>
          <w:rFonts w:ascii="Calibri" w:hAnsi="Calibri" w:cs="Calibri"/>
          <w:color w:val="000000"/>
        </w:rPr>
        <w:t>$104.6 million. The total cost of the actions from 2019 to 2029 in net present value terms is $822.7</w:t>
      </w:r>
      <w:r>
        <w:rPr>
          <w:rFonts w:ascii="Calibri" w:hAnsi="Calibri" w:cs="Calibri"/>
          <w:color w:val="000000"/>
        </w:rPr>
        <w:t xml:space="preserve"> </w:t>
      </w:r>
      <w:r w:rsidRPr="001C3A42">
        <w:rPr>
          <w:rFonts w:ascii="Calibri" w:hAnsi="Calibri" w:cs="Calibri"/>
          <w:color w:val="000000"/>
        </w:rPr>
        <w:t>million</w:t>
      </w:r>
      <w:r w:rsidR="00F87D07">
        <w:rPr>
          <w:rStyle w:val="EndnoteReference"/>
          <w:rFonts w:ascii="Calibri" w:hAnsi="Calibri" w:cs="Calibri"/>
          <w:color w:val="000000"/>
        </w:rPr>
        <w:endnoteReference w:id="127"/>
      </w:r>
      <w:r>
        <w:rPr>
          <w:rFonts w:ascii="Calibri" w:hAnsi="Calibri" w:cs="Calibri"/>
          <w:color w:val="000000"/>
        </w:rPr>
        <w:t xml:space="preserve">. </w:t>
      </w:r>
    </w:p>
    <w:p w14:paraId="31D3F05D" w14:textId="77777777" w:rsidR="00A3671E" w:rsidRDefault="00A3671E" w:rsidP="00A3671E">
      <w:pPr>
        <w:pStyle w:val="KidneyBodyBold"/>
      </w:pPr>
    </w:p>
    <w:p w14:paraId="3C650EA3" w14:textId="41854C7B" w:rsidR="00E81858" w:rsidRPr="00184B9D" w:rsidRDefault="00E81858" w:rsidP="00B019B2">
      <w:pPr>
        <w:pStyle w:val="KidneyBodyBold"/>
      </w:pPr>
      <w:r w:rsidRPr="00184B9D">
        <w:t xml:space="preserve">Transport </w:t>
      </w:r>
      <w:r w:rsidRPr="00B019B2">
        <w:t>costs</w:t>
      </w:r>
    </w:p>
    <w:p w14:paraId="225E48B3" w14:textId="77777777" w:rsidR="00E81858" w:rsidRDefault="00E81858" w:rsidP="00A3671E">
      <w:r>
        <w:t xml:space="preserve">Travel for care represents a significant ongoing cost for people living with ESKD. Unlike most other chronic illnesses, travel for in-hospital/renal unit dialysis requires frequent and ongoing travel – a minimum of three times weekly – to stay alive. </w:t>
      </w:r>
    </w:p>
    <w:p w14:paraId="369E508A" w14:textId="77777777" w:rsidR="00E81858" w:rsidRDefault="00E81858" w:rsidP="00A3671E"/>
    <w:p w14:paraId="48B41CD9" w14:textId="206AD2EB" w:rsidR="00A3671E" w:rsidRDefault="00E81858" w:rsidP="0066347E">
      <w:r>
        <w:t>Eligibility for and rates of travel assistance varies between the State and Territory administered Patient Transport Assisted Schemes</w:t>
      </w:r>
      <w:r w:rsidR="00E6775F">
        <w:t xml:space="preserve"> (PTAS)</w:t>
      </w:r>
      <w:r>
        <w:t xml:space="preserve">. For example, there is no national consistency in the distance thresholds or the per kilometre subsidies for those who travel by car. None of the schemes sufficiently reimburse patients for the true cost of their travel for care, exacerbating the financial burden of living with ESKD. </w:t>
      </w:r>
      <w:r w:rsidR="0013601D">
        <w:t>Those in regional and rural areas and the elderly disproportionately feel the impact of travel costs</w:t>
      </w:r>
      <w:r>
        <w:t>. Research by Kidney Health Australia found</w:t>
      </w:r>
      <w:r w:rsidR="00C73444">
        <w:t>:</w:t>
      </w:r>
      <w:r>
        <w:rPr>
          <w:rStyle w:val="EndnoteReference"/>
          <w:rFonts w:cstheme="minorHAnsi"/>
          <w:sz w:val="22"/>
        </w:rPr>
        <w:endnoteReference w:id="128"/>
      </w:r>
    </w:p>
    <w:p w14:paraId="3D2A3A2B" w14:textId="77777777" w:rsidR="0066347E" w:rsidRPr="0066347E" w:rsidRDefault="0066347E" w:rsidP="0066347E"/>
    <w:p w14:paraId="2AE97ED9" w14:textId="5F330130" w:rsidR="00E81858" w:rsidRPr="00301EAE" w:rsidRDefault="00E81858" w:rsidP="0066347E">
      <w:pPr>
        <w:pStyle w:val="ListBullet"/>
      </w:pPr>
      <w:r w:rsidRPr="00E12840">
        <w:t>74.4% of transport to dialysis</w:t>
      </w:r>
      <w:r w:rsidRPr="00301EAE">
        <w:t xml:space="preserve"> are car trips</w:t>
      </w:r>
      <w:r w:rsidRPr="00E12840">
        <w:t xml:space="preserve"> – 39.5% being driven by another person and 34.9% driving themselves</w:t>
      </w:r>
    </w:p>
    <w:p w14:paraId="38364C36" w14:textId="08E696E3" w:rsidR="00E81858" w:rsidRPr="00301EAE" w:rsidRDefault="00BE505F" w:rsidP="0066347E">
      <w:pPr>
        <w:pStyle w:val="ListBullet"/>
      </w:pPr>
      <w:r>
        <w:t>d</w:t>
      </w:r>
      <w:r w:rsidR="00E81858" w:rsidRPr="00301EAE">
        <w:t>riving to dialysis</w:t>
      </w:r>
      <w:r w:rsidR="00E81858" w:rsidRPr="00E12840">
        <w:t xml:space="preserve"> incur costs for travel that comp</w:t>
      </w:r>
      <w:r w:rsidR="00E81858" w:rsidRPr="00301EAE">
        <w:t xml:space="preserve">rise approximately 15% of the </w:t>
      </w:r>
      <w:r w:rsidR="00E81858" w:rsidRPr="00E12840">
        <w:t xml:space="preserve">pension </w:t>
      </w:r>
    </w:p>
    <w:p w14:paraId="242FE00F" w14:textId="0FEEDB46" w:rsidR="00E81858" w:rsidRPr="00301EAE" w:rsidRDefault="00BE505F" w:rsidP="0066347E">
      <w:pPr>
        <w:pStyle w:val="ListBullet"/>
      </w:pPr>
      <w:r>
        <w:t>c</w:t>
      </w:r>
      <w:r w:rsidR="00E81858" w:rsidRPr="00301EAE">
        <w:t xml:space="preserve">osts are highest for people in regional areas, with people </w:t>
      </w:r>
      <w:r w:rsidR="00E81858" w:rsidRPr="00E12840">
        <w:t>who pay over $50 per week disproportionately represented in regional areas</w:t>
      </w:r>
      <w:r w:rsidR="00C73444">
        <w:t>.</w:t>
      </w:r>
    </w:p>
    <w:p w14:paraId="066202A1" w14:textId="77777777" w:rsidR="00483284" w:rsidRDefault="00483284" w:rsidP="00483284"/>
    <w:p w14:paraId="3D6C90D1" w14:textId="7AF7AA51" w:rsidR="006E03C1" w:rsidRDefault="00E81858" w:rsidP="006E03C1">
      <w:pPr>
        <w:rPr>
          <w:rFonts w:ascii="Calibri" w:hAnsi="Calibri" w:cs="Calibri"/>
          <w:color w:val="000000"/>
        </w:rPr>
      </w:pPr>
      <w:r>
        <w:t>Payments made under P</w:t>
      </w:r>
      <w:r w:rsidRPr="007F6ACD">
        <w:t>T</w:t>
      </w:r>
      <w:r>
        <w:t>AS for accommodation, wher</w:t>
      </w:r>
      <w:r w:rsidRPr="007F6ACD">
        <w:t xml:space="preserve">e overnight or continued </w:t>
      </w:r>
      <w:r>
        <w:t xml:space="preserve">travel away from home is needed, also vary significantly between states, and none reflect the true cost of staying away from home. For </w:t>
      </w:r>
      <w:r>
        <w:lastRenderedPageBreak/>
        <w:t xml:space="preserve">rural and remote patients, such as Indigenous communities, accommodation costs can represent a significant barrier to treatment. </w:t>
      </w:r>
      <w:r w:rsidRPr="00E12840">
        <w:rPr>
          <w:rFonts w:ascii="Calibri" w:hAnsi="Calibri" w:cs="Calibri"/>
          <w:color w:val="000000"/>
        </w:rPr>
        <w:t>These payment rates range from $35 per night up to $60 (or $75 for a couple) to cover commercial accommodation</w:t>
      </w:r>
      <w:r>
        <w:rPr>
          <w:rFonts w:ascii="Calibri" w:hAnsi="Calibri" w:cs="Calibri"/>
          <w:color w:val="000000"/>
        </w:rPr>
        <w:t>.</w:t>
      </w:r>
      <w:r>
        <w:rPr>
          <w:rStyle w:val="EndnoteReference"/>
          <w:rFonts w:ascii="Calibri" w:hAnsi="Calibri" w:cs="Calibri"/>
          <w:color w:val="000000"/>
        </w:rPr>
        <w:endnoteReference w:id="129"/>
      </w:r>
      <w:r w:rsidRPr="00E12840">
        <w:rPr>
          <w:rFonts w:ascii="Calibri" w:hAnsi="Calibri" w:cs="Calibri"/>
          <w:color w:val="000000"/>
        </w:rPr>
        <w:t xml:space="preserve"> Again both the levels of payment, and the significant </w:t>
      </w:r>
      <w:r w:rsidR="0013601D" w:rsidRPr="00E12840">
        <w:rPr>
          <w:rFonts w:ascii="Calibri" w:hAnsi="Calibri" w:cs="Calibri"/>
          <w:color w:val="000000"/>
        </w:rPr>
        <w:t>state-by-state</w:t>
      </w:r>
      <w:r w:rsidRPr="00E12840">
        <w:rPr>
          <w:rFonts w:ascii="Calibri" w:hAnsi="Calibri" w:cs="Calibri"/>
          <w:color w:val="000000"/>
        </w:rPr>
        <w:t xml:space="preserve"> variation, cause issues for patients and their carers.</w:t>
      </w:r>
    </w:p>
    <w:p w14:paraId="4AA14159" w14:textId="2CD68DA3" w:rsidR="006E03C1" w:rsidRDefault="006E03C1" w:rsidP="00FB7CC4">
      <w:pPr>
        <w:pStyle w:val="Heading3"/>
      </w:pPr>
    </w:p>
    <w:p w14:paraId="3E0481DA" w14:textId="77777777" w:rsidR="002F34C3" w:rsidRPr="002F34C3" w:rsidRDefault="002F34C3" w:rsidP="002F34C3"/>
    <w:p w14:paraId="085FB091" w14:textId="1AC229DB" w:rsidR="0072052D" w:rsidRPr="00FF54C9" w:rsidRDefault="00DA108B" w:rsidP="00FB7CC4">
      <w:pPr>
        <w:pStyle w:val="Heading3"/>
        <w:rPr>
          <w:sz w:val="24"/>
        </w:rPr>
      </w:pPr>
      <w:r w:rsidRPr="00FF54C9">
        <w:rPr>
          <w:color w:val="C00000"/>
          <w:sz w:val="24"/>
        </w:rPr>
        <w:t xml:space="preserve">2.3 </w:t>
      </w:r>
      <w:r w:rsidR="00E81858" w:rsidRPr="00FF54C9">
        <w:rPr>
          <w:color w:val="C00000"/>
          <w:sz w:val="24"/>
        </w:rPr>
        <w:t>Improve support for people affected by chronic kidney disease</w:t>
      </w:r>
    </w:p>
    <w:p w14:paraId="00F35B3F" w14:textId="77777777" w:rsidR="002F34C3" w:rsidRDefault="002F34C3" w:rsidP="00B019B2">
      <w:pPr>
        <w:pStyle w:val="KidneyBodyBold"/>
        <w:rPr>
          <w:lang w:val="en-US"/>
        </w:rPr>
      </w:pPr>
    </w:p>
    <w:p w14:paraId="590951EF" w14:textId="4DF667A7" w:rsidR="0072052D" w:rsidRPr="0072052D" w:rsidRDefault="0072052D" w:rsidP="00B019B2">
      <w:pPr>
        <w:pStyle w:val="KidneyBodyBold"/>
        <w:rPr>
          <w:lang w:val="en-US"/>
        </w:rPr>
      </w:pPr>
      <w:r w:rsidRPr="0072052D">
        <w:rPr>
          <w:lang w:val="en-US"/>
        </w:rPr>
        <w:t>Psychosocial support</w:t>
      </w:r>
    </w:p>
    <w:p w14:paraId="70E973CD" w14:textId="595ED662" w:rsidR="006B2905" w:rsidRPr="004215BB" w:rsidRDefault="00D818CF" w:rsidP="004215BB">
      <w:pPr>
        <w:autoSpaceDE w:val="0"/>
        <w:autoSpaceDN w:val="0"/>
        <w:adjustRightInd w:val="0"/>
        <w:rPr>
          <w:rFonts w:ascii="Calibri" w:hAnsi="Calibri" w:cs="Calibri"/>
        </w:rPr>
      </w:pPr>
      <w:r>
        <w:rPr>
          <w:rFonts w:ascii="Calibri" w:hAnsi="Calibri" w:cs="Calibri"/>
        </w:rPr>
        <w:t>People living with kidney disease, in particular those with ESKD but also earlier stages of CKD, suffer severe and debilitating psychological burden, in addition to and exacerbating the physical symptom burden</w:t>
      </w:r>
      <w:r w:rsidR="004C5EA4">
        <w:rPr>
          <w:rFonts w:ascii="Calibri" w:hAnsi="Calibri" w:cs="Calibri"/>
        </w:rPr>
        <w:t>.</w:t>
      </w:r>
      <w:r w:rsidR="004C5EA4">
        <w:rPr>
          <w:rStyle w:val="EndnoteReference"/>
          <w:rFonts w:ascii="Calibri" w:hAnsi="Calibri" w:cs="Calibri"/>
        </w:rPr>
        <w:endnoteReference w:id="130"/>
      </w:r>
      <w:r w:rsidR="004215BB">
        <w:rPr>
          <w:rFonts w:ascii="Calibri" w:hAnsi="Calibri" w:cs="Calibri"/>
        </w:rPr>
        <w:t xml:space="preserve"> </w:t>
      </w:r>
      <w:r w:rsidR="006B2905">
        <w:rPr>
          <w:rFonts w:ascii="Calibri" w:hAnsi="Calibri" w:cs="Calibri"/>
          <w:color w:val="000000"/>
        </w:rPr>
        <w:t>Treatment poses a significant burden on patients and is frequently associated with additional stresses such as changes in family dynamics, social life, employment and finances,</w:t>
      </w:r>
      <w:r w:rsidR="006B2905">
        <w:rPr>
          <w:rStyle w:val="EndnoteReference"/>
          <w:rFonts w:ascii="Calibri" w:hAnsi="Calibri" w:cs="Calibri"/>
          <w:color w:val="000000"/>
        </w:rPr>
        <w:endnoteReference w:id="131"/>
      </w:r>
      <w:r w:rsidR="006B2905">
        <w:rPr>
          <w:rFonts w:ascii="Calibri" w:hAnsi="Calibri" w:cs="Calibri"/>
          <w:color w:val="000000"/>
        </w:rPr>
        <w:t xml:space="preserve"> affecting quality of life and leading to high levels of anxiety and depression</w:t>
      </w:r>
      <w:r w:rsidR="00BE505F">
        <w:rPr>
          <w:rFonts w:ascii="Calibri" w:hAnsi="Calibri" w:cs="Calibri"/>
          <w:color w:val="000000"/>
        </w:rPr>
        <w:t>.</w:t>
      </w:r>
      <w:r w:rsidR="006B2905">
        <w:rPr>
          <w:rStyle w:val="EndnoteReference"/>
          <w:rFonts w:ascii="Calibri" w:hAnsi="Calibri" w:cs="Calibri"/>
          <w:color w:val="000000"/>
        </w:rPr>
        <w:endnoteReference w:id="132"/>
      </w:r>
    </w:p>
    <w:p w14:paraId="3F3F0D2E" w14:textId="77777777" w:rsidR="006B2905" w:rsidRDefault="006B2905" w:rsidP="00D818CF">
      <w:pPr>
        <w:autoSpaceDE w:val="0"/>
        <w:autoSpaceDN w:val="0"/>
        <w:adjustRightInd w:val="0"/>
        <w:rPr>
          <w:rFonts w:ascii="Calibri" w:hAnsi="Calibri" w:cs="Calibri"/>
        </w:rPr>
      </w:pPr>
    </w:p>
    <w:p w14:paraId="5A24DEF3" w14:textId="6EDF57D6" w:rsidR="00CD49D9" w:rsidRDefault="00D818CF" w:rsidP="00D818CF">
      <w:pPr>
        <w:widowControl w:val="0"/>
        <w:autoSpaceDE w:val="0"/>
        <w:autoSpaceDN w:val="0"/>
        <w:adjustRightInd w:val="0"/>
        <w:rPr>
          <w:rFonts w:ascii="Calibri" w:hAnsi="Calibri" w:cs="Calibri"/>
          <w:color w:val="000000"/>
        </w:rPr>
      </w:pPr>
      <w:r>
        <w:t xml:space="preserve">Whilst </w:t>
      </w:r>
      <w:r w:rsidRPr="00D818CF">
        <w:rPr>
          <w:rFonts w:ascii="Calibri" w:hAnsi="Calibri" w:cs="Calibri"/>
          <w:color w:val="000000"/>
        </w:rPr>
        <w:t>the psychosocial burden of living with CKD is increasing being recognised, in particular through patient reported outcome measures, the emphasis is still on the physical care</w:t>
      </w:r>
      <w:r>
        <w:rPr>
          <w:rFonts w:ascii="Calibri" w:hAnsi="Calibri" w:cs="Calibri"/>
          <w:color w:val="000000"/>
        </w:rPr>
        <w:t xml:space="preserve">. </w:t>
      </w:r>
      <w:r w:rsidRPr="00D818CF">
        <w:rPr>
          <w:rFonts w:ascii="Calibri" w:hAnsi="Calibri" w:cs="Calibri"/>
          <w:color w:val="000000"/>
        </w:rPr>
        <w:t xml:space="preserve">Psychosocial support </w:t>
      </w:r>
      <w:r>
        <w:rPr>
          <w:rFonts w:ascii="Calibri" w:hAnsi="Calibri" w:cs="Calibri"/>
          <w:color w:val="000000"/>
        </w:rPr>
        <w:t xml:space="preserve">needs to become more of a focused </w:t>
      </w:r>
      <w:r w:rsidRPr="00D818CF">
        <w:rPr>
          <w:rFonts w:ascii="Calibri" w:hAnsi="Calibri" w:cs="Calibri"/>
          <w:color w:val="000000"/>
        </w:rPr>
        <w:t>component of CKD treatment</w:t>
      </w:r>
      <w:r>
        <w:rPr>
          <w:rFonts w:ascii="Calibri" w:hAnsi="Calibri" w:cs="Calibri"/>
          <w:color w:val="000000"/>
        </w:rPr>
        <w:t>.</w:t>
      </w:r>
    </w:p>
    <w:p w14:paraId="7980EBC9" w14:textId="77777777" w:rsidR="004215BB" w:rsidRDefault="004215BB" w:rsidP="00D818CF">
      <w:pPr>
        <w:widowControl w:val="0"/>
        <w:autoSpaceDE w:val="0"/>
        <w:autoSpaceDN w:val="0"/>
        <w:adjustRightInd w:val="0"/>
        <w:rPr>
          <w:rFonts w:ascii="Calibri" w:hAnsi="Calibri" w:cs="Calibri"/>
          <w:color w:val="000000"/>
        </w:rPr>
      </w:pPr>
    </w:p>
    <w:p w14:paraId="4DB53A13" w14:textId="77777777" w:rsidR="004215BB" w:rsidRDefault="004215BB" w:rsidP="00483284">
      <w:pPr>
        <w:pStyle w:val="ListBullet"/>
      </w:pPr>
      <w:r>
        <w:t>Around</w:t>
      </w:r>
      <w:r w:rsidRPr="009F674A">
        <w:t xml:space="preserve"> a quarter of people living with CKD suffer from depression.</w:t>
      </w:r>
      <w:r>
        <w:rPr>
          <w:rStyle w:val="EndnoteReference"/>
        </w:rPr>
        <w:endnoteReference w:id="133"/>
      </w:r>
    </w:p>
    <w:p w14:paraId="3C81C26B" w14:textId="77777777" w:rsidR="004215BB" w:rsidRDefault="004215BB" w:rsidP="00483284">
      <w:pPr>
        <w:pStyle w:val="ListBullet"/>
        <w:rPr>
          <w:szCs w:val="22"/>
        </w:rPr>
      </w:pPr>
      <w:r>
        <w:rPr>
          <w:szCs w:val="22"/>
        </w:rPr>
        <w:t>P</w:t>
      </w:r>
      <w:r w:rsidRPr="00641405">
        <w:rPr>
          <w:szCs w:val="22"/>
        </w:rPr>
        <w:t xml:space="preserve">sychosocial stresses are associated </w:t>
      </w:r>
      <w:r>
        <w:rPr>
          <w:szCs w:val="22"/>
        </w:rPr>
        <w:t xml:space="preserve">with both </w:t>
      </w:r>
      <w:r w:rsidRPr="00641405">
        <w:rPr>
          <w:szCs w:val="22"/>
        </w:rPr>
        <w:t xml:space="preserve">lower quality of life </w:t>
      </w:r>
      <w:r>
        <w:rPr>
          <w:szCs w:val="22"/>
        </w:rPr>
        <w:t>and</w:t>
      </w:r>
      <w:r w:rsidRPr="00641405">
        <w:rPr>
          <w:szCs w:val="22"/>
        </w:rPr>
        <w:t xml:space="preserve"> worse prognostic outcomes</w:t>
      </w:r>
      <w:r>
        <w:t>.</w:t>
      </w:r>
      <w:r>
        <w:rPr>
          <w:rStyle w:val="EndnoteReference"/>
        </w:rPr>
        <w:endnoteReference w:id="134"/>
      </w:r>
      <w:r>
        <w:t xml:space="preserve"> </w:t>
      </w:r>
      <w:r w:rsidRPr="00641405">
        <w:rPr>
          <w:szCs w:val="22"/>
        </w:rPr>
        <w:t>For example, depression is associated with lower levels of treatment adherence and higher rates of hospitalisation</w:t>
      </w:r>
      <w:r>
        <w:rPr>
          <w:rStyle w:val="EndnoteReference"/>
        </w:rPr>
        <w:endnoteReference w:id="135"/>
      </w:r>
      <w:r w:rsidRPr="00641405">
        <w:rPr>
          <w:szCs w:val="22"/>
        </w:rPr>
        <w:t>as well as higher rates of withdrawal from dialysis and mortality.</w:t>
      </w:r>
      <w:r w:rsidRPr="00641405">
        <w:rPr>
          <w:rStyle w:val="EndnoteReference"/>
          <w:sz w:val="22"/>
          <w:szCs w:val="22"/>
        </w:rPr>
        <w:endnoteReference w:id="136"/>
      </w:r>
      <w:r w:rsidRPr="00641405">
        <w:rPr>
          <w:szCs w:val="22"/>
        </w:rPr>
        <w:t xml:space="preserve"> </w:t>
      </w:r>
    </w:p>
    <w:p w14:paraId="590C62B4" w14:textId="77777777" w:rsidR="004215BB" w:rsidRDefault="004215BB" w:rsidP="00483284">
      <w:pPr>
        <w:pStyle w:val="ListBullet"/>
      </w:pPr>
      <w:r>
        <w:rPr>
          <w:szCs w:val="22"/>
        </w:rPr>
        <w:t>P</w:t>
      </w:r>
      <w:r w:rsidRPr="00641405">
        <w:rPr>
          <w:szCs w:val="22"/>
        </w:rPr>
        <w:t>sychosocial interventions impact on depression anxiety and improve quality of life for both people with kidney disease and carers</w:t>
      </w:r>
      <w:r>
        <w:t>.</w:t>
      </w:r>
      <w:r>
        <w:rPr>
          <w:rStyle w:val="EndnoteReference"/>
        </w:rPr>
        <w:endnoteReference w:id="137"/>
      </w:r>
    </w:p>
    <w:p w14:paraId="6B195A39" w14:textId="2E8D6F31" w:rsidR="00483284" w:rsidRPr="00483284" w:rsidRDefault="0013601D" w:rsidP="00483284">
      <w:pPr>
        <w:pStyle w:val="ListBullet"/>
        <w:rPr>
          <w:szCs w:val="22"/>
        </w:rPr>
      </w:pPr>
      <w:r>
        <w:rPr>
          <w:szCs w:val="22"/>
        </w:rPr>
        <w:t>Telephone and other tele</w:t>
      </w:r>
      <w:r w:rsidRPr="00A01B2C">
        <w:rPr>
          <w:szCs w:val="22"/>
        </w:rPr>
        <w:t>health psychosocial support services</w:t>
      </w:r>
      <w:r>
        <w:rPr>
          <w:szCs w:val="22"/>
        </w:rPr>
        <w:t xml:space="preserve"> for patients and carers are associated with</w:t>
      </w:r>
      <w:r>
        <w:rPr>
          <w:rStyle w:val="EndnoteReference"/>
        </w:rPr>
        <w:endnoteReference w:id="138"/>
      </w:r>
      <w:r w:rsidRPr="004215BB">
        <w:rPr>
          <w:rStyle w:val="EndnoteReference"/>
        </w:rPr>
        <w:t>,</w:t>
      </w:r>
      <w:r>
        <w:rPr>
          <w:rStyle w:val="EndnoteReference"/>
        </w:rPr>
        <w:endnoteReference w:id="139"/>
      </w:r>
      <w:r>
        <w:t xml:space="preserve">  </w:t>
      </w:r>
    </w:p>
    <w:p w14:paraId="10C6CD07" w14:textId="77777777" w:rsidR="004215BB" w:rsidRPr="00A01B2C" w:rsidRDefault="004215BB" w:rsidP="003F15DD">
      <w:pPr>
        <w:pStyle w:val="ListParagraph"/>
        <w:numPr>
          <w:ilvl w:val="0"/>
          <w:numId w:val="30"/>
        </w:numPr>
      </w:pPr>
      <w:r w:rsidRPr="00A01B2C">
        <w:t xml:space="preserve">enhanced psychological health (reduced anxiety, depression, stress, burden, irritation and isolation) </w:t>
      </w:r>
    </w:p>
    <w:p w14:paraId="35B44B61" w14:textId="4BF9957E" w:rsidR="004215BB" w:rsidRPr="00641405" w:rsidRDefault="004215BB" w:rsidP="003F15DD">
      <w:pPr>
        <w:pStyle w:val="ListParagraph"/>
        <w:numPr>
          <w:ilvl w:val="0"/>
          <w:numId w:val="30"/>
        </w:numPr>
      </w:pPr>
      <w:r>
        <w:t>increased self-management</w:t>
      </w:r>
    </w:p>
    <w:p w14:paraId="60BC86CD" w14:textId="77777777" w:rsidR="004215BB" w:rsidRDefault="004215BB" w:rsidP="003F15DD">
      <w:pPr>
        <w:pStyle w:val="ListParagraph"/>
        <w:numPr>
          <w:ilvl w:val="0"/>
          <w:numId w:val="30"/>
        </w:numPr>
      </w:pPr>
      <w:r w:rsidRPr="00641405">
        <w:t>improved caregiving knowledge/skills/patient management</w:t>
      </w:r>
    </w:p>
    <w:p w14:paraId="3B8C5A03" w14:textId="77777777" w:rsidR="004215BB" w:rsidRPr="00A01B2C" w:rsidRDefault="004215BB" w:rsidP="003F15DD">
      <w:pPr>
        <w:pStyle w:val="ListParagraph"/>
        <w:numPr>
          <w:ilvl w:val="0"/>
          <w:numId w:val="30"/>
        </w:numPr>
      </w:pPr>
      <w:r>
        <w:t>higher quality of life</w:t>
      </w:r>
    </w:p>
    <w:p w14:paraId="12660261" w14:textId="77777777" w:rsidR="004215BB" w:rsidRPr="00641405" w:rsidRDefault="004215BB" w:rsidP="003F15DD">
      <w:pPr>
        <w:pStyle w:val="ListParagraph"/>
        <w:numPr>
          <w:ilvl w:val="0"/>
          <w:numId w:val="30"/>
        </w:numPr>
      </w:pPr>
      <w:r w:rsidRPr="00641405">
        <w:t>more social support/social function/need met</w:t>
      </w:r>
    </w:p>
    <w:p w14:paraId="6E75FC2E" w14:textId="77777777" w:rsidR="004215BB" w:rsidRPr="00641405" w:rsidRDefault="004215BB" w:rsidP="003F15DD">
      <w:pPr>
        <w:pStyle w:val="ListParagraph"/>
        <w:numPr>
          <w:ilvl w:val="0"/>
          <w:numId w:val="30"/>
        </w:numPr>
      </w:pPr>
      <w:r w:rsidRPr="00641405">
        <w:t>improved coping/problem solving skills/goal attainment/decision-making</w:t>
      </w:r>
    </w:p>
    <w:p w14:paraId="3F5872B6" w14:textId="77777777" w:rsidR="004215BB" w:rsidRPr="00641405" w:rsidRDefault="004215BB" w:rsidP="003F15DD">
      <w:pPr>
        <w:pStyle w:val="ListParagraph"/>
        <w:numPr>
          <w:ilvl w:val="0"/>
          <w:numId w:val="30"/>
        </w:numPr>
      </w:pPr>
      <w:r w:rsidRPr="00641405">
        <w:t>better communication with providers</w:t>
      </w:r>
    </w:p>
    <w:p w14:paraId="476619AC" w14:textId="77777777" w:rsidR="004215BB" w:rsidRDefault="004215BB" w:rsidP="003F15DD">
      <w:pPr>
        <w:pStyle w:val="ListParagraph"/>
        <w:numPr>
          <w:ilvl w:val="0"/>
          <w:numId w:val="30"/>
        </w:numPr>
      </w:pPr>
      <w:r w:rsidRPr="00641405">
        <w:t>more cost saving</w:t>
      </w:r>
    </w:p>
    <w:p w14:paraId="5AEF3547" w14:textId="11616651" w:rsidR="00E81858" w:rsidRPr="004215BB" w:rsidRDefault="004215BB" w:rsidP="003F15DD">
      <w:pPr>
        <w:pStyle w:val="ListParagraph"/>
        <w:numPr>
          <w:ilvl w:val="0"/>
          <w:numId w:val="30"/>
        </w:numPr>
      </w:pPr>
      <w:r>
        <w:t>enhanced physical health</w:t>
      </w:r>
      <w:r w:rsidR="00E81858" w:rsidRPr="004215BB">
        <w:t xml:space="preserve"> </w:t>
      </w:r>
    </w:p>
    <w:p w14:paraId="253FDC90" w14:textId="369172BD" w:rsidR="00E81858" w:rsidRDefault="00E81858" w:rsidP="003F15DD">
      <w:pPr>
        <w:pStyle w:val="ListParagraph"/>
        <w:numPr>
          <w:ilvl w:val="0"/>
          <w:numId w:val="30"/>
        </w:numPr>
      </w:pPr>
      <w:r w:rsidRPr="00641405">
        <w:t>productivity</w:t>
      </w:r>
      <w:r w:rsidR="00BE505F">
        <w:t>.</w:t>
      </w:r>
    </w:p>
    <w:p w14:paraId="5D107D23" w14:textId="77777777" w:rsidR="00483284" w:rsidRDefault="00483284" w:rsidP="00483284">
      <w:pPr>
        <w:pStyle w:val="KidneyBodyBold"/>
      </w:pPr>
    </w:p>
    <w:p w14:paraId="333E6827" w14:textId="77777777" w:rsidR="00483284" w:rsidRDefault="00E81858" w:rsidP="00B019B2">
      <w:pPr>
        <w:pStyle w:val="KidneyBodyBold"/>
      </w:pPr>
      <w:r w:rsidRPr="00C83424">
        <w:t xml:space="preserve">Peer </w:t>
      </w:r>
      <w:r w:rsidRPr="00B019B2">
        <w:t>support</w:t>
      </w:r>
    </w:p>
    <w:p w14:paraId="4B633453" w14:textId="7C2E60C1" w:rsidR="00E81858" w:rsidRDefault="00E81858" w:rsidP="00483284">
      <w:r>
        <w:t>Peer support programs are an important element in chronic disease management. Peer support is</w:t>
      </w:r>
      <w:r w:rsidR="00A01B2C">
        <w:t xml:space="preserve"> associated with increased self-</w:t>
      </w:r>
      <w:r>
        <w:t>management and improvement in health related quality of life</w:t>
      </w:r>
      <w:r>
        <w:rPr>
          <w:rStyle w:val="EndnoteReference"/>
          <w:rFonts w:ascii="Calibri" w:hAnsi="Calibri" w:cs="Calibri"/>
          <w:color w:val="000000"/>
          <w:sz w:val="22"/>
        </w:rPr>
        <w:endnoteReference w:id="140"/>
      </w:r>
      <w:r>
        <w:t xml:space="preserve"> Benefits of peer support include</w:t>
      </w:r>
      <w:r w:rsidR="00C73444">
        <w:t>:</w:t>
      </w:r>
    </w:p>
    <w:p w14:paraId="1A42BBFC" w14:textId="77777777" w:rsidR="00483284" w:rsidRPr="00483284" w:rsidRDefault="00483284" w:rsidP="00483284">
      <w:pPr>
        <w:rPr>
          <w:rFonts w:cstheme="minorHAnsi"/>
        </w:rPr>
      </w:pPr>
    </w:p>
    <w:p w14:paraId="1E89B423" w14:textId="2AF88710" w:rsidR="00E81858" w:rsidRDefault="00E81858" w:rsidP="00483284">
      <w:pPr>
        <w:pStyle w:val="ListBullet"/>
      </w:pPr>
      <w:r>
        <w:t>Access practical information based on real work experience</w:t>
      </w:r>
    </w:p>
    <w:p w14:paraId="6DC7CB8D" w14:textId="55EAB773" w:rsidR="00E81858" w:rsidRDefault="00E81858" w:rsidP="00483284">
      <w:pPr>
        <w:pStyle w:val="ListBullet"/>
      </w:pPr>
      <w:r>
        <w:t>Social support and reduced sense of isolation</w:t>
      </w:r>
    </w:p>
    <w:p w14:paraId="066255A0" w14:textId="77777777" w:rsidR="00E81858" w:rsidRDefault="00E81858" w:rsidP="00483284">
      <w:pPr>
        <w:pStyle w:val="ListBullet"/>
      </w:pPr>
      <w:r>
        <w:t>Positive role modelling for managing disease</w:t>
      </w:r>
    </w:p>
    <w:p w14:paraId="549792E1" w14:textId="6583993A" w:rsidR="00E81858" w:rsidRDefault="00E81858" w:rsidP="00483284">
      <w:pPr>
        <w:pStyle w:val="ListBullet"/>
      </w:pPr>
      <w:r>
        <w:t>Increasing empowerment and sense of agency</w:t>
      </w:r>
      <w:r w:rsidR="00BE505F">
        <w:t>.</w:t>
      </w:r>
      <w:r>
        <w:t xml:space="preserve"> </w:t>
      </w:r>
      <w:r>
        <w:rPr>
          <w:rStyle w:val="EndnoteReference"/>
          <w:rFonts w:ascii="Calibri" w:hAnsi="Calibri" w:cs="Calibri"/>
          <w:color w:val="000000"/>
          <w:sz w:val="22"/>
        </w:rPr>
        <w:endnoteReference w:id="141"/>
      </w:r>
    </w:p>
    <w:p w14:paraId="63B9769B" w14:textId="77777777" w:rsidR="009659D1" w:rsidRDefault="009659D1" w:rsidP="009659D1">
      <w:pPr>
        <w:pStyle w:val="KidneyBodyBold"/>
      </w:pPr>
    </w:p>
    <w:p w14:paraId="17BE3776" w14:textId="7DD4B1E4" w:rsidR="00123E29" w:rsidRDefault="00E81858" w:rsidP="00B019B2">
      <w:pPr>
        <w:pStyle w:val="KidneyBodyBold"/>
      </w:pPr>
      <w:r w:rsidRPr="00B31B00">
        <w:t>Dialysis travel</w:t>
      </w:r>
      <w:r w:rsidR="003D3824">
        <w:t xml:space="preserve"> in </w:t>
      </w:r>
      <w:r w:rsidR="003D3824" w:rsidRPr="00B019B2">
        <w:t>Australia</w:t>
      </w:r>
    </w:p>
    <w:p w14:paraId="44B0DF8D" w14:textId="72F4EC33" w:rsidR="003D0079" w:rsidRPr="009659D1" w:rsidRDefault="003D3824" w:rsidP="009659D1">
      <w:pPr>
        <w:pStyle w:val="ListBullet"/>
      </w:pPr>
      <w:r w:rsidRPr="009659D1">
        <w:t xml:space="preserve">Travel while on dialysis is challenging </w:t>
      </w:r>
      <w:r w:rsidR="00C171AA" w:rsidRPr="009659D1">
        <w:t xml:space="preserve">and options are limited </w:t>
      </w:r>
      <w:r w:rsidRPr="009659D1">
        <w:t xml:space="preserve">but </w:t>
      </w:r>
      <w:r w:rsidR="003D0079" w:rsidRPr="009659D1">
        <w:t xml:space="preserve">travel is </w:t>
      </w:r>
      <w:r w:rsidR="00C171AA" w:rsidRPr="009659D1">
        <w:t xml:space="preserve">not impossible. </w:t>
      </w:r>
      <w:r w:rsidR="003D0079" w:rsidRPr="009659D1">
        <w:t>Provision of water and electricity is also a major consideration.</w:t>
      </w:r>
    </w:p>
    <w:p w14:paraId="6CE5CE2A" w14:textId="260240A7" w:rsidR="00C171AA" w:rsidRPr="009659D1" w:rsidRDefault="003D0079" w:rsidP="009659D1">
      <w:pPr>
        <w:pStyle w:val="ListBullet"/>
      </w:pPr>
      <w:r w:rsidRPr="009659D1">
        <w:t xml:space="preserve">Travel limitations </w:t>
      </w:r>
      <w:r w:rsidR="00C171AA" w:rsidRPr="009659D1">
        <w:t xml:space="preserve">depend on what mode of dialysis a </w:t>
      </w:r>
      <w:r w:rsidRPr="009659D1">
        <w:t>person</w:t>
      </w:r>
      <w:r w:rsidR="00C171AA" w:rsidRPr="009659D1">
        <w:t xml:space="preserve"> is on. </w:t>
      </w:r>
      <w:r w:rsidRPr="009659D1">
        <w:t xml:space="preserve">Peritoneal dialysis (PD) offers the least restrictive options for travel but still requires meticulous planning in particular for dialysis equipment and supplies. Haemodialysis (HD) in-hospital or satellite is the most restrictive option. </w:t>
      </w:r>
    </w:p>
    <w:p w14:paraId="2FA5899D" w14:textId="2C78A69A" w:rsidR="007A563F" w:rsidRPr="009659D1" w:rsidRDefault="003D0079" w:rsidP="007A563F">
      <w:pPr>
        <w:pStyle w:val="ListBullet"/>
      </w:pPr>
      <w:r w:rsidRPr="009659D1">
        <w:lastRenderedPageBreak/>
        <w:t>Options for travel on dialysis include:</w:t>
      </w:r>
    </w:p>
    <w:p w14:paraId="2896E241" w14:textId="2218517A" w:rsidR="00C171AA" w:rsidRDefault="00C171AA" w:rsidP="003F15DD">
      <w:pPr>
        <w:pStyle w:val="ListBullet"/>
        <w:numPr>
          <w:ilvl w:val="0"/>
          <w:numId w:val="31"/>
        </w:numPr>
      </w:pPr>
      <w:r w:rsidRPr="00C171AA">
        <w:t xml:space="preserve">take </w:t>
      </w:r>
      <w:r w:rsidR="003D0079">
        <w:t>equipment</w:t>
      </w:r>
      <w:r>
        <w:t xml:space="preserve"> and supplies (in a caravan or </w:t>
      </w:r>
      <w:r w:rsidRPr="00C171AA">
        <w:t xml:space="preserve">trailer </w:t>
      </w:r>
      <w:r>
        <w:t xml:space="preserve">for home haemodialysis) </w:t>
      </w:r>
      <w:r w:rsidR="003D0079">
        <w:t>– PD or home HD</w:t>
      </w:r>
    </w:p>
    <w:p w14:paraId="4473752F" w14:textId="255E9CBC" w:rsidR="00C171AA" w:rsidRPr="00C171AA" w:rsidRDefault="00C171AA" w:rsidP="003F15DD">
      <w:pPr>
        <w:pStyle w:val="ListBullet"/>
        <w:numPr>
          <w:ilvl w:val="0"/>
          <w:numId w:val="31"/>
        </w:numPr>
      </w:pPr>
      <w:r w:rsidRPr="00C171AA">
        <w:t>fixed dialysis house or campervan that has a machine</w:t>
      </w:r>
      <w:r w:rsidR="005B7DBA">
        <w:t xml:space="preserve"> </w:t>
      </w:r>
      <w:r w:rsidR="003D0079">
        <w:t>– home HD</w:t>
      </w:r>
    </w:p>
    <w:p w14:paraId="1C63573B" w14:textId="39AFAC38" w:rsidR="00C171AA" w:rsidRPr="00C171AA" w:rsidRDefault="00C171AA" w:rsidP="003F15DD">
      <w:pPr>
        <w:pStyle w:val="ListBullet"/>
        <w:numPr>
          <w:ilvl w:val="0"/>
          <w:numId w:val="31"/>
        </w:numPr>
      </w:pPr>
      <w:r w:rsidRPr="00C171AA">
        <w:t>dialysis at a dialysis unit close to your destination</w:t>
      </w:r>
      <w:r w:rsidR="003D0079">
        <w:t xml:space="preserve"> - HD</w:t>
      </w:r>
    </w:p>
    <w:p w14:paraId="2A162D07" w14:textId="236EA49B" w:rsidR="00C171AA" w:rsidRPr="00C171AA" w:rsidRDefault="00C171AA" w:rsidP="003F15DD">
      <w:pPr>
        <w:pStyle w:val="ListBullet"/>
        <w:numPr>
          <w:ilvl w:val="0"/>
          <w:numId w:val="31"/>
        </w:numPr>
      </w:pPr>
      <w:r w:rsidRPr="00C171AA">
        <w:t xml:space="preserve">the </w:t>
      </w:r>
      <w:r w:rsidR="003D0079">
        <w:t>Kidney Health Australia Big Red Kidney B</w:t>
      </w:r>
      <w:r w:rsidRPr="00C171AA">
        <w:t>us</w:t>
      </w:r>
      <w:r w:rsidR="003D0079">
        <w:t xml:space="preserve"> - HD</w:t>
      </w:r>
    </w:p>
    <w:p w14:paraId="3FD6C847" w14:textId="5E8866B7" w:rsidR="00C171AA" w:rsidRDefault="00C171AA" w:rsidP="003F15DD">
      <w:pPr>
        <w:pStyle w:val="ListBullet"/>
        <w:numPr>
          <w:ilvl w:val="0"/>
          <w:numId w:val="31"/>
        </w:numPr>
      </w:pPr>
      <w:r w:rsidRPr="00C171AA">
        <w:t>a special holiday tour o</w:t>
      </w:r>
      <w:r w:rsidR="003D0079">
        <w:t xml:space="preserve">rganised with dialysis included </w:t>
      </w:r>
      <w:r w:rsidR="00BE505F">
        <w:t>–</w:t>
      </w:r>
      <w:r w:rsidR="003D0079">
        <w:t xml:space="preserve"> HD</w:t>
      </w:r>
      <w:r w:rsidR="00BE505F">
        <w:t>.</w:t>
      </w:r>
    </w:p>
    <w:p w14:paraId="0CD536AD" w14:textId="77777777" w:rsidR="006433D6" w:rsidRDefault="006433D6" w:rsidP="006433D6"/>
    <w:p w14:paraId="358CBB45" w14:textId="4A99E439" w:rsidR="003D3824" w:rsidRDefault="005B7DBA" w:rsidP="006433D6">
      <w:r>
        <w:t xml:space="preserve">The option of using a fixed dialysis unit at the holiday destination is limited by availability of free dialysis chairs and the lack of a </w:t>
      </w:r>
      <w:r w:rsidR="003D3824">
        <w:t xml:space="preserve">consistent agreement between states </w:t>
      </w:r>
      <w:r w:rsidR="003D0079">
        <w:t xml:space="preserve">for </w:t>
      </w:r>
      <w:r>
        <w:t>funding arrangements.</w:t>
      </w:r>
    </w:p>
    <w:p w14:paraId="6BFD7CB0" w14:textId="2D0879A0" w:rsidR="00CD2235" w:rsidRDefault="00CD2235" w:rsidP="00CD2235">
      <w:pPr>
        <w:pStyle w:val="Heading2"/>
        <w:rPr>
          <w:color w:val="auto"/>
          <w:sz w:val="20"/>
          <w:szCs w:val="20"/>
        </w:rPr>
      </w:pPr>
    </w:p>
    <w:p w14:paraId="392EAA65" w14:textId="77777777" w:rsidR="002F34C3" w:rsidRPr="002F34C3" w:rsidRDefault="002F34C3" w:rsidP="002F34C3"/>
    <w:p w14:paraId="5166EE25" w14:textId="62E5C82D" w:rsidR="00E81858" w:rsidRPr="00FF54C9" w:rsidRDefault="00E81858" w:rsidP="00FB7CC4">
      <w:pPr>
        <w:pStyle w:val="Heading3"/>
        <w:rPr>
          <w:sz w:val="24"/>
        </w:rPr>
      </w:pPr>
      <w:r w:rsidRPr="00FF54C9">
        <w:rPr>
          <w:color w:val="C00000"/>
          <w:sz w:val="24"/>
        </w:rPr>
        <w:t>2.4 Reduce the disproportionate burden of kidney disease on Aboriginal and Torres Strait Islander</w:t>
      </w:r>
      <w:r w:rsidR="00512926" w:rsidRPr="00FF54C9">
        <w:rPr>
          <w:color w:val="C00000"/>
          <w:sz w:val="24"/>
        </w:rPr>
        <w:t xml:space="preserve"> c</w:t>
      </w:r>
      <w:r w:rsidRPr="00FF54C9">
        <w:rPr>
          <w:color w:val="C00000"/>
          <w:sz w:val="24"/>
        </w:rPr>
        <w:t xml:space="preserve">ommunities </w:t>
      </w:r>
    </w:p>
    <w:p w14:paraId="48FEEE6B" w14:textId="77777777" w:rsidR="002F34C3" w:rsidRDefault="002F34C3" w:rsidP="00BB4197">
      <w:pPr>
        <w:rPr>
          <w:rFonts w:cs="Calibri"/>
          <w:color w:val="000000"/>
        </w:rPr>
      </w:pPr>
    </w:p>
    <w:p w14:paraId="26012D49" w14:textId="4E4BB22B" w:rsidR="00A01B2C" w:rsidRDefault="00A01B2C" w:rsidP="00BB4197">
      <w:pPr>
        <w:rPr>
          <w:rFonts w:cs="Calibri"/>
          <w:color w:val="000000"/>
        </w:rPr>
      </w:pPr>
      <w:r w:rsidRPr="00BB4197">
        <w:rPr>
          <w:rFonts w:cs="Calibri"/>
          <w:color w:val="000000"/>
        </w:rPr>
        <w:t>T</w:t>
      </w:r>
      <w:r w:rsidR="00E81858" w:rsidRPr="00BB4197">
        <w:rPr>
          <w:rFonts w:cs="Calibri"/>
          <w:color w:val="000000"/>
        </w:rPr>
        <w:t xml:space="preserve">he prevalence of CKD and the overall levels of ESKD among Aboriginal and Torres Strait Islander peoples are consistently reported as significantly higher than among other Australians. </w:t>
      </w:r>
    </w:p>
    <w:p w14:paraId="431E53A8" w14:textId="77777777" w:rsidR="00CD2235" w:rsidRPr="00BB4197" w:rsidRDefault="00CD2235" w:rsidP="00BB4197">
      <w:pPr>
        <w:rPr>
          <w:rFonts w:cs="Calibri"/>
          <w:color w:val="000000"/>
        </w:rPr>
      </w:pPr>
    </w:p>
    <w:p w14:paraId="06DBAA5A" w14:textId="2E08E4D0" w:rsidR="00E81858" w:rsidRPr="00A01B2C" w:rsidRDefault="00E81858" w:rsidP="003F15DD">
      <w:pPr>
        <w:pStyle w:val="ListParagraph"/>
        <w:numPr>
          <w:ilvl w:val="0"/>
          <w:numId w:val="17"/>
        </w:numPr>
        <w:rPr>
          <w:rFonts w:cs="Calibri"/>
          <w:color w:val="000000"/>
        </w:rPr>
      </w:pPr>
      <w:r w:rsidRPr="00A01B2C">
        <w:rPr>
          <w:rFonts w:cs="Calibri"/>
          <w:color w:val="000000"/>
        </w:rPr>
        <w:t>Aboriginal and Torres Strait Islander people represent less than 2.5 percent of the national population, however they account for approximately 11% of people commencing kidney replacement therapy each year</w:t>
      </w:r>
      <w:r w:rsidR="00871910">
        <w:rPr>
          <w:rFonts w:cs="Calibri"/>
          <w:color w:val="000000"/>
        </w:rPr>
        <w:t>.</w:t>
      </w:r>
      <w:r w:rsidR="00720C5D" w:rsidRPr="00720C5D">
        <w:rPr>
          <w:rFonts w:cs="Calibri"/>
          <w:color w:val="000000"/>
          <w:vertAlign w:val="superscript"/>
        </w:rPr>
        <w:t>1</w:t>
      </w:r>
    </w:p>
    <w:p w14:paraId="17A5C3B4" w14:textId="77777777" w:rsidR="00123E29" w:rsidRDefault="00E81858" w:rsidP="003F15DD">
      <w:pPr>
        <w:pStyle w:val="ListParagraph"/>
        <w:numPr>
          <w:ilvl w:val="0"/>
          <w:numId w:val="17"/>
        </w:numPr>
      </w:pPr>
      <w:r w:rsidRPr="00A01B2C">
        <w:t xml:space="preserve">Aboriginal and Torres Strait Islander adults living in remote areas are more than twice as likely as those living in non-remote areas to have signs of chronic kidney disease. Amongst Aboriginal and Torres Strait Islanders, the heaviest disease burden impacts on people living in very remote (36.7%) and remote (27.6%) regions. Outer regional areas (17.7%) remains high. Inner regional (10.7%) and major cities (11.8%) are less likely to be impacted as greatly. </w:t>
      </w:r>
    </w:p>
    <w:p w14:paraId="6B010464" w14:textId="4D517D92" w:rsidR="00A01B2C" w:rsidRPr="00123E29" w:rsidRDefault="00E81858" w:rsidP="003F15DD">
      <w:pPr>
        <w:pStyle w:val="ListParagraph"/>
        <w:numPr>
          <w:ilvl w:val="0"/>
          <w:numId w:val="17"/>
        </w:numPr>
      </w:pPr>
      <w:r w:rsidRPr="00123E29">
        <w:rPr>
          <w:rFonts w:cs="Calibri"/>
          <w:color w:val="000000"/>
        </w:rPr>
        <w:t>The median age of Indigenous people with ESKF is about 30 years less than for non-Indigenous people and occurs within the ages of 35 and 65.</w:t>
      </w:r>
      <w:r w:rsidRPr="00A01B2C">
        <w:rPr>
          <w:rStyle w:val="EndnoteReference"/>
          <w:rFonts w:cs="Calibri"/>
          <w:color w:val="000000"/>
        </w:rPr>
        <w:endnoteReference w:id="142"/>
      </w:r>
      <w:r w:rsidRPr="00123E29">
        <w:rPr>
          <w:rFonts w:cs="Calibri"/>
          <w:color w:val="000000"/>
        </w:rPr>
        <w:t xml:space="preserve"> </w:t>
      </w:r>
    </w:p>
    <w:p w14:paraId="13BB6E05" w14:textId="5A23925C" w:rsidR="00E81858" w:rsidRPr="00A01B2C" w:rsidRDefault="00E81858" w:rsidP="003F15DD">
      <w:pPr>
        <w:pStyle w:val="ListParagraph"/>
        <w:numPr>
          <w:ilvl w:val="0"/>
          <w:numId w:val="18"/>
        </w:numPr>
        <w:autoSpaceDE w:val="0"/>
        <w:autoSpaceDN w:val="0"/>
        <w:adjustRightInd w:val="0"/>
        <w:rPr>
          <w:rFonts w:cs="Calibri"/>
          <w:color w:val="000000"/>
        </w:rPr>
      </w:pPr>
      <w:r w:rsidRPr="00A01B2C">
        <w:rPr>
          <w:rFonts w:cs="Calibri"/>
          <w:color w:val="000000"/>
        </w:rPr>
        <w:t>CKD disproportionately ca</w:t>
      </w:r>
      <w:r w:rsidR="00A01B2C" w:rsidRPr="00A01B2C">
        <w:rPr>
          <w:rFonts w:cs="Calibri"/>
          <w:color w:val="000000"/>
        </w:rPr>
        <w:t>u</w:t>
      </w:r>
      <w:r w:rsidRPr="00A01B2C">
        <w:rPr>
          <w:rFonts w:cs="Calibri"/>
          <w:color w:val="000000"/>
        </w:rPr>
        <w:t>ses or contributes to Indigenous deaths, responsible for 215.8 percent of deaths between 2008 and 2012</w:t>
      </w:r>
      <w:r w:rsidRPr="00A01B2C">
        <w:rPr>
          <w:rStyle w:val="EndnoteReference"/>
          <w:rFonts w:cs="Calibri"/>
          <w:color w:val="000000"/>
        </w:rPr>
        <w:endnoteReference w:id="143"/>
      </w:r>
      <w:r w:rsidRPr="00A01B2C">
        <w:rPr>
          <w:rFonts w:cs="Calibri"/>
          <w:color w:val="000000"/>
        </w:rPr>
        <w:t xml:space="preserve"> and contributing to 5 percent of the total </w:t>
      </w:r>
      <w:r w:rsidRPr="00A01B2C">
        <w:t>disparity between Indigenous and non-Indigenous mortality.</w:t>
      </w:r>
      <w:r w:rsidRPr="00A01B2C">
        <w:rPr>
          <w:rStyle w:val="EndnoteReference"/>
        </w:rPr>
        <w:endnoteReference w:id="144"/>
      </w:r>
      <w:r w:rsidRPr="00A01B2C">
        <w:t xml:space="preserve"> </w:t>
      </w:r>
    </w:p>
    <w:p w14:paraId="2F1B5947" w14:textId="77777777" w:rsidR="00E81858" w:rsidRDefault="00E81858" w:rsidP="00435F73">
      <w:pPr>
        <w:autoSpaceDE w:val="0"/>
        <w:autoSpaceDN w:val="0"/>
        <w:adjustRightInd w:val="0"/>
      </w:pPr>
    </w:p>
    <w:p w14:paraId="453F741D" w14:textId="77777777" w:rsidR="00E81858" w:rsidRPr="00DA108B" w:rsidRDefault="00E81858" w:rsidP="00CD2235">
      <w:pPr>
        <w:pStyle w:val="KidneyBodyBold"/>
      </w:pPr>
      <w:r w:rsidRPr="00DA108B">
        <w:t xml:space="preserve">Disparities in treatment </w:t>
      </w:r>
    </w:p>
    <w:p w14:paraId="5616D2AB" w14:textId="77777777" w:rsidR="00A01B2C" w:rsidRPr="00A01B2C" w:rsidRDefault="00E81858" w:rsidP="003F15DD">
      <w:pPr>
        <w:pStyle w:val="ListParagraph"/>
        <w:widowControl w:val="0"/>
        <w:numPr>
          <w:ilvl w:val="0"/>
          <w:numId w:val="14"/>
        </w:numPr>
        <w:autoSpaceDE w:val="0"/>
        <w:autoSpaceDN w:val="0"/>
        <w:adjustRightInd w:val="0"/>
        <w:spacing w:after="240"/>
      </w:pPr>
      <w:r>
        <w:rPr>
          <w:rFonts w:ascii="Calibri" w:hAnsi="Calibri" w:cs="Calibri"/>
          <w:color w:val="000000"/>
        </w:rPr>
        <w:t xml:space="preserve">Indigenous Australians with kidney disease are more reliant on dialysis and less likely to receive a transplant than non-Indigenous Australians. </w:t>
      </w:r>
    </w:p>
    <w:p w14:paraId="4E69B6C7" w14:textId="7B743BF3" w:rsidR="00A01B2C" w:rsidRPr="00123E29" w:rsidRDefault="00A01B2C" w:rsidP="003F15DD">
      <w:pPr>
        <w:pStyle w:val="ListParagraph"/>
        <w:widowControl w:val="0"/>
        <w:numPr>
          <w:ilvl w:val="0"/>
          <w:numId w:val="14"/>
        </w:numPr>
        <w:autoSpaceDE w:val="0"/>
        <w:autoSpaceDN w:val="0"/>
        <w:adjustRightInd w:val="0"/>
        <w:spacing w:after="240"/>
      </w:pPr>
      <w:r w:rsidRPr="004C06BF">
        <w:t>I</w:t>
      </w:r>
      <w:r>
        <w:t>ndigenous patients</w:t>
      </w:r>
      <w:r w:rsidRPr="004C06BF">
        <w:t xml:space="preserve"> are 10 times less likely than non-Indigenous patients to be added to the waiting list for a kidney donation transplant. </w:t>
      </w:r>
    </w:p>
    <w:p w14:paraId="3BB71B16" w14:textId="2E9866C8" w:rsidR="00E81858" w:rsidRPr="00A01B2C" w:rsidRDefault="00E81858" w:rsidP="003F15DD">
      <w:pPr>
        <w:pStyle w:val="ListParagraph"/>
        <w:numPr>
          <w:ilvl w:val="0"/>
          <w:numId w:val="14"/>
        </w:numPr>
        <w:autoSpaceDE w:val="0"/>
        <w:autoSpaceDN w:val="0"/>
        <w:adjustRightInd w:val="0"/>
      </w:pPr>
      <w:r w:rsidRPr="00A01B2C">
        <w:rPr>
          <w:rFonts w:cs="Calibri"/>
          <w:color w:val="000000"/>
        </w:rPr>
        <w:t xml:space="preserve">In 2017 </w:t>
      </w:r>
      <w:r w:rsidRPr="00A01B2C">
        <w:t>87% of Indigenous Australians with kidney disease were reliant on dialysis and 13% had received a kidney transplant, in comparison to 49 percent and 51% respectively in the non-Indigenous population</w:t>
      </w:r>
      <w:r w:rsidR="00BE505F">
        <w:t>.</w:t>
      </w:r>
      <w:r w:rsidR="007746C3">
        <w:rPr>
          <w:rStyle w:val="EndnoteReference"/>
        </w:rPr>
        <w:endnoteReference w:id="145"/>
      </w:r>
    </w:p>
    <w:p w14:paraId="03C0CAC7" w14:textId="69C41DFC" w:rsidR="00103943" w:rsidRDefault="00A01B2C" w:rsidP="003F15DD">
      <w:pPr>
        <w:pStyle w:val="ListParagraph"/>
        <w:numPr>
          <w:ilvl w:val="0"/>
          <w:numId w:val="14"/>
        </w:numPr>
        <w:autoSpaceDE w:val="0"/>
        <w:autoSpaceDN w:val="0"/>
        <w:adjustRightInd w:val="0"/>
      </w:pPr>
      <w:r w:rsidRPr="00A01B2C">
        <w:rPr>
          <w:rFonts w:cs="Times"/>
        </w:rPr>
        <w:t xml:space="preserve">The incidence of </w:t>
      </w:r>
      <w:r w:rsidR="00C73444">
        <w:rPr>
          <w:rFonts w:cs="Times"/>
        </w:rPr>
        <w:t>ESKD</w:t>
      </w:r>
      <w:r w:rsidRPr="00A01B2C">
        <w:rPr>
          <w:rFonts w:cs="Times"/>
        </w:rPr>
        <w:t xml:space="preserve"> for Indigenous peoples in remote areas of Australia is 18-20 times higher than that of comparable non-Indigenous peoples. Despite this </w:t>
      </w:r>
      <w:r w:rsidR="00C73444">
        <w:t>o</w:t>
      </w:r>
      <w:r w:rsidRPr="00A01B2C">
        <w:t>nly 241 of 10,551 patients with a functioning kidney transplant are Indigenous.</w:t>
      </w:r>
      <w:r w:rsidRPr="00A01B2C">
        <w:rPr>
          <w:rStyle w:val="EndnoteReference"/>
        </w:rPr>
        <w:endnoteReference w:id="146"/>
      </w:r>
    </w:p>
    <w:p w14:paraId="3E1A55BF" w14:textId="711280AD" w:rsidR="004960CB" w:rsidRDefault="00103943" w:rsidP="003F15DD">
      <w:pPr>
        <w:pStyle w:val="ListParagraph"/>
        <w:numPr>
          <w:ilvl w:val="0"/>
          <w:numId w:val="14"/>
        </w:numPr>
        <w:autoSpaceDE w:val="0"/>
        <w:autoSpaceDN w:val="0"/>
        <w:adjustRightInd w:val="0"/>
      </w:pPr>
      <w:r w:rsidRPr="00103943">
        <w:t>In remote areas, 78% of patients have to relocate to access dialysis or transplant services, compared with 39% of those who live in rural areas and 15% of urban Indigenous ESKD patients</w:t>
      </w:r>
      <w:r w:rsidR="00BE505F">
        <w:t>.</w:t>
      </w:r>
      <w:r w:rsidR="00496D51">
        <w:rPr>
          <w:rStyle w:val="EndnoteReference"/>
        </w:rPr>
        <w:endnoteReference w:id="147"/>
      </w:r>
    </w:p>
    <w:p w14:paraId="0C302F32" w14:textId="18A1532E" w:rsidR="00103943" w:rsidRPr="00103943" w:rsidRDefault="00103943" w:rsidP="003F15DD">
      <w:pPr>
        <w:pStyle w:val="ListParagraph"/>
        <w:numPr>
          <w:ilvl w:val="0"/>
          <w:numId w:val="14"/>
        </w:numPr>
        <w:autoSpaceDE w:val="0"/>
        <w:autoSpaceDN w:val="0"/>
        <w:adjustRightInd w:val="0"/>
      </w:pPr>
      <w:r w:rsidRPr="00103943">
        <w:t>Separation from country creates significant biological, psychological, social and economic consequences on the health and wellbeing of consumers, their families, communities the wider health and welfare system. At present, there is inadequate support for Aboriginal and Torres Strait Islander patients to assist and support the renal pathway journey, including emotional and social support.</w:t>
      </w:r>
    </w:p>
    <w:p w14:paraId="2639E15E" w14:textId="77777777" w:rsidR="00103943" w:rsidRDefault="00103943" w:rsidP="00A4601A">
      <w:pPr>
        <w:autoSpaceDE w:val="0"/>
        <w:autoSpaceDN w:val="0"/>
        <w:adjustRightInd w:val="0"/>
      </w:pPr>
    </w:p>
    <w:p w14:paraId="509C5BA7" w14:textId="2E6687C0" w:rsidR="0082027F" w:rsidRDefault="00E81858" w:rsidP="00FF0819">
      <w:pPr>
        <w:ind w:right="96"/>
        <w:contextualSpacing/>
        <w:rPr>
          <w:rFonts w:cstheme="minorHAnsi"/>
          <w:bCs/>
          <w:lang w:val="en-US"/>
        </w:rPr>
      </w:pPr>
      <w:r>
        <w:rPr>
          <w:rFonts w:cstheme="minorHAnsi"/>
          <w:bCs/>
          <w:lang w:val="en-US"/>
        </w:rPr>
        <w:t xml:space="preserve">The </w:t>
      </w:r>
      <w:r w:rsidRPr="00B426D5">
        <w:rPr>
          <w:rFonts w:cstheme="minorHAnsi"/>
          <w:bCs/>
          <w:i/>
          <w:lang w:val="en-US"/>
        </w:rPr>
        <w:t xml:space="preserve">Renal Roadmap for </w:t>
      </w:r>
      <w:r>
        <w:rPr>
          <w:rFonts w:cstheme="minorHAnsi"/>
          <w:bCs/>
          <w:i/>
          <w:lang w:val="en-US"/>
        </w:rPr>
        <w:t xml:space="preserve">Aboriginal and Torres Strait Islander </w:t>
      </w:r>
      <w:r w:rsidRPr="00B426D5">
        <w:rPr>
          <w:rFonts w:cstheme="minorHAnsi"/>
          <w:bCs/>
          <w:i/>
          <w:lang w:val="en-US"/>
        </w:rPr>
        <w:t>Health</w:t>
      </w:r>
      <w:r>
        <w:rPr>
          <w:rFonts w:cstheme="minorHAnsi"/>
          <w:bCs/>
          <w:lang w:val="en-US"/>
        </w:rPr>
        <w:t xml:space="preserve"> was developed in 2018 to address to enormous burden of kidney disease on </w:t>
      </w:r>
      <w:r w:rsidR="004B44DD">
        <w:rPr>
          <w:rFonts w:cstheme="minorHAnsi"/>
          <w:bCs/>
          <w:lang w:val="en-US"/>
        </w:rPr>
        <w:t>Aboriginal and Torres Strait Island</w:t>
      </w:r>
      <w:r w:rsidR="00496D51">
        <w:rPr>
          <w:rFonts w:cstheme="minorHAnsi"/>
          <w:bCs/>
          <w:lang w:val="en-US"/>
        </w:rPr>
        <w:t xml:space="preserve">er </w:t>
      </w:r>
      <w:r>
        <w:rPr>
          <w:rFonts w:cstheme="minorHAnsi"/>
          <w:bCs/>
          <w:lang w:val="en-US"/>
        </w:rPr>
        <w:t>communities. The Roadmap is the blueprint for a comprehensive, coordinated and sustained multi-sectoral campaign that addresses the social determinants underpinning the disproportionate burden of CKD on Indigenous communities.</w:t>
      </w:r>
      <w:r w:rsidR="001F49F4">
        <w:rPr>
          <w:rFonts w:cstheme="minorHAnsi"/>
          <w:bCs/>
          <w:lang w:val="en-US"/>
        </w:rPr>
        <w:t xml:space="preserve"> </w:t>
      </w:r>
      <w:r>
        <w:rPr>
          <w:rFonts w:cstheme="minorHAnsi"/>
          <w:bCs/>
          <w:lang w:val="en-US"/>
        </w:rPr>
        <w:t>The Roadmap focuses on five domains</w:t>
      </w:r>
      <w:r w:rsidR="004960CB">
        <w:rPr>
          <w:rFonts w:cstheme="minorHAnsi"/>
          <w:bCs/>
          <w:lang w:val="en-US"/>
        </w:rPr>
        <w:t>:</w:t>
      </w:r>
    </w:p>
    <w:p w14:paraId="2E7298D5" w14:textId="77777777" w:rsidR="00171265" w:rsidRDefault="00171265" w:rsidP="00FF0819">
      <w:pPr>
        <w:ind w:right="96"/>
        <w:contextualSpacing/>
        <w:rPr>
          <w:rFonts w:cstheme="minorHAnsi"/>
          <w:bCs/>
          <w:lang w:val="en-US"/>
        </w:rPr>
      </w:pPr>
    </w:p>
    <w:p w14:paraId="55745B8C" w14:textId="77777777" w:rsidR="00B019B2" w:rsidRDefault="00B019B2" w:rsidP="00FF0819">
      <w:pPr>
        <w:ind w:right="96"/>
        <w:contextualSpacing/>
        <w:rPr>
          <w:rFonts w:cstheme="minorHAnsi"/>
          <w:bCs/>
          <w:lang w:val="en-US"/>
        </w:rPr>
      </w:pPr>
    </w:p>
    <w:p w14:paraId="43848DE9" w14:textId="77777777" w:rsidR="00E81858" w:rsidRPr="00080318" w:rsidRDefault="00E81858" w:rsidP="003F15DD">
      <w:pPr>
        <w:pStyle w:val="ListParagraph"/>
        <w:numPr>
          <w:ilvl w:val="0"/>
          <w:numId w:val="2"/>
        </w:numPr>
        <w:ind w:right="96"/>
        <w:rPr>
          <w:rFonts w:cstheme="minorHAnsi"/>
          <w:bCs/>
          <w:lang w:val="en-US"/>
        </w:rPr>
      </w:pPr>
      <w:r w:rsidRPr="00080318">
        <w:rPr>
          <w:rFonts w:cstheme="minorHAnsi"/>
          <w:bCs/>
          <w:lang w:val="en-US"/>
        </w:rPr>
        <w:lastRenderedPageBreak/>
        <w:t>Primordial Prevention</w:t>
      </w:r>
    </w:p>
    <w:p w14:paraId="4F44EB93" w14:textId="77777777" w:rsidR="00E81858" w:rsidRPr="00080318" w:rsidRDefault="00E81858" w:rsidP="003F15DD">
      <w:pPr>
        <w:pStyle w:val="ListParagraph"/>
        <w:numPr>
          <w:ilvl w:val="0"/>
          <w:numId w:val="2"/>
        </w:numPr>
        <w:ind w:right="96"/>
        <w:rPr>
          <w:rFonts w:cstheme="minorHAnsi"/>
          <w:bCs/>
          <w:lang w:val="en-US"/>
        </w:rPr>
      </w:pPr>
      <w:r w:rsidRPr="00080318">
        <w:rPr>
          <w:rFonts w:cstheme="minorHAnsi"/>
          <w:bCs/>
          <w:lang w:val="en-US"/>
        </w:rPr>
        <w:t>Primary Prevention</w:t>
      </w:r>
    </w:p>
    <w:p w14:paraId="220E4EA1" w14:textId="77777777" w:rsidR="00E81858" w:rsidRPr="00080318" w:rsidRDefault="00E81858" w:rsidP="003F15DD">
      <w:pPr>
        <w:pStyle w:val="ListParagraph"/>
        <w:numPr>
          <w:ilvl w:val="0"/>
          <w:numId w:val="2"/>
        </w:numPr>
        <w:ind w:right="96"/>
        <w:rPr>
          <w:rFonts w:cstheme="minorHAnsi"/>
          <w:bCs/>
          <w:lang w:val="en-US"/>
        </w:rPr>
      </w:pPr>
      <w:r w:rsidRPr="00080318">
        <w:rPr>
          <w:rFonts w:cstheme="minorHAnsi"/>
          <w:bCs/>
          <w:lang w:val="en-US"/>
        </w:rPr>
        <w:t>Primary Healthcare, including secondary and tertiary prevention</w:t>
      </w:r>
    </w:p>
    <w:p w14:paraId="19EB435E" w14:textId="77777777" w:rsidR="00E81858" w:rsidRPr="00080318" w:rsidRDefault="00E81858" w:rsidP="003F15DD">
      <w:pPr>
        <w:pStyle w:val="ListParagraph"/>
        <w:numPr>
          <w:ilvl w:val="0"/>
          <w:numId w:val="2"/>
        </w:numPr>
        <w:ind w:right="96"/>
        <w:rPr>
          <w:rFonts w:cstheme="minorHAnsi"/>
          <w:bCs/>
          <w:lang w:val="en-US"/>
        </w:rPr>
      </w:pPr>
      <w:r w:rsidRPr="00080318">
        <w:rPr>
          <w:rFonts w:cstheme="minorHAnsi"/>
          <w:bCs/>
          <w:lang w:val="en-US"/>
        </w:rPr>
        <w:t>Tertiary Health Care</w:t>
      </w:r>
    </w:p>
    <w:p w14:paraId="71842E8F" w14:textId="77777777" w:rsidR="00E81858" w:rsidRDefault="00E81858" w:rsidP="003F15DD">
      <w:pPr>
        <w:pStyle w:val="ListParagraph"/>
        <w:numPr>
          <w:ilvl w:val="0"/>
          <w:numId w:val="2"/>
        </w:numPr>
        <w:ind w:right="96"/>
        <w:rPr>
          <w:rFonts w:cstheme="minorHAnsi"/>
          <w:bCs/>
          <w:lang w:val="en-US"/>
        </w:rPr>
      </w:pPr>
      <w:r w:rsidRPr="00080318">
        <w:rPr>
          <w:rFonts w:cstheme="minorHAnsi"/>
          <w:bCs/>
          <w:lang w:val="en-US"/>
        </w:rPr>
        <w:t>Research and Data</w:t>
      </w:r>
    </w:p>
    <w:p w14:paraId="58BFEC82" w14:textId="77777777" w:rsidR="004B44DD" w:rsidRDefault="004B44DD" w:rsidP="005F370C">
      <w:pPr>
        <w:rPr>
          <w:rFonts w:ascii="Calibri" w:hAnsi="Calibri" w:cs="Calibri"/>
          <w:b/>
          <w:color w:val="000000"/>
          <w:highlight w:val="yellow"/>
        </w:rPr>
      </w:pPr>
    </w:p>
    <w:p w14:paraId="34BC2F6B" w14:textId="13057C20" w:rsidR="0082027F" w:rsidRDefault="007746C3" w:rsidP="00C35F77">
      <w:r>
        <w:t>The TSANZ Improving Access to and Outcomes of Kidney Transplantation for Aboriginal and Torres Strait Islander People in Australia was commissioned to examine available evidence around</w:t>
      </w:r>
      <w:r w:rsidR="00894F66">
        <w:t>:</w:t>
      </w:r>
    </w:p>
    <w:p w14:paraId="54778362" w14:textId="77777777" w:rsidR="00B019B2" w:rsidRDefault="00B019B2" w:rsidP="00C35F77"/>
    <w:p w14:paraId="6DE0A6D8" w14:textId="780CA639" w:rsidR="007746C3" w:rsidRPr="007746C3" w:rsidRDefault="007746C3" w:rsidP="003F15DD">
      <w:pPr>
        <w:pStyle w:val="ListParagraph"/>
        <w:numPr>
          <w:ilvl w:val="0"/>
          <w:numId w:val="27"/>
        </w:numPr>
      </w:pPr>
      <w:r w:rsidRPr="007746C3">
        <w:t xml:space="preserve">Evidence and gaps around steps to </w:t>
      </w:r>
      <w:proofErr w:type="spellStart"/>
      <w:r w:rsidRPr="007746C3">
        <w:t>waitlisting</w:t>
      </w:r>
      <w:proofErr w:type="spellEnd"/>
      <w:r w:rsidRPr="007746C3">
        <w:t xml:space="preserve"> and to long term transplant function</w:t>
      </w:r>
    </w:p>
    <w:p w14:paraId="130F66DB" w14:textId="77777777" w:rsidR="007746C3" w:rsidRPr="007746C3" w:rsidRDefault="007746C3" w:rsidP="003F15DD">
      <w:pPr>
        <w:pStyle w:val="ListParagraph"/>
        <w:numPr>
          <w:ilvl w:val="0"/>
          <w:numId w:val="27"/>
        </w:numPr>
      </w:pPr>
      <w:r w:rsidRPr="007746C3">
        <w:t>Improving Indigenous dialysis patients’ health to improve their capacity to be listed</w:t>
      </w:r>
    </w:p>
    <w:p w14:paraId="76A93F84" w14:textId="2948808B" w:rsidR="007746C3" w:rsidRPr="001F49F4" w:rsidRDefault="007746C3" w:rsidP="003F15DD">
      <w:pPr>
        <w:pStyle w:val="ListParagraph"/>
        <w:numPr>
          <w:ilvl w:val="0"/>
          <w:numId w:val="27"/>
        </w:numPr>
        <w:rPr>
          <w:rFonts w:cs="Calibri"/>
          <w:color w:val="000000"/>
        </w:rPr>
      </w:pPr>
      <w:r w:rsidRPr="007746C3">
        <w:t>Measures to address these gaps</w:t>
      </w:r>
      <w:r w:rsidR="00894F66">
        <w:t>.</w:t>
      </w:r>
    </w:p>
    <w:p w14:paraId="52D04C30" w14:textId="77777777" w:rsidR="001F49F4" w:rsidRPr="007746C3" w:rsidRDefault="001F49F4" w:rsidP="001F49F4">
      <w:pPr>
        <w:pStyle w:val="ListParagraph"/>
        <w:ind w:left="360"/>
        <w:rPr>
          <w:rFonts w:cs="Calibri"/>
          <w:color w:val="000000"/>
        </w:rPr>
      </w:pPr>
    </w:p>
    <w:p w14:paraId="34F4153D" w14:textId="3273F111" w:rsidR="00C35F77" w:rsidRDefault="001F49F4" w:rsidP="00C35F77">
      <w:pPr>
        <w:rPr>
          <w:rFonts w:ascii="Calibri" w:hAnsi="Calibri" w:cs="Calibri"/>
          <w:color w:val="000000"/>
        </w:rPr>
      </w:pPr>
      <w:r>
        <w:rPr>
          <w:rFonts w:ascii="Calibri" w:hAnsi="Calibri" w:cs="Calibri"/>
          <w:color w:val="000000"/>
        </w:rPr>
        <w:t>The report includes 35 recommendations, with the three nominated highest priority being</w:t>
      </w:r>
      <w:r w:rsidR="00894F66">
        <w:rPr>
          <w:rFonts w:ascii="Calibri" w:hAnsi="Calibri" w:cs="Calibri"/>
          <w:color w:val="000000"/>
        </w:rPr>
        <w:t>:</w:t>
      </w:r>
    </w:p>
    <w:p w14:paraId="24F3E0CF" w14:textId="77777777" w:rsidR="0082027F" w:rsidRDefault="0082027F" w:rsidP="00C35F77">
      <w:pPr>
        <w:rPr>
          <w:rFonts w:ascii="Calibri" w:hAnsi="Calibri" w:cs="Calibri"/>
          <w:color w:val="000000"/>
        </w:rPr>
      </w:pPr>
    </w:p>
    <w:p w14:paraId="1E0A1E09" w14:textId="65E9F2AC" w:rsidR="001F49F4" w:rsidRPr="001F49F4" w:rsidRDefault="001F49F4" w:rsidP="003F15DD">
      <w:pPr>
        <w:pStyle w:val="ListParagraph"/>
        <w:numPr>
          <w:ilvl w:val="0"/>
          <w:numId w:val="26"/>
        </w:numPr>
        <w:rPr>
          <w:rFonts w:ascii="Calibri" w:hAnsi="Calibri" w:cs="Calibri"/>
          <w:color w:val="000000"/>
        </w:rPr>
      </w:pPr>
      <w:r w:rsidRPr="001F49F4">
        <w:rPr>
          <w:rFonts w:ascii="Calibri" w:hAnsi="Calibri" w:cs="Calibri"/>
          <w:color w:val="000000"/>
        </w:rPr>
        <w:t>Establishing a resourced National Indigenous Kidney Transplantation Taskforce</w:t>
      </w:r>
    </w:p>
    <w:p w14:paraId="0458E2B7" w14:textId="5139AB00" w:rsidR="001F49F4" w:rsidRPr="001F49F4" w:rsidRDefault="001F49F4" w:rsidP="003F15DD">
      <w:pPr>
        <w:pStyle w:val="ListParagraph"/>
        <w:numPr>
          <w:ilvl w:val="0"/>
          <w:numId w:val="26"/>
        </w:numPr>
        <w:rPr>
          <w:rFonts w:ascii="Calibri" w:hAnsi="Calibri" w:cs="Calibri"/>
          <w:color w:val="000000"/>
        </w:rPr>
      </w:pPr>
      <w:r w:rsidRPr="001F49F4">
        <w:rPr>
          <w:rFonts w:ascii="Calibri" w:hAnsi="Calibri" w:cs="Calibri"/>
          <w:color w:val="000000"/>
        </w:rPr>
        <w:t>Enhancing data collection and reporting processes on pre- and post-transplant outcomes</w:t>
      </w:r>
    </w:p>
    <w:p w14:paraId="3F22AAB1" w14:textId="64229720" w:rsidR="00FD2F4B" w:rsidRDefault="001F49F4" w:rsidP="006E03C1">
      <w:pPr>
        <w:pStyle w:val="ListParagraph"/>
        <w:numPr>
          <w:ilvl w:val="0"/>
          <w:numId w:val="26"/>
        </w:numPr>
      </w:pPr>
      <w:r w:rsidRPr="001F49F4">
        <w:rPr>
          <w:rFonts w:ascii="Calibri" w:hAnsi="Calibri" w:cs="Calibri"/>
          <w:color w:val="000000"/>
        </w:rPr>
        <w:t>Improving the equity and accessibility of transplantation for Indigenous patients</w:t>
      </w:r>
      <w:r w:rsidR="006E03C1">
        <w:rPr>
          <w:rFonts w:ascii="Calibri" w:hAnsi="Calibri" w:cs="Calibri"/>
          <w:color w:val="000000"/>
        </w:rPr>
        <w:t>.</w:t>
      </w:r>
      <w:r w:rsidR="006E03C1">
        <w:t xml:space="preserve"> </w:t>
      </w:r>
      <w:r w:rsidR="00FD2F4B">
        <w:br w:type="page"/>
      </w:r>
    </w:p>
    <w:p w14:paraId="10912485" w14:textId="203F69E3" w:rsidR="00E81858" w:rsidRPr="00FF54C9" w:rsidRDefault="00E81858" w:rsidP="00FB7CC4">
      <w:pPr>
        <w:pStyle w:val="Heading2"/>
        <w:rPr>
          <w:color w:val="C00000"/>
          <w:szCs w:val="28"/>
        </w:rPr>
      </w:pPr>
      <w:r w:rsidRPr="00FF54C9">
        <w:rPr>
          <w:color w:val="C00000"/>
          <w:szCs w:val="28"/>
        </w:rPr>
        <w:lastRenderedPageBreak/>
        <w:t>Priority 3</w:t>
      </w:r>
      <w:r w:rsidR="00A770F6" w:rsidRPr="00FF54C9">
        <w:rPr>
          <w:color w:val="C00000"/>
          <w:szCs w:val="28"/>
        </w:rPr>
        <w:t>.</w:t>
      </w:r>
      <w:r w:rsidR="00834BD6" w:rsidRPr="00FF54C9">
        <w:rPr>
          <w:color w:val="C00000"/>
          <w:szCs w:val="28"/>
        </w:rPr>
        <w:t xml:space="preserve"> </w:t>
      </w:r>
      <w:r w:rsidRPr="00FF54C9">
        <w:rPr>
          <w:color w:val="C00000"/>
          <w:szCs w:val="28"/>
        </w:rPr>
        <w:t>Research and Data</w:t>
      </w:r>
    </w:p>
    <w:p w14:paraId="5E69AA1C" w14:textId="77777777" w:rsidR="00E81858" w:rsidRDefault="00E81858" w:rsidP="00B31B00"/>
    <w:p w14:paraId="16AFD01D" w14:textId="12C7D19C" w:rsidR="00E81858" w:rsidRPr="00FF54C9" w:rsidRDefault="00E81858" w:rsidP="00FB7CC4">
      <w:pPr>
        <w:pStyle w:val="Heading3"/>
        <w:rPr>
          <w:sz w:val="24"/>
        </w:rPr>
      </w:pPr>
      <w:r w:rsidRPr="00FF54C9">
        <w:rPr>
          <w:color w:val="C00000"/>
          <w:sz w:val="24"/>
        </w:rPr>
        <w:t>3.1 Establish a well-funded collaborative kidney research program to increase strategic research investment, foster cross collaboration and translate cutting edge research into real world outcomes</w:t>
      </w:r>
    </w:p>
    <w:p w14:paraId="546A82CD" w14:textId="77777777" w:rsidR="002F34C3" w:rsidRDefault="002F34C3" w:rsidP="00B31B00"/>
    <w:p w14:paraId="3E581BF7" w14:textId="770D4DB1" w:rsidR="00E81858" w:rsidRDefault="001845A7" w:rsidP="00B31B00">
      <w:r w:rsidRPr="00377C11">
        <w:t>The relative level of support flowing to kidney research has never matched the expenditure devoted to treating kidney disease. This continues to be true with the National Health and Medical Research Council (NHMRC) allocating about 1 percent of its funds to the kidney area when it consumes about 2 perc</w:t>
      </w:r>
      <w:r w:rsidR="00377C11" w:rsidRPr="00377C11">
        <w:t>ent of the total health budget</w:t>
      </w:r>
      <w:r w:rsidR="00633166">
        <w:t xml:space="preserve">. </w:t>
      </w:r>
      <w:r w:rsidR="00512AE5">
        <w:t>The r</w:t>
      </w:r>
      <w:r w:rsidR="00512AE5" w:rsidRPr="00C03288">
        <w:t xml:space="preserve">ates for CKD as the underlying and/or associated cause of death remained relatively stable </w:t>
      </w:r>
      <w:r w:rsidR="00512AE5">
        <w:t>for over twenty years.</w:t>
      </w:r>
      <w:r w:rsidR="00871910">
        <w:rPr>
          <w:rStyle w:val="EndnoteReference"/>
        </w:rPr>
        <w:endnoteReference w:id="148"/>
      </w:r>
      <w:r w:rsidR="00512AE5">
        <w:rPr>
          <w:rFonts w:ascii="Calibri" w:hAnsi="Calibri" w:cs="Calibri"/>
          <w:color w:val="35393A"/>
          <w:szCs w:val="20"/>
        </w:rPr>
        <w:t xml:space="preserve"> </w:t>
      </w:r>
      <w:r w:rsidRPr="00377C11">
        <w:t>Without improved research outcomes, this cost is simply going to grow.</w:t>
      </w:r>
      <w:r w:rsidR="00512AE5">
        <w:t xml:space="preserve"> </w:t>
      </w:r>
      <w:r w:rsidR="00377C11">
        <w:t xml:space="preserve">The benefits of </w:t>
      </w:r>
      <w:r w:rsidR="001F6A98">
        <w:t xml:space="preserve">targeted investment are evident in other diseases. </w:t>
      </w:r>
      <w:r w:rsidR="00377C11">
        <w:t>Funding for cancer research has increased steadily over the past several decades,</w:t>
      </w:r>
      <w:r w:rsidR="00377C11">
        <w:rPr>
          <w:rStyle w:val="EndnoteReference"/>
        </w:rPr>
        <w:endnoteReference w:id="149"/>
      </w:r>
      <w:r w:rsidR="00377C11">
        <w:t xml:space="preserve"> and there have been associated improvements in survival rates across a number</w:t>
      </w:r>
      <w:r w:rsidR="00633166">
        <w:t xml:space="preserve"> </w:t>
      </w:r>
      <w:r w:rsidR="00377C11">
        <w:t>of cancers, including breast and prostate cancers.</w:t>
      </w:r>
      <w:r w:rsidR="00377C11">
        <w:rPr>
          <w:rStyle w:val="EndnoteReference"/>
        </w:rPr>
        <w:endnoteReference w:id="150"/>
      </w:r>
      <w:r w:rsidR="00377C11" w:rsidRPr="00B825C3">
        <w:rPr>
          <w:rStyle w:val="EndnoteReference"/>
        </w:rPr>
        <w:t>,</w:t>
      </w:r>
      <w:r w:rsidR="00377C11">
        <w:rPr>
          <w:rStyle w:val="EndnoteReference"/>
        </w:rPr>
        <w:endnoteReference w:id="151"/>
      </w:r>
      <w:r w:rsidR="00512AE5">
        <w:rPr>
          <w:rFonts w:ascii="Calibri" w:hAnsi="Calibri" w:cs="Calibri"/>
          <w:color w:val="35393A"/>
          <w:szCs w:val="20"/>
        </w:rPr>
        <w:t xml:space="preserve"> </w:t>
      </w:r>
      <w:r w:rsidR="00512AE5" w:rsidRPr="00512AE5">
        <w:t>Kidney di</w:t>
      </w:r>
      <w:r w:rsidR="00AD6942">
        <w:t xml:space="preserve">sease requires this same targeted </w:t>
      </w:r>
      <w:r w:rsidR="00512AE5" w:rsidRPr="00512AE5">
        <w:t>investment.</w:t>
      </w:r>
    </w:p>
    <w:p w14:paraId="6547098D" w14:textId="77777777" w:rsidR="00E81858" w:rsidRDefault="00E81858" w:rsidP="00B31B00"/>
    <w:p w14:paraId="4454CFFB" w14:textId="74915266" w:rsidR="00E81858" w:rsidRPr="00A25881" w:rsidRDefault="0072052D" w:rsidP="00735AF3">
      <w:pPr>
        <w:pStyle w:val="KidneyBodyBold"/>
      </w:pPr>
      <w:r>
        <w:t>Consumer voices</w:t>
      </w:r>
    </w:p>
    <w:p w14:paraId="662A18AC" w14:textId="263334D5" w:rsidR="00EC60B5" w:rsidRDefault="00E81858" w:rsidP="00DA108B">
      <w:pPr>
        <w:widowControl w:val="0"/>
        <w:autoSpaceDE w:val="0"/>
        <w:autoSpaceDN w:val="0"/>
        <w:adjustRightInd w:val="0"/>
        <w:spacing w:after="240"/>
      </w:pPr>
      <w:r w:rsidRPr="00601E63">
        <w:t>Internationally there is growing recognition of the importance of patient led research.</w:t>
      </w:r>
      <w:r>
        <w:t xml:space="preserve"> </w:t>
      </w:r>
      <w:r w:rsidRPr="00601E63">
        <w:t>Despite this, Australia lags behind on integrating consumer engagement into health and medical research</w:t>
      </w:r>
      <w:r>
        <w:t>.</w:t>
      </w:r>
      <w:r>
        <w:rPr>
          <w:rStyle w:val="EndnoteReference"/>
        </w:rPr>
        <w:endnoteReference w:id="152"/>
      </w:r>
      <w:r>
        <w:t xml:space="preserve"> While consumers may participate in clinical trials, a review of health and medical research in Australia identified a need leadership to ensure meaningful consumer involvement in the early stages of research, such as identifying and shaping research topics.</w:t>
      </w:r>
      <w:r>
        <w:rPr>
          <w:rStyle w:val="EndnoteReference"/>
        </w:rPr>
        <w:endnoteReference w:id="153"/>
      </w:r>
      <w:r>
        <w:t xml:space="preserve">  </w:t>
      </w:r>
      <w:r w:rsidR="00822252">
        <w:t xml:space="preserve">The need for increased consumer engagement in research is reflected in the </w:t>
      </w:r>
      <w:r w:rsidR="00822252" w:rsidRPr="00822252">
        <w:t>Australian Medical Research and Innovation Priorities 2018-2020, which includes “consumer driven research” The priority recommends establishing programs “that can pair researchers</w:t>
      </w:r>
      <w:r w:rsidR="00822252" w:rsidRPr="00C17185">
        <w:rPr>
          <w:rFonts w:eastAsia="Times New Roman" w:cs="Calibri"/>
        </w:rPr>
        <w:t xml:space="preserve"> to consumers, carers and clinicians and through a joint priority setting methodology design grant opportunities that enable consumer-driven targeted research”</w:t>
      </w:r>
      <w:r w:rsidR="00822252">
        <w:rPr>
          <w:rFonts w:ascii="Times" w:hAnsi="Times" w:cs="Times"/>
          <w:sz w:val="24"/>
          <w:szCs w:val="24"/>
          <w:lang w:val="en-US"/>
        </w:rPr>
        <w:t xml:space="preserve"> </w:t>
      </w:r>
      <w:r>
        <w:t>This approach underpins Canada’s CAN Solve CKD program, a patient oriented kidney research network that has set key kidney research priorities and funded 18 patient centred research projects</w:t>
      </w:r>
      <w:r w:rsidR="00822252">
        <w:t>.</w:t>
      </w:r>
      <w:r>
        <w:rPr>
          <w:rStyle w:val="EndnoteReference"/>
        </w:rPr>
        <w:endnoteReference w:id="154"/>
      </w:r>
      <w:r w:rsidR="00822252">
        <w:t xml:space="preserve"> </w:t>
      </w:r>
    </w:p>
    <w:p w14:paraId="49AFCDA8" w14:textId="289DD8C2" w:rsidR="00AD6942" w:rsidRDefault="00AD6942" w:rsidP="00DA108B">
      <w:pPr>
        <w:widowControl w:val="0"/>
        <w:autoSpaceDE w:val="0"/>
        <w:autoSpaceDN w:val="0"/>
        <w:adjustRightInd w:val="0"/>
        <w:spacing w:after="240"/>
      </w:pPr>
      <w:r>
        <w:t xml:space="preserve">There have been significant advances in bringing the consumer voice to CKD research in Australia over the past </w:t>
      </w:r>
      <w:r w:rsidR="00905EC9">
        <w:t>10</w:t>
      </w:r>
      <w:r>
        <w:t xml:space="preserve"> years. </w:t>
      </w:r>
      <w:r w:rsidR="00905EC9">
        <w:t>In 2014 Kidney Health Australia held a consumer workshop to explore research priorities in kidney disease</w:t>
      </w:r>
      <w:r w:rsidR="002E4DE3">
        <w:rPr>
          <w:rStyle w:val="EndnoteReference"/>
        </w:rPr>
        <w:endnoteReference w:id="155"/>
      </w:r>
      <w:r w:rsidR="00905EC9">
        <w:t xml:space="preserve">. Subsequently, </w:t>
      </w:r>
      <w:r w:rsidR="00593A6F">
        <w:t>Better Evidence and Translation in Chronic Kidney Disease (</w:t>
      </w:r>
      <w:r w:rsidR="00905EC9">
        <w:t>BEAT-CKD</w:t>
      </w:r>
      <w:r w:rsidR="00593A6F">
        <w:t>)</w:t>
      </w:r>
      <w:r w:rsidR="00905EC9">
        <w:t xml:space="preserve"> in partnership with Kidney Health Australia have </w:t>
      </w:r>
      <w:r>
        <w:t xml:space="preserve">convened </w:t>
      </w:r>
      <w:r w:rsidR="00905EC9">
        <w:t xml:space="preserve">a series of consumer workshops </w:t>
      </w:r>
      <w:r w:rsidR="00773F51">
        <w:t>to discuss principles and strategies for patient involvement in research</w:t>
      </w:r>
      <w:r>
        <w:t xml:space="preserve"> </w:t>
      </w:r>
      <w:r w:rsidR="00773F51">
        <w:t>i</w:t>
      </w:r>
      <w:r>
        <w:t xml:space="preserve">dentified </w:t>
      </w:r>
      <w:r w:rsidR="00773F51">
        <w:t>a number of themes including</w:t>
      </w:r>
      <w:r w:rsidR="00633166">
        <w:t>:</w:t>
      </w:r>
    </w:p>
    <w:p w14:paraId="771C429D" w14:textId="17D2AED7" w:rsidR="00773F51" w:rsidRPr="00E206B9" w:rsidRDefault="00773F51" w:rsidP="00735AF3">
      <w:pPr>
        <w:pStyle w:val="ListBullet"/>
      </w:pPr>
      <w:r w:rsidRPr="00E206B9">
        <w:t xml:space="preserve">Respecting consumer expertise and commitment </w:t>
      </w:r>
      <w:r w:rsidR="00E206B9">
        <w:t>in research</w:t>
      </w:r>
    </w:p>
    <w:p w14:paraId="077C9B20" w14:textId="57960CF4" w:rsidR="00773F51" w:rsidRPr="00E206B9" w:rsidRDefault="00773F51" w:rsidP="00735AF3">
      <w:pPr>
        <w:pStyle w:val="ListBullet"/>
      </w:pPr>
      <w:r w:rsidRPr="00E206B9">
        <w:t>Being aware of the individual needs of consumers and reducing the burden of being involved</w:t>
      </w:r>
    </w:p>
    <w:p w14:paraId="435CFF14" w14:textId="5D9E4AB9" w:rsidR="00773F51" w:rsidRPr="00E206B9" w:rsidRDefault="00773F51" w:rsidP="00735AF3">
      <w:pPr>
        <w:pStyle w:val="ListBullet"/>
      </w:pPr>
      <w:r w:rsidRPr="00E206B9">
        <w:t>Harnessing existing relationships with clinicians and exposing consumers to clinical research</w:t>
      </w:r>
    </w:p>
    <w:p w14:paraId="0E8D3984" w14:textId="77777777" w:rsidR="00E206B9" w:rsidRDefault="00773F51" w:rsidP="00735AF3">
      <w:pPr>
        <w:pStyle w:val="ListBullet"/>
      </w:pPr>
      <w:r w:rsidRPr="00E206B9">
        <w:t>Developing a coordinated approach to ensure all voices are heard</w:t>
      </w:r>
      <w:r w:rsidR="00E206B9" w:rsidRPr="00E206B9">
        <w:t xml:space="preserve">, equitable access to information and </w:t>
      </w:r>
      <w:r w:rsidRPr="00E206B9">
        <w:t>opportunities to participate</w:t>
      </w:r>
    </w:p>
    <w:p w14:paraId="015BC8C4" w14:textId="68B4E66E" w:rsidR="00E206B9" w:rsidRDefault="00773F51" w:rsidP="00735AF3">
      <w:pPr>
        <w:pStyle w:val="ListBullet"/>
      </w:pPr>
      <w:r w:rsidRPr="00E206B9">
        <w:t>Fostering a patient centred culture</w:t>
      </w:r>
      <w:r w:rsidR="00C222CE">
        <w:t xml:space="preserve">, </w:t>
      </w:r>
      <w:r w:rsidR="00C222CE" w:rsidRPr="00905EC9">
        <w:rPr>
          <w:rFonts w:cstheme="minorHAnsi"/>
        </w:rPr>
        <w:t>with research a two-</w:t>
      </w:r>
      <w:r w:rsidR="00E206B9" w:rsidRPr="00905EC9">
        <w:rPr>
          <w:rFonts w:cstheme="minorHAnsi"/>
        </w:rPr>
        <w:t>way partnership between researchers and the kidney community.</w:t>
      </w:r>
      <w:r w:rsidR="00E206B9" w:rsidRPr="00905EC9">
        <w:rPr>
          <w:rStyle w:val="EndnoteReference"/>
          <w:rFonts w:cstheme="minorHAnsi"/>
        </w:rPr>
        <w:endnoteReference w:id="156"/>
      </w:r>
    </w:p>
    <w:p w14:paraId="2218889C" w14:textId="1528C3EC" w:rsidR="00735AF3" w:rsidRDefault="00735AF3" w:rsidP="00DA108B">
      <w:pPr>
        <w:pStyle w:val="Heading4"/>
        <w:rPr>
          <w:b/>
          <w:bCs/>
          <w:i w:val="0"/>
          <w:iCs w:val="0"/>
          <w:color w:val="7030A0"/>
        </w:rPr>
      </w:pPr>
    </w:p>
    <w:p w14:paraId="57F0F938" w14:textId="77777777" w:rsidR="002F34C3" w:rsidRPr="002F34C3" w:rsidRDefault="002F34C3" w:rsidP="002F34C3">
      <w:pPr>
        <w:rPr>
          <w:lang w:val="en-US"/>
        </w:rPr>
      </w:pPr>
    </w:p>
    <w:p w14:paraId="0E1363CB" w14:textId="5F2D0814" w:rsidR="00B31B00" w:rsidRPr="00FF54C9" w:rsidRDefault="00B31B00" w:rsidP="00D76415">
      <w:pPr>
        <w:pStyle w:val="Heading3"/>
        <w:rPr>
          <w:color w:val="C00000"/>
          <w:sz w:val="24"/>
        </w:rPr>
      </w:pPr>
      <w:r w:rsidRPr="00FF54C9">
        <w:rPr>
          <w:color w:val="C00000"/>
          <w:sz w:val="24"/>
        </w:rPr>
        <w:t>3.2</w:t>
      </w:r>
      <w:r w:rsidR="00A25881" w:rsidRPr="00FF54C9">
        <w:rPr>
          <w:color w:val="C00000"/>
          <w:sz w:val="24"/>
        </w:rPr>
        <w:t xml:space="preserve"> </w:t>
      </w:r>
      <w:r w:rsidRPr="00FF54C9">
        <w:rPr>
          <w:color w:val="C00000"/>
          <w:sz w:val="24"/>
        </w:rPr>
        <w:t>Use data, evidence and resea</w:t>
      </w:r>
      <w:r w:rsidR="00512926" w:rsidRPr="00FF54C9">
        <w:rPr>
          <w:color w:val="C00000"/>
          <w:sz w:val="24"/>
        </w:rPr>
        <w:t>rch to drive improvements in kidney disease</w:t>
      </w:r>
      <w:r w:rsidRPr="00FF54C9">
        <w:rPr>
          <w:color w:val="C00000"/>
          <w:sz w:val="24"/>
        </w:rPr>
        <w:t xml:space="preserve"> prevention, treatment and outcomes</w:t>
      </w:r>
    </w:p>
    <w:p w14:paraId="5424A274" w14:textId="77777777" w:rsidR="002F34C3" w:rsidRDefault="002F34C3" w:rsidP="00F73E35">
      <w:pPr>
        <w:contextualSpacing/>
        <w:rPr>
          <w:rFonts w:ascii="Calibri" w:hAnsi="Calibri" w:cs="Calibri"/>
          <w:lang w:val="en-US"/>
        </w:rPr>
      </w:pPr>
    </w:p>
    <w:p w14:paraId="0C85D67D" w14:textId="5295B3EE" w:rsidR="00C222CE" w:rsidRDefault="008F02CB" w:rsidP="00F73E35">
      <w:pPr>
        <w:contextualSpacing/>
        <w:rPr>
          <w:rFonts w:ascii="Calibri" w:hAnsi="Calibri" w:cs="Calibri"/>
          <w:lang w:val="en-US"/>
        </w:rPr>
      </w:pPr>
      <w:r w:rsidRPr="008F02CB">
        <w:rPr>
          <w:rFonts w:ascii="Calibri" w:hAnsi="Calibri" w:cs="Calibri"/>
          <w:lang w:val="en-US"/>
        </w:rPr>
        <w:t xml:space="preserve">Monitoring and evaluation are essential for measuring progress in </w:t>
      </w:r>
      <w:r w:rsidR="00954571">
        <w:rPr>
          <w:rFonts w:ascii="Calibri" w:hAnsi="Calibri" w:cs="Calibri"/>
          <w:lang w:val="en-US"/>
        </w:rPr>
        <w:t>kidney health</w:t>
      </w:r>
      <w:r w:rsidRPr="008F02CB">
        <w:rPr>
          <w:rFonts w:ascii="Calibri" w:hAnsi="Calibri" w:cs="Calibri"/>
          <w:lang w:val="en-US"/>
        </w:rPr>
        <w:t xml:space="preserve">. </w:t>
      </w:r>
      <w:r w:rsidR="00DE5EB8">
        <w:rPr>
          <w:rFonts w:ascii="Calibri" w:hAnsi="Calibri" w:cs="Calibri"/>
          <w:lang w:val="en-US"/>
        </w:rPr>
        <w:t>High quality d</w:t>
      </w:r>
      <w:r w:rsidR="00954571">
        <w:rPr>
          <w:rFonts w:ascii="Calibri" w:hAnsi="Calibri" w:cs="Calibri"/>
          <w:lang w:val="en-US"/>
        </w:rPr>
        <w:t xml:space="preserve">ata is </w:t>
      </w:r>
      <w:r w:rsidRPr="008F02CB">
        <w:rPr>
          <w:rFonts w:ascii="Calibri" w:hAnsi="Calibri" w:cs="Calibri"/>
          <w:lang w:val="en-US"/>
        </w:rPr>
        <w:t>essential to understand</w:t>
      </w:r>
      <w:r w:rsidR="00954571">
        <w:rPr>
          <w:rFonts w:ascii="Calibri" w:hAnsi="Calibri" w:cs="Calibri"/>
          <w:lang w:val="en-US"/>
        </w:rPr>
        <w:t xml:space="preserve">ing </w:t>
      </w:r>
      <w:r w:rsidR="00DE5EB8">
        <w:rPr>
          <w:rFonts w:ascii="Calibri" w:hAnsi="Calibri" w:cs="Calibri"/>
          <w:lang w:val="en-US"/>
        </w:rPr>
        <w:t xml:space="preserve">the </w:t>
      </w:r>
      <w:r w:rsidR="00246945" w:rsidRPr="00246945">
        <w:rPr>
          <w:rFonts w:ascii="Calibri" w:hAnsi="Calibri" w:cs="Calibri"/>
          <w:lang w:val="en-US"/>
        </w:rPr>
        <w:t>natural histor</w:t>
      </w:r>
      <w:r w:rsidR="00DE5EB8">
        <w:rPr>
          <w:rFonts w:ascii="Calibri" w:hAnsi="Calibri" w:cs="Calibri"/>
          <w:lang w:val="en-US"/>
        </w:rPr>
        <w:t>y, epidemiology, and burden of</w:t>
      </w:r>
      <w:r w:rsidR="00246945" w:rsidRPr="00246945">
        <w:rPr>
          <w:rFonts w:ascii="Calibri" w:hAnsi="Calibri" w:cs="Calibri"/>
          <w:lang w:val="en-US"/>
        </w:rPr>
        <w:t xml:space="preserve"> disease,</w:t>
      </w:r>
      <w:r w:rsidRPr="008F02CB">
        <w:rPr>
          <w:rFonts w:ascii="Calibri" w:hAnsi="Calibri" w:cs="Calibri"/>
          <w:lang w:val="en-US"/>
        </w:rPr>
        <w:t xml:space="preserve"> qua</w:t>
      </w:r>
      <w:r w:rsidR="00954571">
        <w:rPr>
          <w:rFonts w:ascii="Calibri" w:hAnsi="Calibri" w:cs="Calibri"/>
          <w:lang w:val="en-US"/>
        </w:rPr>
        <w:t xml:space="preserve">lity </w:t>
      </w:r>
      <w:r w:rsidR="002241B9">
        <w:rPr>
          <w:rFonts w:ascii="Calibri" w:hAnsi="Calibri" w:cs="Calibri"/>
          <w:lang w:val="en-US"/>
        </w:rPr>
        <w:t xml:space="preserve">of care and treatment outcomes, information that can </w:t>
      </w:r>
      <w:r w:rsidRPr="008F02CB">
        <w:rPr>
          <w:rFonts w:ascii="Calibri" w:hAnsi="Calibri" w:cs="Calibri"/>
          <w:lang w:val="en-US"/>
        </w:rPr>
        <w:t>be used as part of a continuous quality improvement process</w:t>
      </w:r>
      <w:r w:rsidR="005A4522">
        <w:rPr>
          <w:rFonts w:ascii="Calibri" w:hAnsi="Calibri" w:cs="Calibri"/>
          <w:lang w:val="en-US"/>
        </w:rPr>
        <w:t>.</w:t>
      </w:r>
      <w:r w:rsidR="00871910">
        <w:rPr>
          <w:rStyle w:val="EndnoteReference"/>
          <w:rFonts w:ascii="Calibri" w:hAnsi="Calibri" w:cs="Calibri"/>
          <w:lang w:val="en-US"/>
        </w:rPr>
        <w:endnoteReference w:id="157"/>
      </w:r>
      <w:r w:rsidR="00871910">
        <w:rPr>
          <w:rFonts w:ascii="Calibri" w:hAnsi="Calibri" w:cs="Calibri"/>
          <w:lang w:val="en-US"/>
        </w:rPr>
        <w:t xml:space="preserve"> </w:t>
      </w:r>
      <w:r w:rsidR="00C222CE">
        <w:rPr>
          <w:rFonts w:cstheme="minorHAnsi"/>
          <w:bCs/>
          <w:lang w:val="en-US"/>
        </w:rPr>
        <w:t>High quality data will underpin the development and evaluation of Optimal Care Kidney Pathways, which will include pathways from detection and early stage disease through RRT and conservative care.</w:t>
      </w:r>
    </w:p>
    <w:p w14:paraId="6EDE282D" w14:textId="77777777" w:rsidR="00C222CE" w:rsidRDefault="00C222CE" w:rsidP="00F73E35">
      <w:pPr>
        <w:contextualSpacing/>
        <w:rPr>
          <w:rFonts w:ascii="Calibri" w:hAnsi="Calibri" w:cs="Calibri"/>
          <w:lang w:val="en-US"/>
        </w:rPr>
      </w:pPr>
    </w:p>
    <w:p w14:paraId="7AE22E76" w14:textId="1898CD63" w:rsidR="007177A6" w:rsidRDefault="00DE5EB8" w:rsidP="00F73E35">
      <w:pPr>
        <w:contextualSpacing/>
        <w:rPr>
          <w:rFonts w:cstheme="minorHAnsi"/>
          <w:bCs/>
          <w:lang w:val="en-US"/>
        </w:rPr>
      </w:pPr>
      <w:r w:rsidRPr="00DE5EB8">
        <w:rPr>
          <w:rFonts w:ascii="Calibri" w:hAnsi="Calibri" w:cs="Calibri"/>
          <w:lang w:val="en-US"/>
        </w:rPr>
        <w:t>The ANZDATA</w:t>
      </w:r>
      <w:r w:rsidR="0009606B">
        <w:rPr>
          <w:rFonts w:ascii="Calibri" w:hAnsi="Calibri" w:cs="Calibri"/>
          <w:lang w:val="en-US"/>
        </w:rPr>
        <w:t xml:space="preserve"> registry</w:t>
      </w:r>
      <w:r>
        <w:rPr>
          <w:rFonts w:ascii="Calibri" w:hAnsi="Calibri" w:cs="Calibri"/>
          <w:lang w:val="en-US"/>
        </w:rPr>
        <w:t xml:space="preserve">, which collects data about the </w:t>
      </w:r>
      <w:r w:rsidR="00B426FF" w:rsidRPr="00B426FF">
        <w:rPr>
          <w:rFonts w:ascii="Calibri" w:hAnsi="Calibri" w:cs="Calibri"/>
          <w:lang w:val="en-US"/>
        </w:rPr>
        <w:t xml:space="preserve">24,738 </w:t>
      </w:r>
      <w:r>
        <w:rPr>
          <w:rFonts w:ascii="Calibri" w:hAnsi="Calibri" w:cs="Calibri"/>
          <w:lang w:val="en-US"/>
        </w:rPr>
        <w:t xml:space="preserve">people in Australia and New Zealand </w:t>
      </w:r>
      <w:r w:rsidR="00B426FF">
        <w:rPr>
          <w:rFonts w:ascii="Calibri" w:hAnsi="Calibri" w:cs="Calibri"/>
          <w:lang w:val="en-US"/>
        </w:rPr>
        <w:t>on RRT for ESKD</w:t>
      </w:r>
      <w:r>
        <w:rPr>
          <w:rFonts w:ascii="Calibri" w:hAnsi="Calibri" w:cs="Calibri"/>
          <w:lang w:val="en-US"/>
        </w:rPr>
        <w:t>, is an essent</w:t>
      </w:r>
      <w:r w:rsidR="0056560C">
        <w:rPr>
          <w:rFonts w:ascii="Calibri" w:hAnsi="Calibri" w:cs="Calibri"/>
          <w:lang w:val="en-US"/>
        </w:rPr>
        <w:t>ial tool for kidney resea</w:t>
      </w:r>
      <w:r w:rsidR="005A4522">
        <w:rPr>
          <w:rFonts w:ascii="Calibri" w:hAnsi="Calibri" w:cs="Calibri"/>
          <w:lang w:val="en-US"/>
        </w:rPr>
        <w:t>rch and treatment improvements</w:t>
      </w:r>
      <w:r w:rsidR="00C222CE">
        <w:rPr>
          <w:rFonts w:ascii="Calibri" w:hAnsi="Calibri" w:cs="Calibri"/>
          <w:lang w:val="en-US"/>
        </w:rPr>
        <w:t>.</w:t>
      </w:r>
      <w:r w:rsidR="00C222CE">
        <w:rPr>
          <w:rStyle w:val="EndnoteReference"/>
          <w:rFonts w:ascii="Calibri" w:hAnsi="Calibri" w:cs="Calibri"/>
          <w:lang w:val="en-US"/>
        </w:rPr>
        <w:endnoteReference w:id="158"/>
      </w:r>
      <w:r w:rsidR="0009606B">
        <w:rPr>
          <w:rFonts w:ascii="Calibri" w:hAnsi="Calibri" w:cs="Calibri"/>
          <w:lang w:val="en-US"/>
        </w:rPr>
        <w:t xml:space="preserve"> ANZDATA</w:t>
      </w:r>
      <w:r w:rsidR="00B00DF0">
        <w:rPr>
          <w:rFonts w:ascii="Calibri" w:hAnsi="Calibri" w:cs="Calibri"/>
          <w:lang w:val="en-US"/>
        </w:rPr>
        <w:t xml:space="preserve"> is used by </w:t>
      </w:r>
      <w:r w:rsidR="00B00DF0">
        <w:rPr>
          <w:rFonts w:ascii="Calibri" w:hAnsi="Calibri" w:cs="Calibri"/>
          <w:lang w:val="en-US"/>
        </w:rPr>
        <w:lastRenderedPageBreak/>
        <w:t>government</w:t>
      </w:r>
      <w:r w:rsidR="00FF632C">
        <w:rPr>
          <w:rFonts w:ascii="Calibri" w:hAnsi="Calibri" w:cs="Calibri"/>
          <w:lang w:val="en-US"/>
        </w:rPr>
        <w:t xml:space="preserve"> agencies</w:t>
      </w:r>
      <w:r w:rsidR="00B00DF0">
        <w:rPr>
          <w:rFonts w:ascii="Calibri" w:hAnsi="Calibri" w:cs="Calibri"/>
          <w:lang w:val="en-US"/>
        </w:rPr>
        <w:t xml:space="preserve">, including the Organ and Tissue Authority, health services and researchers. </w:t>
      </w:r>
      <w:r w:rsidR="00FF632C">
        <w:rPr>
          <w:rFonts w:ascii="Calibri" w:hAnsi="Calibri" w:cs="Calibri"/>
          <w:lang w:val="en-US"/>
        </w:rPr>
        <w:t xml:space="preserve">Data is used to </w:t>
      </w:r>
      <w:r w:rsidR="0009606B">
        <w:rPr>
          <w:rFonts w:ascii="Calibri" w:hAnsi="Calibri" w:cs="Calibri"/>
          <w:lang w:val="en-US"/>
        </w:rPr>
        <w:t>review practice, determine variation in practices between health services and jurisdictions, evaluate treatment outcomes</w:t>
      </w:r>
      <w:r w:rsidR="00FF632C">
        <w:rPr>
          <w:rFonts w:ascii="Calibri" w:hAnsi="Calibri" w:cs="Calibri"/>
          <w:lang w:val="en-US"/>
        </w:rPr>
        <w:t>,</w:t>
      </w:r>
      <w:r w:rsidR="00B00DF0">
        <w:rPr>
          <w:rFonts w:ascii="Calibri" w:hAnsi="Calibri" w:cs="Calibri"/>
          <w:lang w:val="en-US"/>
        </w:rPr>
        <w:t xml:space="preserve"> </w:t>
      </w:r>
      <w:r w:rsidR="00B00DF0" w:rsidRPr="001D6CAC">
        <w:rPr>
          <w:rStyle w:val="EndnoteReference"/>
          <w:rFonts w:ascii="Calibri" w:hAnsi="Calibri" w:cs="Calibri"/>
          <w:lang w:val="en-US"/>
        </w:rPr>
        <w:endnoteReference w:id="159"/>
      </w:r>
      <w:r w:rsidR="001D6CAC" w:rsidRPr="00AA35C7">
        <w:rPr>
          <w:rFonts w:ascii="Calibri" w:hAnsi="Calibri" w:cs="Calibri"/>
          <w:vertAlign w:val="superscript"/>
          <w:lang w:val="en-US"/>
        </w:rPr>
        <w:t>,</w:t>
      </w:r>
      <w:r w:rsidR="00B00DF0">
        <w:rPr>
          <w:rStyle w:val="EndnoteReference"/>
          <w:rFonts w:ascii="Calibri" w:hAnsi="Calibri" w:cs="Calibri"/>
          <w:lang w:val="en-US"/>
        </w:rPr>
        <w:endnoteReference w:id="160"/>
      </w:r>
      <w:r w:rsidR="00B00DF0">
        <w:rPr>
          <w:rFonts w:ascii="Calibri" w:hAnsi="Calibri" w:cs="Calibri"/>
          <w:lang w:val="en-US"/>
        </w:rPr>
        <w:t xml:space="preserve"> </w:t>
      </w:r>
      <w:r w:rsidR="0009606B">
        <w:rPr>
          <w:rFonts w:ascii="Calibri" w:hAnsi="Calibri" w:cs="Calibri"/>
          <w:lang w:val="en-US"/>
        </w:rPr>
        <w:t>aid in decision making around t</w:t>
      </w:r>
      <w:r w:rsidR="00B00DF0">
        <w:rPr>
          <w:rFonts w:ascii="Calibri" w:hAnsi="Calibri" w:cs="Calibri"/>
          <w:lang w:val="en-US"/>
        </w:rPr>
        <w:t xml:space="preserve">reatment and support options, </w:t>
      </w:r>
      <w:r w:rsidR="00AD1265">
        <w:rPr>
          <w:rFonts w:ascii="Calibri" w:hAnsi="Calibri" w:cs="Calibri"/>
          <w:lang w:val="en-US"/>
        </w:rPr>
        <w:t>monitor long term-survival and mortality for kidney failure</w:t>
      </w:r>
      <w:r w:rsidR="00B00DF0">
        <w:rPr>
          <w:rFonts w:ascii="Calibri" w:hAnsi="Calibri" w:cs="Calibri"/>
          <w:lang w:val="en-US"/>
        </w:rPr>
        <w:t xml:space="preserve"> </w:t>
      </w:r>
      <w:r w:rsidR="00FF632C">
        <w:rPr>
          <w:rStyle w:val="EndnoteReference"/>
          <w:rFonts w:ascii="Calibri" w:hAnsi="Calibri" w:cs="Calibri"/>
          <w:lang w:val="en-US"/>
        </w:rPr>
        <w:endnoteReference w:id="161"/>
      </w:r>
      <w:r w:rsidR="001D6CAC" w:rsidRPr="00AA35C7">
        <w:rPr>
          <w:rFonts w:ascii="Calibri" w:hAnsi="Calibri" w:cs="Calibri"/>
          <w:vertAlign w:val="superscript"/>
          <w:lang w:val="en-US"/>
        </w:rPr>
        <w:t>,</w:t>
      </w:r>
      <w:r w:rsidR="00FF632C">
        <w:rPr>
          <w:rStyle w:val="EndnoteReference"/>
          <w:rFonts w:ascii="Calibri" w:hAnsi="Calibri" w:cs="Calibri"/>
          <w:lang w:val="en-US"/>
        </w:rPr>
        <w:endnoteReference w:id="162"/>
      </w:r>
      <w:r w:rsidR="00FB0AF5">
        <w:rPr>
          <w:rFonts w:ascii="Calibri" w:hAnsi="Calibri" w:cs="Calibri"/>
          <w:vertAlign w:val="superscript"/>
          <w:lang w:val="en-US"/>
        </w:rPr>
        <w:t xml:space="preserve"> </w:t>
      </w:r>
      <w:r w:rsidR="00B00DF0">
        <w:rPr>
          <w:rFonts w:ascii="Calibri" w:hAnsi="Calibri" w:cs="Calibri"/>
          <w:lang w:val="en-US"/>
        </w:rPr>
        <w:t>and variability in access to care.</w:t>
      </w:r>
      <w:r w:rsidR="00B00DF0">
        <w:rPr>
          <w:rStyle w:val="EndnoteReference"/>
          <w:rFonts w:ascii="Calibri" w:hAnsi="Calibri" w:cs="Calibri"/>
          <w:lang w:val="en-US"/>
        </w:rPr>
        <w:endnoteReference w:id="163"/>
      </w:r>
      <w:r w:rsidR="00B00DF0">
        <w:rPr>
          <w:rFonts w:ascii="Calibri" w:hAnsi="Calibri" w:cs="Calibri"/>
          <w:lang w:val="en-US"/>
        </w:rPr>
        <w:t xml:space="preserve"> The</w:t>
      </w:r>
      <w:r w:rsidR="00FF632C">
        <w:rPr>
          <w:rFonts w:ascii="Calibri" w:hAnsi="Calibri" w:cs="Calibri"/>
          <w:lang w:val="en-US"/>
        </w:rPr>
        <w:t xml:space="preserve"> </w:t>
      </w:r>
      <w:r w:rsidR="009A56EB" w:rsidRPr="007F6ACD">
        <w:rPr>
          <w:rFonts w:cstheme="minorHAnsi"/>
          <w:bCs/>
          <w:lang w:val="en-US"/>
        </w:rPr>
        <w:t xml:space="preserve">TSANZ </w:t>
      </w:r>
      <w:r w:rsidR="009A56EB">
        <w:rPr>
          <w:rFonts w:cstheme="minorHAnsi"/>
          <w:bCs/>
          <w:lang w:val="en-US"/>
        </w:rPr>
        <w:t>report I</w:t>
      </w:r>
      <w:r w:rsidR="009A56EB" w:rsidRPr="007F6ACD">
        <w:rPr>
          <w:rFonts w:cstheme="minorHAnsi"/>
          <w:bCs/>
          <w:lang w:val="en-US"/>
        </w:rPr>
        <w:t>mproving access to and outcomes of kidney transplantation for Aboriginal and Torres Strait</w:t>
      </w:r>
      <w:r w:rsidR="009A56EB">
        <w:rPr>
          <w:rFonts w:cstheme="minorHAnsi"/>
          <w:bCs/>
          <w:lang w:val="en-US"/>
        </w:rPr>
        <w:t xml:space="preserve"> Islander People in Australia demonstrates how effectively data can be used to inform policy and practice changes, revealing the depth of the disparity in access to and outcomes of transplants in Indigenous communities and highlighting key actions for change</w:t>
      </w:r>
      <w:r w:rsidR="002643E1">
        <w:rPr>
          <w:rFonts w:cstheme="minorHAnsi"/>
          <w:bCs/>
          <w:lang w:val="en-US"/>
        </w:rPr>
        <w:t>.</w:t>
      </w:r>
      <w:r w:rsidR="00FF632C">
        <w:rPr>
          <w:rStyle w:val="EndnoteReference"/>
          <w:rFonts w:cstheme="minorHAnsi"/>
          <w:bCs/>
          <w:lang w:val="en-US"/>
        </w:rPr>
        <w:endnoteReference w:id="164"/>
      </w:r>
    </w:p>
    <w:p w14:paraId="157EA985" w14:textId="77777777" w:rsidR="00E206B9" w:rsidRDefault="00E206B9" w:rsidP="00F73E35">
      <w:pPr>
        <w:contextualSpacing/>
        <w:rPr>
          <w:rFonts w:cstheme="minorHAnsi"/>
          <w:bCs/>
          <w:lang w:val="en-US"/>
        </w:rPr>
      </w:pPr>
    </w:p>
    <w:p w14:paraId="189AF0BA" w14:textId="7D838F8D" w:rsidR="00C714E1" w:rsidRDefault="00E206B9" w:rsidP="00F73E35">
      <w:pPr>
        <w:contextualSpacing/>
        <w:rPr>
          <w:rFonts w:cstheme="minorHAnsi"/>
          <w:bCs/>
          <w:lang w:val="en-US"/>
        </w:rPr>
      </w:pPr>
      <w:r>
        <w:rPr>
          <w:rFonts w:cstheme="minorHAnsi"/>
          <w:bCs/>
          <w:lang w:val="en-US"/>
        </w:rPr>
        <w:t xml:space="preserve">However </w:t>
      </w:r>
      <w:r w:rsidR="008252AE">
        <w:rPr>
          <w:rFonts w:cstheme="minorHAnsi"/>
          <w:bCs/>
          <w:lang w:val="en-US"/>
        </w:rPr>
        <w:t xml:space="preserve">while a number of states collect CKD data, </w:t>
      </w:r>
      <w:r>
        <w:rPr>
          <w:rFonts w:cstheme="minorHAnsi"/>
          <w:bCs/>
          <w:lang w:val="en-US"/>
        </w:rPr>
        <w:t>there is no nationally coordinated d</w:t>
      </w:r>
      <w:r w:rsidR="00C714E1">
        <w:rPr>
          <w:rFonts w:cstheme="minorHAnsi"/>
          <w:bCs/>
          <w:lang w:val="en-US"/>
        </w:rPr>
        <w:t>ataset to capture non-ESKD care, which impacts on the capacity of researchers to follow the natural progression of disease and evaluate the efficacy of models of care to manage early stage disease</w:t>
      </w:r>
      <w:r w:rsidR="008252AE">
        <w:rPr>
          <w:rFonts w:cstheme="minorHAnsi"/>
          <w:bCs/>
          <w:lang w:val="en-US"/>
        </w:rPr>
        <w:t>.</w:t>
      </w:r>
      <w:r w:rsidR="008252AE">
        <w:rPr>
          <w:rStyle w:val="EndnoteReference"/>
          <w:rFonts w:cstheme="minorHAnsi"/>
          <w:bCs/>
          <w:lang w:val="en-US"/>
        </w:rPr>
        <w:endnoteReference w:id="165"/>
      </w:r>
      <w:r w:rsidR="008252AE">
        <w:rPr>
          <w:rStyle w:val="EndnoteReference"/>
          <w:rFonts w:cstheme="minorHAnsi"/>
          <w:bCs/>
          <w:lang w:val="en-US"/>
        </w:rPr>
        <w:endnoteReference w:id="166"/>
      </w:r>
      <w:r w:rsidR="008252AE">
        <w:rPr>
          <w:rFonts w:cstheme="minorHAnsi"/>
          <w:bCs/>
          <w:lang w:val="en-US"/>
        </w:rPr>
        <w:t xml:space="preserve"> Given the high disease and cost burden associated with CKD and that the majority of people with CKD are at pre-RRT stage, capturing data at every stage of the patient journey will be essential to improve patient outcomes.</w:t>
      </w:r>
    </w:p>
    <w:p w14:paraId="36C0DE2A" w14:textId="77777777" w:rsidR="0009606B" w:rsidRDefault="0009606B" w:rsidP="00B31B00"/>
    <w:p w14:paraId="3EC8DE19" w14:textId="3FFE8A3C" w:rsidR="00B31B00" w:rsidRPr="008F02CB" w:rsidRDefault="00B31B00" w:rsidP="00815FF6">
      <w:pPr>
        <w:pStyle w:val="KidneyBodyBold"/>
      </w:pPr>
      <w:r w:rsidRPr="008F02CB">
        <w:t xml:space="preserve">Australian Health Survey </w:t>
      </w:r>
    </w:p>
    <w:p w14:paraId="0BC097DF" w14:textId="1D19D6FA" w:rsidR="007D4E67" w:rsidRPr="00D653F0" w:rsidRDefault="00D653F0" w:rsidP="00D653F0">
      <w:pPr>
        <w:widowControl w:val="0"/>
        <w:autoSpaceDE w:val="0"/>
        <w:autoSpaceDN w:val="0"/>
        <w:adjustRightInd w:val="0"/>
        <w:spacing w:after="240"/>
        <w:rPr>
          <w:rFonts w:ascii="Calibri" w:hAnsi="Calibri" w:cs="Calibri"/>
          <w:lang w:val="en-US"/>
        </w:rPr>
      </w:pPr>
      <w:r>
        <w:rPr>
          <w:rFonts w:ascii="Calibri" w:hAnsi="Calibri" w:cs="Calibri"/>
          <w:lang w:val="en-US"/>
        </w:rPr>
        <w:t>High quality comprehensive national health data</w:t>
      </w:r>
      <w:r w:rsidR="00882453" w:rsidRPr="008F02CB">
        <w:rPr>
          <w:rFonts w:ascii="Calibri" w:hAnsi="Calibri" w:cs="Calibri"/>
          <w:lang w:val="en-US"/>
        </w:rPr>
        <w:t xml:space="preserve"> is essential in providing decision makers, health professionals and researchers with an understanding of the status of the key diseases and risk factors</w:t>
      </w:r>
      <w:r>
        <w:rPr>
          <w:rFonts w:ascii="Calibri" w:hAnsi="Calibri" w:cs="Calibri"/>
          <w:lang w:val="en-US"/>
        </w:rPr>
        <w:t>.</w:t>
      </w:r>
      <w:r>
        <w:rPr>
          <w:rStyle w:val="EndnoteReference"/>
          <w:rFonts w:ascii="Calibri" w:hAnsi="Calibri" w:cs="Calibri"/>
          <w:lang w:val="en-US"/>
        </w:rPr>
        <w:endnoteReference w:id="167"/>
      </w:r>
      <w:r w:rsidR="00882453" w:rsidRPr="008F02CB">
        <w:rPr>
          <w:rFonts w:ascii="Calibri" w:hAnsi="Calibri" w:cs="Calibri"/>
          <w:lang w:val="en-US"/>
        </w:rPr>
        <w:t xml:space="preserve"> Measuring the impact of health interventions allows governments to ensure the most effective use of limited resources</w:t>
      </w:r>
      <w:r>
        <w:rPr>
          <w:rFonts w:ascii="Calibri" w:hAnsi="Calibri" w:cs="Calibri"/>
          <w:lang w:val="en-US"/>
        </w:rPr>
        <w:t xml:space="preserve">. </w:t>
      </w:r>
      <w:r w:rsidR="00882453" w:rsidRPr="008F02CB">
        <w:rPr>
          <w:rFonts w:ascii="Calibri" w:hAnsi="Calibri" w:cs="Calibri"/>
          <w:lang w:val="en-US"/>
        </w:rPr>
        <w:t>The first Australian Health Survey (2011-13), with critical biomedical data coming from the Nati</w:t>
      </w:r>
      <w:r w:rsidR="00871910">
        <w:rPr>
          <w:rFonts w:ascii="Calibri" w:hAnsi="Calibri" w:cs="Calibri"/>
          <w:lang w:val="en-US"/>
        </w:rPr>
        <w:t xml:space="preserve">onal Health Measures Survey – </w:t>
      </w:r>
      <w:r w:rsidR="00882453" w:rsidRPr="008F02CB">
        <w:rPr>
          <w:rFonts w:ascii="Calibri" w:hAnsi="Calibri" w:cs="Calibri"/>
          <w:lang w:val="en-US"/>
        </w:rPr>
        <w:t>has been the most comprehensive health survey ever conducted in Australia</w:t>
      </w:r>
      <w:r w:rsidR="00FB0AF5">
        <w:rPr>
          <w:rFonts w:ascii="Calibri" w:hAnsi="Calibri" w:cs="Calibri"/>
          <w:lang w:val="en-US"/>
        </w:rPr>
        <w:t>.</w:t>
      </w:r>
      <w:r w:rsidR="00985D71">
        <w:rPr>
          <w:rStyle w:val="EndnoteReference"/>
          <w:rFonts w:ascii="Calibri" w:hAnsi="Calibri" w:cs="Calibri"/>
          <w:lang w:val="en-US"/>
        </w:rPr>
        <w:endnoteReference w:id="168"/>
      </w:r>
      <w:r w:rsidR="00882453" w:rsidRPr="008F02CB">
        <w:rPr>
          <w:rFonts w:ascii="Calibri" w:hAnsi="Calibri" w:cs="Calibri"/>
          <w:lang w:val="en-US"/>
        </w:rPr>
        <w:t xml:space="preserve"> It has collected information such as health status, behavioural risk factors (e.g. smoking, physical inactivity), service use, medications, and the prevalence of biomedical risk factors, such as high blood pressure, high blood cholesterol and overweight/obesity. It is important that this survey be repeated every 5-6 years, to ensure timely information to support policy decisions. The cost of the survey is minimal compared to the cost of the chronic disease burden. Failure to continue investment in the survey, especially the biomedical component, would lead to sub-optimal investment of resources (waste and inefficiency) and poorer health outcomes for Australians</w:t>
      </w:r>
      <w:r w:rsidR="00985D71">
        <w:rPr>
          <w:rFonts w:ascii="Arial" w:hAnsi="Arial" w:cs="Arial"/>
          <w:color w:val="222222"/>
          <w:szCs w:val="20"/>
          <w:shd w:val="clear" w:color="auto" w:fill="FFFFFF"/>
        </w:rPr>
        <w:t>.</w:t>
      </w:r>
    </w:p>
    <w:p w14:paraId="768F0F97" w14:textId="5F37CAFE" w:rsidR="007D4E67" w:rsidRPr="00C43171" w:rsidRDefault="00D653F0" w:rsidP="00815FF6">
      <w:pPr>
        <w:pStyle w:val="KidneyBodyBold"/>
      </w:pPr>
      <w:r>
        <w:t xml:space="preserve">Clinical </w:t>
      </w:r>
      <w:r w:rsidR="00C43171">
        <w:t>guidelines</w:t>
      </w:r>
    </w:p>
    <w:p w14:paraId="79CCB083" w14:textId="2CA929B4" w:rsidR="00FE7194" w:rsidRDefault="00FE7194" w:rsidP="00FE7194">
      <w:pPr>
        <w:widowControl w:val="0"/>
        <w:autoSpaceDE w:val="0"/>
        <w:autoSpaceDN w:val="0"/>
        <w:adjustRightInd w:val="0"/>
        <w:rPr>
          <w:rFonts w:ascii="Calibri" w:hAnsi="Calibri" w:cs="Calibri"/>
          <w:lang w:val="en-US"/>
        </w:rPr>
      </w:pPr>
      <w:r w:rsidRPr="00FE7194">
        <w:rPr>
          <w:rFonts w:ascii="Calibri" w:hAnsi="Calibri" w:cs="Calibri"/>
          <w:lang w:val="en-US"/>
        </w:rPr>
        <w:t xml:space="preserve">Clinical practice guidelines (or simply “clinical guidelines”) are recommendations on how to diagnose and treat a medical condition. They are mainly written </w:t>
      </w:r>
      <w:r>
        <w:rPr>
          <w:rFonts w:ascii="Calibri" w:hAnsi="Calibri" w:cs="Calibri"/>
          <w:lang w:val="en-US"/>
        </w:rPr>
        <w:t xml:space="preserve">for </w:t>
      </w:r>
      <w:r w:rsidRPr="00FE7194">
        <w:rPr>
          <w:rFonts w:ascii="Calibri" w:hAnsi="Calibri" w:cs="Calibri"/>
          <w:lang w:val="en-US"/>
        </w:rPr>
        <w:t>health</w:t>
      </w:r>
      <w:r>
        <w:rPr>
          <w:rFonts w:ascii="Calibri" w:hAnsi="Calibri" w:cs="Calibri"/>
          <w:lang w:val="en-US"/>
        </w:rPr>
        <w:t>care p</w:t>
      </w:r>
      <w:r w:rsidRPr="00FE7194">
        <w:rPr>
          <w:rFonts w:ascii="Calibri" w:hAnsi="Calibri" w:cs="Calibri"/>
          <w:lang w:val="en-US"/>
        </w:rPr>
        <w:t>rofessionals</w:t>
      </w:r>
      <w:r>
        <w:rPr>
          <w:rFonts w:ascii="Calibri" w:hAnsi="Calibri" w:cs="Calibri"/>
          <w:lang w:val="en-US"/>
        </w:rPr>
        <w:t xml:space="preserve"> but some guidelines have been adapted </w:t>
      </w:r>
      <w:r w:rsidRPr="00FE7194">
        <w:rPr>
          <w:rFonts w:ascii="Calibri" w:hAnsi="Calibri" w:cs="Calibri"/>
          <w:lang w:val="en-US"/>
        </w:rPr>
        <w:t>for patients.</w:t>
      </w:r>
    </w:p>
    <w:p w14:paraId="18DB48FE" w14:textId="2F8C0321" w:rsidR="00FE7194" w:rsidRDefault="00FE7194" w:rsidP="00FE7194">
      <w:pPr>
        <w:widowControl w:val="0"/>
        <w:autoSpaceDE w:val="0"/>
        <w:autoSpaceDN w:val="0"/>
        <w:adjustRightInd w:val="0"/>
        <w:rPr>
          <w:rFonts w:ascii="Calibri" w:hAnsi="Calibri" w:cs="Calibri"/>
          <w:lang w:val="en-US"/>
        </w:rPr>
      </w:pPr>
    </w:p>
    <w:p w14:paraId="2960CE13" w14:textId="5A3099B0" w:rsidR="00FE7194" w:rsidRPr="00FE7194" w:rsidRDefault="00FE7194" w:rsidP="00FE7194">
      <w:pPr>
        <w:widowControl w:val="0"/>
        <w:autoSpaceDE w:val="0"/>
        <w:autoSpaceDN w:val="0"/>
        <w:adjustRightInd w:val="0"/>
        <w:rPr>
          <w:rFonts w:ascii="Calibri" w:hAnsi="Calibri" w:cs="Calibri"/>
          <w:lang w:val="en-US"/>
        </w:rPr>
      </w:pPr>
      <w:r w:rsidRPr="00FE7194">
        <w:rPr>
          <w:rFonts w:ascii="Calibri" w:hAnsi="Calibri" w:cs="Calibri"/>
          <w:lang w:val="en-US"/>
        </w:rPr>
        <w:t>Guidelines summarise the current medical knowledge, weigh the benefits and harms of diagnostic procedures and treatments, and give specific recommendations based on this information. They should also provide information about the scientific evidence supporting those recommendations. Healthcare professionals don’t have to follow the recommendations if they don’t think they are suitable for certain patients. But deviations from guidelines must be justified.</w:t>
      </w:r>
    </w:p>
    <w:p w14:paraId="3C9C928B" w14:textId="77777777" w:rsidR="00FE7194" w:rsidRPr="00FE7194" w:rsidRDefault="00FE7194" w:rsidP="00FE7194">
      <w:pPr>
        <w:widowControl w:val="0"/>
        <w:autoSpaceDE w:val="0"/>
        <w:autoSpaceDN w:val="0"/>
        <w:adjustRightInd w:val="0"/>
        <w:rPr>
          <w:rFonts w:ascii="Calibri" w:hAnsi="Calibri" w:cs="Calibri"/>
          <w:lang w:val="en-US"/>
        </w:rPr>
      </w:pPr>
    </w:p>
    <w:p w14:paraId="5DAEA933" w14:textId="042963FE" w:rsidR="00FE7194" w:rsidRPr="00FE7194" w:rsidRDefault="00FE7194" w:rsidP="00FE7194">
      <w:pPr>
        <w:widowControl w:val="0"/>
        <w:autoSpaceDE w:val="0"/>
        <w:autoSpaceDN w:val="0"/>
        <w:adjustRightInd w:val="0"/>
        <w:rPr>
          <w:rFonts w:ascii="Calibri" w:hAnsi="Calibri" w:cs="Calibri"/>
          <w:lang w:val="en-US"/>
        </w:rPr>
      </w:pPr>
      <w:r w:rsidRPr="00FE7194">
        <w:rPr>
          <w:rFonts w:ascii="Calibri" w:hAnsi="Calibri" w:cs="Calibri"/>
          <w:lang w:val="en-US"/>
        </w:rPr>
        <w:t>Clinical guidelines are essential tools for delivering consistent, best practice kidney care. The efficacy of guidelines depends on both the extent to which they are underpinned by rigorous and up to date research and the effectiveness with which they are utili</w:t>
      </w:r>
      <w:r>
        <w:rPr>
          <w:rFonts w:ascii="Calibri" w:hAnsi="Calibri" w:cs="Calibri"/>
          <w:lang w:val="en-US"/>
        </w:rPr>
        <w:t>s</w:t>
      </w:r>
      <w:r w:rsidRPr="00FE7194">
        <w:rPr>
          <w:rFonts w:ascii="Calibri" w:hAnsi="Calibri" w:cs="Calibri"/>
          <w:lang w:val="en-US"/>
        </w:rPr>
        <w:t>ed by the clinical community</w:t>
      </w:r>
      <w:r>
        <w:rPr>
          <w:rFonts w:ascii="Calibri" w:hAnsi="Calibri" w:cs="Calibri"/>
          <w:lang w:val="en-US"/>
        </w:rPr>
        <w:t>.</w:t>
      </w:r>
    </w:p>
    <w:p w14:paraId="109DE70B" w14:textId="77777777" w:rsidR="00FE7194" w:rsidRPr="00FE7194" w:rsidRDefault="00FE7194" w:rsidP="00FE7194">
      <w:pPr>
        <w:widowControl w:val="0"/>
        <w:autoSpaceDE w:val="0"/>
        <w:autoSpaceDN w:val="0"/>
        <w:adjustRightInd w:val="0"/>
        <w:rPr>
          <w:rFonts w:ascii="Calibri" w:hAnsi="Calibri" w:cs="Calibri"/>
          <w:lang w:val="en-US"/>
        </w:rPr>
      </w:pPr>
    </w:p>
    <w:p w14:paraId="1A979A5A" w14:textId="77C79EBA" w:rsidR="00F6681B" w:rsidRDefault="00F6681B" w:rsidP="00F6681B">
      <w:pPr>
        <w:widowControl w:val="0"/>
        <w:autoSpaceDE w:val="0"/>
        <w:autoSpaceDN w:val="0"/>
        <w:adjustRightInd w:val="0"/>
        <w:rPr>
          <w:rFonts w:ascii="Calibri" w:hAnsi="Calibri" w:cs="Calibri"/>
          <w:lang w:val="en-US"/>
        </w:rPr>
      </w:pPr>
      <w:r w:rsidRPr="00F6681B">
        <w:rPr>
          <w:rFonts w:ascii="Calibri" w:hAnsi="Calibri" w:cs="Calibri"/>
          <w:lang w:val="en-US"/>
        </w:rPr>
        <w:t>The Kidney Health Australia-Caring for Australasians with Renal Impairment guidelines group (known as KHA-CARI) are the to key evidence based clinical practice guidelines for the management of chronic kidney disease in Australia and New Zealand.</w:t>
      </w:r>
    </w:p>
    <w:p w14:paraId="7CA6DF34" w14:textId="77777777" w:rsidR="00F6681B" w:rsidRPr="00FE7194" w:rsidRDefault="00F6681B" w:rsidP="00F6681B">
      <w:pPr>
        <w:widowControl w:val="0"/>
        <w:autoSpaceDE w:val="0"/>
        <w:autoSpaceDN w:val="0"/>
        <w:adjustRightInd w:val="0"/>
        <w:rPr>
          <w:rFonts w:ascii="Calibri" w:hAnsi="Calibri" w:cs="Calibri"/>
          <w:lang w:val="en-US"/>
        </w:rPr>
      </w:pPr>
    </w:p>
    <w:p w14:paraId="77096AEF" w14:textId="3758C891" w:rsidR="00D700D5" w:rsidRDefault="00FE7194" w:rsidP="00F6681B">
      <w:pPr>
        <w:widowControl w:val="0"/>
        <w:autoSpaceDE w:val="0"/>
        <w:autoSpaceDN w:val="0"/>
        <w:adjustRightInd w:val="0"/>
        <w:rPr>
          <w:rFonts w:ascii="Calibri" w:hAnsi="Calibri" w:cs="Calibri"/>
          <w:lang w:val="en-US"/>
        </w:rPr>
      </w:pPr>
      <w:r w:rsidRPr="00FE7194">
        <w:rPr>
          <w:rFonts w:ascii="Calibri" w:hAnsi="Calibri" w:cs="Calibri"/>
          <w:lang w:val="en-US"/>
        </w:rPr>
        <w:t>Clinical guidelines must be updated regularly.</w:t>
      </w:r>
      <w:r>
        <w:rPr>
          <w:rFonts w:ascii="Calibri" w:hAnsi="Calibri" w:cs="Calibri"/>
          <w:lang w:val="en-US"/>
        </w:rPr>
        <w:t xml:space="preserve"> </w:t>
      </w:r>
      <w:r w:rsidR="00AD3617" w:rsidRPr="00EE3126">
        <w:rPr>
          <w:rFonts w:ascii="Calibri" w:hAnsi="Calibri" w:cs="Calibri"/>
          <w:lang w:val="en-US"/>
        </w:rPr>
        <w:t xml:space="preserve">New improvements in treatment may not to be incorporated into clinical practice, due to guidelines that fail to keep pace research or failure to adequately disseminate/communicate new best practice to the clinical community. </w:t>
      </w:r>
      <w:r w:rsidR="005F5FA5" w:rsidRPr="00EE3126">
        <w:rPr>
          <w:rFonts w:ascii="Calibri" w:hAnsi="Calibri" w:cs="Calibri"/>
          <w:lang w:val="en-US"/>
        </w:rPr>
        <w:t>Cochrane</w:t>
      </w:r>
      <w:r w:rsidR="00AD3617" w:rsidRPr="00EE3126">
        <w:rPr>
          <w:rFonts w:ascii="Calibri" w:hAnsi="Calibri" w:cs="Calibri"/>
          <w:lang w:val="en-US"/>
        </w:rPr>
        <w:t xml:space="preserve"> Australia</w:t>
      </w:r>
      <w:r w:rsidR="00941A78" w:rsidRPr="00EE3126">
        <w:rPr>
          <w:rFonts w:ascii="Calibri" w:hAnsi="Calibri" w:cs="Calibri"/>
          <w:lang w:val="en-US"/>
        </w:rPr>
        <w:t xml:space="preserve"> </w:t>
      </w:r>
      <w:r w:rsidR="00AD3617" w:rsidRPr="00EE3126">
        <w:rPr>
          <w:rFonts w:ascii="Calibri" w:hAnsi="Calibri" w:cs="Calibri"/>
          <w:lang w:val="en-US"/>
        </w:rPr>
        <w:t>identifies a number of key barriers to the effective use of guidelines</w:t>
      </w:r>
      <w:r w:rsidR="00DD3FA4" w:rsidRPr="00EE3126">
        <w:rPr>
          <w:rFonts w:ascii="Calibri" w:hAnsi="Calibri" w:cs="Calibri"/>
          <w:lang w:val="en-US"/>
        </w:rPr>
        <w:t xml:space="preserve"> </w:t>
      </w:r>
      <w:r w:rsidR="00D700D5" w:rsidRPr="00EE3126">
        <w:rPr>
          <w:rFonts w:ascii="Calibri" w:hAnsi="Calibri" w:cs="Calibri"/>
          <w:lang w:val="en-US"/>
        </w:rPr>
        <w:t>including</w:t>
      </w:r>
      <w:r w:rsidR="00300262">
        <w:rPr>
          <w:rFonts w:ascii="Calibri" w:hAnsi="Calibri" w:cs="Calibri"/>
          <w:lang w:val="en-US"/>
        </w:rPr>
        <w:t>:</w:t>
      </w:r>
    </w:p>
    <w:p w14:paraId="6413443B" w14:textId="77777777" w:rsidR="00815FF6" w:rsidRPr="00EE3126" w:rsidRDefault="00815FF6" w:rsidP="00F6681B">
      <w:pPr>
        <w:widowControl w:val="0"/>
        <w:autoSpaceDE w:val="0"/>
        <w:autoSpaceDN w:val="0"/>
        <w:adjustRightInd w:val="0"/>
        <w:rPr>
          <w:rFonts w:ascii="Calibri" w:hAnsi="Calibri" w:cs="Calibri"/>
          <w:lang w:val="en-US"/>
        </w:rPr>
      </w:pPr>
    </w:p>
    <w:p w14:paraId="6B198381" w14:textId="7BC4C2B2" w:rsidR="00D700D5" w:rsidRPr="00EE3126" w:rsidRDefault="00941A78" w:rsidP="003F15DD">
      <w:pPr>
        <w:pStyle w:val="ListParagraph"/>
        <w:numPr>
          <w:ilvl w:val="0"/>
          <w:numId w:val="22"/>
        </w:numPr>
        <w:autoSpaceDE w:val="0"/>
        <w:autoSpaceDN w:val="0"/>
        <w:adjustRightInd w:val="0"/>
        <w:rPr>
          <w:rFonts w:ascii="Calibri" w:hAnsi="Calibri" w:cs="Calibri"/>
          <w:lang w:val="en-US"/>
        </w:rPr>
      </w:pPr>
      <w:r w:rsidRPr="00EE3126">
        <w:rPr>
          <w:rFonts w:ascii="Calibri" w:hAnsi="Calibri" w:cs="Calibri"/>
          <w:lang w:val="en-US"/>
        </w:rPr>
        <w:t>Poorly targeted research</w:t>
      </w:r>
      <w:r w:rsidR="00D700D5" w:rsidRPr="00EE3126">
        <w:rPr>
          <w:rFonts w:ascii="Calibri" w:hAnsi="Calibri" w:cs="Calibri"/>
          <w:lang w:val="en-US"/>
        </w:rPr>
        <w:t xml:space="preserve"> </w:t>
      </w:r>
    </w:p>
    <w:p w14:paraId="7AE32DC9" w14:textId="0A6B8942" w:rsidR="00D700D5" w:rsidRPr="00EE3126" w:rsidRDefault="00941A78" w:rsidP="003F15DD">
      <w:pPr>
        <w:pStyle w:val="ListParagraph"/>
        <w:numPr>
          <w:ilvl w:val="0"/>
          <w:numId w:val="22"/>
        </w:numPr>
        <w:autoSpaceDE w:val="0"/>
        <w:autoSpaceDN w:val="0"/>
        <w:adjustRightInd w:val="0"/>
        <w:rPr>
          <w:rFonts w:ascii="Calibri" w:hAnsi="Calibri" w:cs="Calibri"/>
          <w:lang w:val="en-US"/>
        </w:rPr>
      </w:pPr>
      <w:r w:rsidRPr="00EE3126">
        <w:rPr>
          <w:rFonts w:ascii="Calibri" w:hAnsi="Calibri" w:cs="Calibri"/>
          <w:lang w:val="en-US"/>
        </w:rPr>
        <w:t>Inefficient evidence synthesis</w:t>
      </w:r>
    </w:p>
    <w:p w14:paraId="18D36FDC" w14:textId="1DFEDBB2" w:rsidR="00D700D5" w:rsidRPr="00EE3126" w:rsidRDefault="00941A78" w:rsidP="003F15DD">
      <w:pPr>
        <w:pStyle w:val="ListParagraph"/>
        <w:numPr>
          <w:ilvl w:val="0"/>
          <w:numId w:val="22"/>
        </w:numPr>
        <w:autoSpaceDE w:val="0"/>
        <w:autoSpaceDN w:val="0"/>
        <w:adjustRightInd w:val="0"/>
        <w:rPr>
          <w:rFonts w:ascii="Calibri" w:hAnsi="Calibri" w:cs="Calibri"/>
          <w:lang w:val="en-US"/>
        </w:rPr>
      </w:pPr>
      <w:r w:rsidRPr="00EE3126">
        <w:rPr>
          <w:rFonts w:ascii="Calibri" w:hAnsi="Calibri" w:cs="Calibri"/>
          <w:lang w:val="en-US"/>
        </w:rPr>
        <w:t>Information overload due to the enormous amount of research produced</w:t>
      </w:r>
    </w:p>
    <w:p w14:paraId="2E3A907D" w14:textId="65A9A5F8" w:rsidR="00D700D5" w:rsidRPr="00EE3126" w:rsidRDefault="00D700D5" w:rsidP="003F15DD">
      <w:pPr>
        <w:pStyle w:val="ListParagraph"/>
        <w:numPr>
          <w:ilvl w:val="0"/>
          <w:numId w:val="22"/>
        </w:numPr>
        <w:autoSpaceDE w:val="0"/>
        <w:autoSpaceDN w:val="0"/>
        <w:adjustRightInd w:val="0"/>
        <w:rPr>
          <w:rFonts w:ascii="Calibri" w:hAnsi="Calibri" w:cs="Calibri"/>
          <w:lang w:val="en-US"/>
        </w:rPr>
      </w:pPr>
      <w:r w:rsidRPr="00EE3126">
        <w:rPr>
          <w:rFonts w:ascii="Calibri" w:hAnsi="Calibri" w:cs="Calibri"/>
          <w:lang w:val="en-US"/>
        </w:rPr>
        <w:lastRenderedPageBreak/>
        <w:t xml:space="preserve">Lack of co-ordination between stakeholders and limited stakeholder involvement </w:t>
      </w:r>
    </w:p>
    <w:p w14:paraId="24A7A87E" w14:textId="27ABDCE7" w:rsidR="00F6681B" w:rsidRDefault="00D700D5" w:rsidP="003F15DD">
      <w:pPr>
        <w:pStyle w:val="ListParagraph"/>
        <w:numPr>
          <w:ilvl w:val="0"/>
          <w:numId w:val="22"/>
        </w:numPr>
        <w:autoSpaceDE w:val="0"/>
        <w:autoSpaceDN w:val="0"/>
        <w:adjustRightInd w:val="0"/>
        <w:rPr>
          <w:rFonts w:ascii="Calibri" w:hAnsi="Calibri" w:cs="Calibri"/>
          <w:lang w:val="en-US"/>
        </w:rPr>
      </w:pPr>
      <w:r w:rsidRPr="00EE3126">
        <w:rPr>
          <w:rFonts w:ascii="Calibri" w:hAnsi="Calibri" w:cs="Calibri"/>
          <w:lang w:val="en-US"/>
        </w:rPr>
        <w:t>Research produc</w:t>
      </w:r>
      <w:r w:rsidR="00300262">
        <w:rPr>
          <w:rFonts w:ascii="Calibri" w:hAnsi="Calibri" w:cs="Calibri"/>
          <w:lang w:val="en-US"/>
        </w:rPr>
        <w:t>ed in inaccessible formats</w:t>
      </w:r>
      <w:r w:rsidR="00BE505F">
        <w:rPr>
          <w:rFonts w:ascii="Calibri" w:hAnsi="Calibri" w:cs="Calibri"/>
          <w:lang w:val="en-US"/>
        </w:rPr>
        <w:t>.</w:t>
      </w:r>
      <w:r w:rsidR="00300262">
        <w:rPr>
          <w:rStyle w:val="EndnoteReference"/>
          <w:rFonts w:ascii="Calibri" w:hAnsi="Calibri" w:cs="Calibri"/>
          <w:lang w:val="en-US"/>
        </w:rPr>
        <w:endnoteReference w:id="169"/>
      </w:r>
    </w:p>
    <w:p w14:paraId="666A3A36" w14:textId="77777777" w:rsidR="00F6681B" w:rsidRPr="00F6681B" w:rsidRDefault="00F6681B" w:rsidP="00F6681B">
      <w:pPr>
        <w:pStyle w:val="ListParagraph"/>
        <w:autoSpaceDE w:val="0"/>
        <w:autoSpaceDN w:val="0"/>
        <w:adjustRightInd w:val="0"/>
        <w:ind w:left="360"/>
        <w:rPr>
          <w:rFonts w:ascii="Calibri" w:hAnsi="Calibri" w:cs="Calibri"/>
          <w:lang w:val="en-US"/>
        </w:rPr>
      </w:pPr>
    </w:p>
    <w:p w14:paraId="62DC9381" w14:textId="6512A5FE" w:rsidR="00FE7194" w:rsidRDefault="00F6681B" w:rsidP="00C73AFD">
      <w:pPr>
        <w:widowControl w:val="0"/>
        <w:autoSpaceDE w:val="0"/>
        <w:autoSpaceDN w:val="0"/>
        <w:adjustRightInd w:val="0"/>
        <w:spacing w:after="240"/>
        <w:rPr>
          <w:rFonts w:ascii="Calibri" w:hAnsi="Calibri" w:cs="Calibri"/>
          <w:lang w:val="en-US"/>
        </w:rPr>
      </w:pPr>
      <w:r>
        <w:rPr>
          <w:rFonts w:ascii="Calibri" w:hAnsi="Calibri" w:cs="Calibri"/>
          <w:lang w:val="en-US"/>
        </w:rPr>
        <w:t xml:space="preserve">In an effort to overcome these barriers </w:t>
      </w:r>
      <w:r w:rsidRPr="00F6681B">
        <w:rPr>
          <w:rFonts w:ascii="Calibri" w:hAnsi="Calibri" w:cs="Calibri"/>
          <w:lang w:val="en-US"/>
        </w:rPr>
        <w:t>Cochrane Australia</w:t>
      </w:r>
      <w:r>
        <w:rPr>
          <w:rFonts w:ascii="Calibri" w:hAnsi="Calibri" w:cs="Calibri"/>
          <w:lang w:val="en-US"/>
        </w:rPr>
        <w:t xml:space="preserve"> and</w:t>
      </w:r>
      <w:r w:rsidRPr="00F6681B">
        <w:rPr>
          <w:rFonts w:ascii="Calibri" w:hAnsi="Calibri" w:cs="Calibri"/>
          <w:lang w:val="en-US"/>
        </w:rPr>
        <w:t xml:space="preserve"> the Australian Living Evidence Consortium</w:t>
      </w:r>
      <w:r>
        <w:rPr>
          <w:rFonts w:ascii="Calibri" w:hAnsi="Calibri" w:cs="Calibri"/>
          <w:lang w:val="en-US"/>
        </w:rPr>
        <w:t xml:space="preserve"> are developing Living Evidence – living systematic reviews and guidelines – a new methodology for g</w:t>
      </w:r>
      <w:r w:rsidRPr="00F6681B">
        <w:rPr>
          <w:rFonts w:ascii="Calibri" w:hAnsi="Calibri" w:cs="Calibri"/>
          <w:lang w:val="en-US"/>
        </w:rPr>
        <w:t>uidelines development that facilitate rapid real-time synthesis of new evidence into guidelines</w:t>
      </w:r>
      <w:r>
        <w:rPr>
          <w:rFonts w:ascii="Calibri" w:hAnsi="Calibri" w:cs="Calibri"/>
          <w:lang w:val="en-US"/>
        </w:rPr>
        <w:t xml:space="preserve">. </w:t>
      </w:r>
      <w:r w:rsidRPr="00F6681B">
        <w:rPr>
          <w:rFonts w:ascii="Calibri" w:hAnsi="Calibri" w:cs="Calibri"/>
          <w:lang w:val="en-US"/>
        </w:rPr>
        <w:t xml:space="preserve">Living Evidence uses continuous evidence surveillance and rapid response pathways to incorporate new relevant evidence into systematic reviews and clinical practice guideline recommendations as soon as it becomes available. </w:t>
      </w:r>
    </w:p>
    <w:p w14:paraId="7C87AFF4" w14:textId="77777777" w:rsidR="007A563F" w:rsidRDefault="007A563F" w:rsidP="00B4429C">
      <w:pPr>
        <w:pStyle w:val="Heading1"/>
      </w:pPr>
      <w:bookmarkStart w:id="8" w:name="_Toc1492153"/>
    </w:p>
    <w:p w14:paraId="36473C40" w14:textId="77777777" w:rsidR="00A51E12" w:rsidRDefault="00A51E12" w:rsidP="00B4429C">
      <w:pPr>
        <w:pStyle w:val="Heading1"/>
        <w:sectPr w:rsidR="00A51E12" w:rsidSect="00BE42C0">
          <w:endnotePr>
            <w:numFmt w:val="decimal"/>
          </w:endnotePr>
          <w:pgSz w:w="11906" w:h="16838"/>
          <w:pgMar w:top="1440" w:right="1440" w:bottom="1440" w:left="1440" w:header="708" w:footer="708" w:gutter="0"/>
          <w:cols w:space="708"/>
          <w:docGrid w:linePitch="360"/>
        </w:sectPr>
      </w:pPr>
    </w:p>
    <w:p w14:paraId="73679EB0" w14:textId="34D04DD9" w:rsidR="00C73AFD" w:rsidRPr="00FF54C9" w:rsidRDefault="00C73AFD" w:rsidP="00B4429C">
      <w:pPr>
        <w:pStyle w:val="Heading1"/>
        <w:rPr>
          <w:rFonts w:cs="Arial"/>
          <w:b w:val="0"/>
          <w:color w:val="C00000"/>
        </w:rPr>
      </w:pPr>
      <w:r w:rsidRPr="00FF54C9">
        <w:rPr>
          <w:color w:val="C00000"/>
        </w:rPr>
        <w:lastRenderedPageBreak/>
        <w:t>A</w:t>
      </w:r>
      <w:r w:rsidR="007A563F" w:rsidRPr="00FF54C9">
        <w:rPr>
          <w:color w:val="C00000"/>
        </w:rPr>
        <w:t>ppendices</w:t>
      </w:r>
      <w:bookmarkEnd w:id="8"/>
    </w:p>
    <w:p w14:paraId="693FBA26" w14:textId="77777777" w:rsidR="00C73AFD" w:rsidRPr="00FF54C9" w:rsidRDefault="00C73AFD" w:rsidP="00B4429C">
      <w:pPr>
        <w:pStyle w:val="Heading2"/>
        <w:rPr>
          <w:b w:val="0"/>
          <w:color w:val="C00000"/>
        </w:rPr>
      </w:pPr>
      <w:bookmarkStart w:id="9" w:name="_Toc1492154"/>
      <w:r w:rsidRPr="00FF54C9">
        <w:rPr>
          <w:color w:val="C00000"/>
        </w:rPr>
        <w:t>Appendix 1: Glossary</w:t>
      </w:r>
      <w:bookmarkEnd w:id="9"/>
    </w:p>
    <w:p w14:paraId="1E98068C" w14:textId="77777777" w:rsidR="007515B1" w:rsidRDefault="007515B1" w:rsidP="005F5BD3"/>
    <w:p w14:paraId="0C04D6FD" w14:textId="5F5A19AE" w:rsidR="00BD55ED" w:rsidRPr="005F5BD3" w:rsidRDefault="0013601D" w:rsidP="005F5BD3">
      <w:pPr>
        <w:rPr>
          <w:rFonts w:ascii="Calibri" w:hAnsi="Calibri" w:cs="Calibri"/>
          <w:lang w:val="en-US"/>
        </w:rPr>
      </w:pPr>
      <w:r w:rsidRPr="005F0F54">
        <w:t xml:space="preserve">A list of </w:t>
      </w:r>
      <w:r>
        <w:t>medical</w:t>
      </w:r>
      <w:r w:rsidRPr="005F0F54">
        <w:t xml:space="preserve"> terms used in this Action Plan is</w:t>
      </w:r>
      <w:r w:rsidR="00C73AFD" w:rsidRPr="005F0F54">
        <w:t xml:space="preserve"> provided below in alphabetical order. </w:t>
      </w:r>
      <w:r w:rsidR="005F5BD3">
        <w:br/>
      </w:r>
    </w:p>
    <w:tbl>
      <w:tblPr>
        <w:tblStyle w:val="GridTable5Dark-Accent4"/>
        <w:tblW w:w="9071" w:type="dxa"/>
        <w:tblCellMar>
          <w:top w:w="85" w:type="dxa"/>
        </w:tblCellMar>
        <w:tblLook w:val="0420" w:firstRow="1" w:lastRow="0" w:firstColumn="0" w:lastColumn="0" w:noHBand="0" w:noVBand="1"/>
      </w:tblPr>
      <w:tblGrid>
        <w:gridCol w:w="3118"/>
        <w:gridCol w:w="5953"/>
      </w:tblGrid>
      <w:tr w:rsidR="006868BD" w:rsidRPr="00BD55ED" w14:paraId="228F54BF" w14:textId="77777777" w:rsidTr="00880BE1">
        <w:trPr>
          <w:cnfStyle w:val="100000000000" w:firstRow="1" w:lastRow="0" w:firstColumn="0" w:lastColumn="0" w:oddVBand="0" w:evenVBand="0" w:oddHBand="0" w:evenHBand="0" w:firstRowFirstColumn="0" w:firstRowLastColumn="0" w:lastRowFirstColumn="0" w:lastRowLastColumn="0"/>
          <w:trHeight w:val="57"/>
        </w:trPr>
        <w:tc>
          <w:tcPr>
            <w:tcW w:w="3118" w:type="dxa"/>
          </w:tcPr>
          <w:p w14:paraId="25CE875E" w14:textId="3CD2E17F" w:rsidR="00BD55ED" w:rsidRPr="007453EB" w:rsidRDefault="00880BE1" w:rsidP="00E457B9">
            <w:pPr>
              <w:widowControl w:val="0"/>
              <w:autoSpaceDE w:val="0"/>
              <w:autoSpaceDN w:val="0"/>
              <w:adjustRightInd w:val="0"/>
              <w:spacing w:after="240"/>
              <w:rPr>
                <w:rFonts w:ascii="Calibri" w:hAnsi="Calibri" w:cs="Calibri"/>
                <w:color w:val="auto"/>
                <w:lang w:val="en-US"/>
              </w:rPr>
            </w:pPr>
            <w:r w:rsidRPr="007453EB">
              <w:rPr>
                <w:rFonts w:ascii="Calibri" w:hAnsi="Calibri" w:cs="Calibri"/>
                <w:color w:val="auto"/>
                <w:lang w:val="en-US"/>
              </w:rPr>
              <w:t>Term</w:t>
            </w:r>
          </w:p>
        </w:tc>
        <w:tc>
          <w:tcPr>
            <w:tcW w:w="5953" w:type="dxa"/>
          </w:tcPr>
          <w:p w14:paraId="0C2FD872" w14:textId="7F1C810E" w:rsidR="00BD55ED" w:rsidRPr="007453EB" w:rsidRDefault="00880BE1" w:rsidP="00E457B9">
            <w:pPr>
              <w:widowControl w:val="0"/>
              <w:autoSpaceDE w:val="0"/>
              <w:autoSpaceDN w:val="0"/>
              <w:adjustRightInd w:val="0"/>
              <w:spacing w:after="240"/>
              <w:rPr>
                <w:rFonts w:ascii="Calibri" w:hAnsi="Calibri" w:cs="Calibri"/>
                <w:color w:val="auto"/>
                <w:lang w:val="en-US"/>
              </w:rPr>
            </w:pPr>
            <w:r w:rsidRPr="007453EB">
              <w:rPr>
                <w:rFonts w:ascii="Calibri" w:hAnsi="Calibri" w:cs="Calibri"/>
                <w:color w:val="auto"/>
                <w:lang w:val="en-US"/>
              </w:rPr>
              <w:t>Description</w:t>
            </w:r>
          </w:p>
        </w:tc>
      </w:tr>
      <w:tr w:rsidR="00880BE1" w:rsidRPr="00BD55ED" w14:paraId="68959D2F" w14:textId="77777777" w:rsidTr="00880BE1">
        <w:trPr>
          <w:cnfStyle w:val="000000100000" w:firstRow="0" w:lastRow="0" w:firstColumn="0" w:lastColumn="0" w:oddVBand="0" w:evenVBand="0" w:oddHBand="1" w:evenHBand="0" w:firstRowFirstColumn="0" w:firstRowLastColumn="0" w:lastRowFirstColumn="0" w:lastRowLastColumn="0"/>
          <w:trHeight w:val="20"/>
        </w:trPr>
        <w:tc>
          <w:tcPr>
            <w:tcW w:w="3118" w:type="dxa"/>
          </w:tcPr>
          <w:p w14:paraId="29DC6907" w14:textId="6149D247" w:rsidR="00880BE1" w:rsidRPr="00BD55ED" w:rsidRDefault="00880BE1"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ALBUMINURIA</w:t>
            </w:r>
          </w:p>
        </w:tc>
        <w:tc>
          <w:tcPr>
            <w:tcW w:w="5953" w:type="dxa"/>
          </w:tcPr>
          <w:p w14:paraId="07B5E818" w14:textId="5C75F2A6" w:rsidR="00880BE1" w:rsidRPr="00BD55ED" w:rsidRDefault="00880BE1"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Protein in the urine</w:t>
            </w:r>
            <w:r>
              <w:rPr>
                <w:rFonts w:ascii="Calibri" w:hAnsi="Calibri" w:cs="Calibri"/>
                <w:lang w:val="en-US"/>
              </w:rPr>
              <w:t>.</w:t>
            </w:r>
          </w:p>
        </w:tc>
      </w:tr>
      <w:tr w:rsidR="001B4CF4" w:rsidRPr="00BD55ED" w14:paraId="403670EA" w14:textId="77777777" w:rsidTr="00880BE1">
        <w:trPr>
          <w:trHeight w:val="20"/>
        </w:trPr>
        <w:tc>
          <w:tcPr>
            <w:tcW w:w="3118" w:type="dxa"/>
          </w:tcPr>
          <w:p w14:paraId="53E6FD7D" w14:textId="35D50516"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CARDIOVASCULAR DISEASE</w:t>
            </w:r>
          </w:p>
        </w:tc>
        <w:tc>
          <w:tcPr>
            <w:tcW w:w="5953" w:type="dxa"/>
          </w:tcPr>
          <w:p w14:paraId="6FB2FA3A" w14:textId="4A32307F"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Includes all diseases and conditions of the heart and blood vessels, such as arteries and veins.</w:t>
            </w:r>
          </w:p>
        </w:tc>
      </w:tr>
      <w:tr w:rsidR="006868BD" w:rsidRPr="00BD55ED" w14:paraId="4568B55D" w14:textId="77777777" w:rsidTr="00880BE1">
        <w:trPr>
          <w:cnfStyle w:val="000000100000" w:firstRow="0" w:lastRow="0" w:firstColumn="0" w:lastColumn="0" w:oddVBand="0" w:evenVBand="0" w:oddHBand="1" w:evenHBand="0" w:firstRowFirstColumn="0" w:firstRowLastColumn="0" w:lastRowFirstColumn="0" w:lastRowLastColumn="0"/>
          <w:trHeight w:val="20"/>
        </w:trPr>
        <w:tc>
          <w:tcPr>
            <w:tcW w:w="3118" w:type="dxa"/>
          </w:tcPr>
          <w:p w14:paraId="52FE2179" w14:textId="133A9079"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CHRONIC KIDNEY DISEASE (CKD)</w:t>
            </w:r>
          </w:p>
        </w:tc>
        <w:tc>
          <w:tcPr>
            <w:tcW w:w="5953" w:type="dxa"/>
          </w:tcPr>
          <w:p w14:paraId="0396A5F1" w14:textId="29292C4B" w:rsidR="00BD55ED" w:rsidRPr="00BD55ED" w:rsidRDefault="00143D70" w:rsidP="00E457B9">
            <w:pPr>
              <w:widowControl w:val="0"/>
              <w:autoSpaceDE w:val="0"/>
              <w:autoSpaceDN w:val="0"/>
              <w:adjustRightInd w:val="0"/>
              <w:spacing w:after="240"/>
              <w:rPr>
                <w:rFonts w:ascii="Calibri" w:hAnsi="Calibri" w:cs="Calibri"/>
                <w:lang w:val="en-US"/>
              </w:rPr>
            </w:pPr>
            <w:r>
              <w:rPr>
                <w:rFonts w:ascii="Calibri" w:hAnsi="Calibri" w:cs="Calibri"/>
                <w:lang w:val="en-US"/>
              </w:rPr>
              <w:t>A</w:t>
            </w:r>
            <w:r w:rsidR="00BD55ED" w:rsidRPr="00BD55ED">
              <w:rPr>
                <w:rFonts w:ascii="Calibri" w:hAnsi="Calibri" w:cs="Calibri"/>
                <w:lang w:val="en-US"/>
              </w:rPr>
              <w:t>ll kidney conditions where a person has evidence of kidney damage and/or reduced kidney function that lasts for three months.</w:t>
            </w:r>
          </w:p>
        </w:tc>
      </w:tr>
      <w:tr w:rsidR="001B4CF4" w:rsidRPr="00BD55ED" w14:paraId="461127D9" w14:textId="77777777" w:rsidTr="00880BE1">
        <w:trPr>
          <w:trHeight w:val="20"/>
        </w:trPr>
        <w:tc>
          <w:tcPr>
            <w:tcW w:w="3118" w:type="dxa"/>
          </w:tcPr>
          <w:p w14:paraId="748547EF" w14:textId="20323AF4"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SUPPORTIVE CARE</w:t>
            </w:r>
          </w:p>
        </w:tc>
        <w:tc>
          <w:tcPr>
            <w:tcW w:w="5953" w:type="dxa"/>
          </w:tcPr>
          <w:p w14:paraId="5D028E12" w14:textId="0EE21D7F"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 xml:space="preserve">Also known as non-renal replacement therapy. Active treatment for ESKD that does not involve dialysis or a transplant. Uses diet and medication to manage symptoms of kidney failure. </w:t>
            </w:r>
          </w:p>
        </w:tc>
      </w:tr>
      <w:tr w:rsidR="006868BD" w:rsidRPr="00BD55ED" w14:paraId="7D1D5A0D" w14:textId="77777777" w:rsidTr="00880BE1">
        <w:trPr>
          <w:cnfStyle w:val="000000100000" w:firstRow="0" w:lastRow="0" w:firstColumn="0" w:lastColumn="0" w:oddVBand="0" w:evenVBand="0" w:oddHBand="1" w:evenHBand="0" w:firstRowFirstColumn="0" w:firstRowLastColumn="0" w:lastRowFirstColumn="0" w:lastRowLastColumn="0"/>
          <w:trHeight w:val="20"/>
        </w:trPr>
        <w:tc>
          <w:tcPr>
            <w:tcW w:w="3118" w:type="dxa"/>
          </w:tcPr>
          <w:p w14:paraId="165E049A" w14:textId="6BF8B519"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CREATININE</w:t>
            </w:r>
          </w:p>
        </w:tc>
        <w:tc>
          <w:tcPr>
            <w:tcW w:w="5953" w:type="dxa"/>
          </w:tcPr>
          <w:p w14:paraId="1B328B79" w14:textId="34D536D0"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A breakdown product of protein metabolism. The concentration of creatinine in the blood is used as a measure of kidney function.</w:t>
            </w:r>
          </w:p>
        </w:tc>
      </w:tr>
      <w:tr w:rsidR="001B4CF4" w:rsidRPr="00BD55ED" w14:paraId="31A3D0E7" w14:textId="77777777" w:rsidTr="00880BE1">
        <w:trPr>
          <w:trHeight w:val="20"/>
        </w:trPr>
        <w:tc>
          <w:tcPr>
            <w:tcW w:w="3118" w:type="dxa"/>
          </w:tcPr>
          <w:p w14:paraId="3DF7F28D" w14:textId="5295F4C9"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DIABETES</w:t>
            </w:r>
          </w:p>
        </w:tc>
        <w:tc>
          <w:tcPr>
            <w:tcW w:w="5953" w:type="dxa"/>
          </w:tcPr>
          <w:p w14:paraId="6A148E4B" w14:textId="2FC4879C"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 xml:space="preserve">Is a chronic disease caused by problems with the production and/or action of insulin in the </w:t>
            </w:r>
            <w:proofErr w:type="gramStart"/>
            <w:r w:rsidRPr="00BD55ED">
              <w:rPr>
                <w:rFonts w:ascii="Calibri" w:hAnsi="Calibri" w:cs="Calibri"/>
                <w:lang w:val="en-US"/>
              </w:rPr>
              <w:t>body.</w:t>
            </w:r>
            <w:proofErr w:type="gramEnd"/>
          </w:p>
        </w:tc>
      </w:tr>
      <w:tr w:rsidR="006868BD" w:rsidRPr="00BD55ED" w14:paraId="1F0468E3" w14:textId="77777777" w:rsidTr="00880BE1">
        <w:trPr>
          <w:cnfStyle w:val="000000100000" w:firstRow="0" w:lastRow="0" w:firstColumn="0" w:lastColumn="0" w:oddVBand="0" w:evenVBand="0" w:oddHBand="1" w:evenHBand="0" w:firstRowFirstColumn="0" w:firstRowLastColumn="0" w:lastRowFirstColumn="0" w:lastRowLastColumn="0"/>
          <w:trHeight w:val="20"/>
        </w:trPr>
        <w:tc>
          <w:tcPr>
            <w:tcW w:w="3118" w:type="dxa"/>
          </w:tcPr>
          <w:p w14:paraId="42B8E2BD" w14:textId="213CD3C6"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DIALYSIS</w:t>
            </w:r>
          </w:p>
        </w:tc>
        <w:tc>
          <w:tcPr>
            <w:tcW w:w="5953" w:type="dxa"/>
          </w:tcPr>
          <w:p w14:paraId="7491F8D8" w14:textId="29320C06"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 xml:space="preserve">A treatment for kidney failure, which removes wastes and extra fluid from the blood by filtering through a special membrane.  There are two types of dialysis, </w:t>
            </w:r>
            <w:proofErr w:type="spellStart"/>
            <w:r w:rsidRPr="00BD55ED">
              <w:rPr>
                <w:rFonts w:ascii="Calibri" w:hAnsi="Calibri" w:cs="Calibri"/>
                <w:lang w:val="en-US"/>
              </w:rPr>
              <w:t>haemodialysis</w:t>
            </w:r>
            <w:proofErr w:type="spellEnd"/>
            <w:r w:rsidRPr="00BD55ED">
              <w:rPr>
                <w:rFonts w:ascii="Calibri" w:hAnsi="Calibri" w:cs="Calibri"/>
                <w:lang w:val="en-US"/>
              </w:rPr>
              <w:t xml:space="preserve"> and peritoneal dialysis. </w:t>
            </w:r>
          </w:p>
        </w:tc>
      </w:tr>
      <w:tr w:rsidR="001B4CF4" w:rsidRPr="00BD55ED" w14:paraId="1FAD79E9" w14:textId="77777777" w:rsidTr="00880BE1">
        <w:trPr>
          <w:trHeight w:val="20"/>
        </w:trPr>
        <w:tc>
          <w:tcPr>
            <w:tcW w:w="3118" w:type="dxa"/>
          </w:tcPr>
          <w:p w14:paraId="14757BA0" w14:textId="26DCA632"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eGFR</w:t>
            </w:r>
          </w:p>
        </w:tc>
        <w:tc>
          <w:tcPr>
            <w:tcW w:w="5953" w:type="dxa"/>
          </w:tcPr>
          <w:p w14:paraId="07388E08" w14:textId="63312C68" w:rsidR="00BD55ED" w:rsidRPr="00BD55ED" w:rsidRDefault="00143D70" w:rsidP="00E457B9">
            <w:pPr>
              <w:widowControl w:val="0"/>
              <w:autoSpaceDE w:val="0"/>
              <w:autoSpaceDN w:val="0"/>
              <w:adjustRightInd w:val="0"/>
              <w:spacing w:after="240"/>
              <w:rPr>
                <w:rFonts w:ascii="Calibri" w:hAnsi="Calibri" w:cs="Calibri"/>
                <w:lang w:val="en-US"/>
              </w:rPr>
            </w:pPr>
            <w:r>
              <w:rPr>
                <w:rFonts w:ascii="Calibri" w:hAnsi="Calibri" w:cs="Calibri"/>
                <w:lang w:val="en-US"/>
              </w:rPr>
              <w:t>‘</w:t>
            </w:r>
            <w:r w:rsidR="00BD55ED" w:rsidRPr="00BD55ED">
              <w:rPr>
                <w:rFonts w:ascii="Calibri" w:hAnsi="Calibri" w:cs="Calibri"/>
                <w:lang w:val="en-US"/>
              </w:rPr>
              <w:t>estimated glomerular filtration rate’ measures how well the kidneys filter wastes from the blood.</w:t>
            </w:r>
          </w:p>
        </w:tc>
      </w:tr>
      <w:tr w:rsidR="006868BD" w:rsidRPr="00BD55ED" w14:paraId="49E9E96D" w14:textId="77777777" w:rsidTr="00880BE1">
        <w:trPr>
          <w:cnfStyle w:val="000000100000" w:firstRow="0" w:lastRow="0" w:firstColumn="0" w:lastColumn="0" w:oddVBand="0" w:evenVBand="0" w:oddHBand="1" w:evenHBand="0" w:firstRowFirstColumn="0" w:firstRowLastColumn="0" w:lastRowFirstColumn="0" w:lastRowLastColumn="0"/>
          <w:trHeight w:val="20"/>
        </w:trPr>
        <w:tc>
          <w:tcPr>
            <w:tcW w:w="3118" w:type="dxa"/>
          </w:tcPr>
          <w:p w14:paraId="7B1D0702" w14:textId="012C28BD"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END-STAGE KIDNEY DISEASE (ESKD)</w:t>
            </w:r>
          </w:p>
        </w:tc>
        <w:tc>
          <w:tcPr>
            <w:tcW w:w="5953" w:type="dxa"/>
          </w:tcPr>
          <w:p w14:paraId="5D2AB18A" w14:textId="34321496"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Also known as end-stage renal disease (ESRD). It is when the kidneys have totally or almost totally stopped working. People with ESKD must either have regular dialysis (use a machine that filters the blood) or have a kidney transplant to stay alive.</w:t>
            </w:r>
          </w:p>
        </w:tc>
      </w:tr>
      <w:tr w:rsidR="001B4CF4" w:rsidRPr="00BD55ED" w14:paraId="5C868587" w14:textId="77777777" w:rsidTr="00880BE1">
        <w:trPr>
          <w:trHeight w:val="20"/>
        </w:trPr>
        <w:tc>
          <w:tcPr>
            <w:tcW w:w="3118" w:type="dxa"/>
          </w:tcPr>
          <w:p w14:paraId="3A4B0B4F" w14:textId="30E8D41D" w:rsidR="00BD55ED" w:rsidRPr="00BD55ED" w:rsidRDefault="00BD55ED" w:rsidP="00E457B9">
            <w:pPr>
              <w:widowControl w:val="0"/>
              <w:autoSpaceDE w:val="0"/>
              <w:autoSpaceDN w:val="0"/>
              <w:adjustRightInd w:val="0"/>
              <w:spacing w:after="240"/>
              <w:rPr>
                <w:rFonts w:ascii="Calibri" w:hAnsi="Calibri" w:cs="Calibri"/>
                <w:caps/>
                <w:lang w:val="en-US"/>
              </w:rPr>
            </w:pPr>
            <w:r w:rsidRPr="00BD55ED">
              <w:rPr>
                <w:rFonts w:ascii="Calibri" w:hAnsi="Calibri" w:cs="Calibri"/>
                <w:caps/>
                <w:lang w:val="en-US"/>
              </w:rPr>
              <w:t>glomerulonephritis</w:t>
            </w:r>
          </w:p>
        </w:tc>
        <w:tc>
          <w:tcPr>
            <w:tcW w:w="5953" w:type="dxa"/>
          </w:tcPr>
          <w:p w14:paraId="2DACE2D3" w14:textId="112178BB"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A range of diseases that cause Inflammation of the kidney.</w:t>
            </w:r>
          </w:p>
        </w:tc>
      </w:tr>
      <w:tr w:rsidR="006868BD" w:rsidRPr="00BD55ED" w14:paraId="121108B9" w14:textId="77777777" w:rsidTr="00880BE1">
        <w:trPr>
          <w:cnfStyle w:val="000000100000" w:firstRow="0" w:lastRow="0" w:firstColumn="0" w:lastColumn="0" w:oddVBand="0" w:evenVBand="0" w:oddHBand="1" w:evenHBand="0" w:firstRowFirstColumn="0" w:firstRowLastColumn="0" w:lastRowFirstColumn="0" w:lastRowLastColumn="0"/>
          <w:trHeight w:val="20"/>
        </w:trPr>
        <w:tc>
          <w:tcPr>
            <w:tcW w:w="3118" w:type="dxa"/>
          </w:tcPr>
          <w:p w14:paraId="7FEA9FCA" w14:textId="3EC0C956"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HAEMATURIA</w:t>
            </w:r>
          </w:p>
        </w:tc>
        <w:tc>
          <w:tcPr>
            <w:tcW w:w="5953" w:type="dxa"/>
          </w:tcPr>
          <w:p w14:paraId="2FBD73D2" w14:textId="39141CF5"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Blood in the urine.</w:t>
            </w:r>
          </w:p>
        </w:tc>
      </w:tr>
      <w:tr w:rsidR="001B4CF4" w:rsidRPr="00BD55ED" w14:paraId="33310EBB" w14:textId="77777777" w:rsidTr="00880BE1">
        <w:trPr>
          <w:trHeight w:val="20"/>
        </w:trPr>
        <w:tc>
          <w:tcPr>
            <w:tcW w:w="3118" w:type="dxa"/>
          </w:tcPr>
          <w:p w14:paraId="2ED8670D" w14:textId="4065D5C1"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HAEMODIALYSIS</w:t>
            </w:r>
          </w:p>
        </w:tc>
        <w:tc>
          <w:tcPr>
            <w:tcW w:w="5953" w:type="dxa"/>
          </w:tcPr>
          <w:p w14:paraId="328854FC" w14:textId="612A887F"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Blood travels through a special filter called a ‘</w:t>
            </w:r>
            <w:proofErr w:type="spellStart"/>
            <w:r w:rsidRPr="00BD55ED">
              <w:rPr>
                <w:rFonts w:ascii="Calibri" w:hAnsi="Calibri" w:cs="Calibri"/>
                <w:lang w:val="en-US"/>
              </w:rPr>
              <w:t>dialyser</w:t>
            </w:r>
            <w:proofErr w:type="spellEnd"/>
            <w:r w:rsidRPr="00BD55ED">
              <w:rPr>
                <w:rFonts w:ascii="Calibri" w:hAnsi="Calibri" w:cs="Calibri"/>
                <w:lang w:val="en-US"/>
              </w:rPr>
              <w:t xml:space="preserve">’ before being returned cleaned to the body. </w:t>
            </w:r>
          </w:p>
        </w:tc>
      </w:tr>
      <w:tr w:rsidR="006868BD" w:rsidRPr="00BD55ED" w14:paraId="626DDBD4" w14:textId="77777777" w:rsidTr="00880BE1">
        <w:trPr>
          <w:cnfStyle w:val="000000100000" w:firstRow="0" w:lastRow="0" w:firstColumn="0" w:lastColumn="0" w:oddVBand="0" w:evenVBand="0" w:oddHBand="1" w:evenHBand="0" w:firstRowFirstColumn="0" w:firstRowLastColumn="0" w:lastRowFirstColumn="0" w:lastRowLastColumn="0"/>
          <w:trHeight w:val="20"/>
        </w:trPr>
        <w:tc>
          <w:tcPr>
            <w:tcW w:w="3118" w:type="dxa"/>
          </w:tcPr>
          <w:p w14:paraId="0237F51B" w14:textId="65BCF90E"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HYPERTENSION</w:t>
            </w:r>
          </w:p>
        </w:tc>
        <w:tc>
          <w:tcPr>
            <w:tcW w:w="5953" w:type="dxa"/>
          </w:tcPr>
          <w:p w14:paraId="7C0EE4D6" w14:textId="5EC53645"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High blood pressure.</w:t>
            </w:r>
          </w:p>
        </w:tc>
      </w:tr>
      <w:tr w:rsidR="001B4CF4" w:rsidRPr="00BD55ED" w14:paraId="634DEAA4" w14:textId="77777777" w:rsidTr="00880BE1">
        <w:trPr>
          <w:trHeight w:val="20"/>
        </w:trPr>
        <w:tc>
          <w:tcPr>
            <w:tcW w:w="3118" w:type="dxa"/>
          </w:tcPr>
          <w:p w14:paraId="46F28FB3" w14:textId="0BF26193"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NEPHRONS</w:t>
            </w:r>
          </w:p>
        </w:tc>
        <w:tc>
          <w:tcPr>
            <w:tcW w:w="5953" w:type="dxa"/>
          </w:tcPr>
          <w:p w14:paraId="2B97380C" w14:textId="3020C411"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 xml:space="preserve">Filtering units of the kidneys. </w:t>
            </w:r>
          </w:p>
        </w:tc>
      </w:tr>
      <w:tr w:rsidR="006868BD" w:rsidRPr="00BD55ED" w14:paraId="1BFFD475" w14:textId="77777777" w:rsidTr="00880BE1">
        <w:trPr>
          <w:cnfStyle w:val="000000100000" w:firstRow="0" w:lastRow="0" w:firstColumn="0" w:lastColumn="0" w:oddVBand="0" w:evenVBand="0" w:oddHBand="1" w:evenHBand="0" w:firstRowFirstColumn="0" w:firstRowLastColumn="0" w:lastRowFirstColumn="0" w:lastRowLastColumn="0"/>
          <w:trHeight w:val="20"/>
        </w:trPr>
        <w:tc>
          <w:tcPr>
            <w:tcW w:w="3118" w:type="dxa"/>
          </w:tcPr>
          <w:p w14:paraId="56724A51" w14:textId="2E009DFB"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lastRenderedPageBreak/>
              <w:t>OEDEMA</w:t>
            </w:r>
          </w:p>
        </w:tc>
        <w:tc>
          <w:tcPr>
            <w:tcW w:w="5953" w:type="dxa"/>
          </w:tcPr>
          <w:p w14:paraId="3F2F7DF4" w14:textId="495F1D17"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Swelling caused by the accumulation of fluid in body tissues</w:t>
            </w:r>
            <w:r w:rsidR="004F1345">
              <w:rPr>
                <w:rFonts w:ascii="Calibri" w:hAnsi="Calibri" w:cs="Calibri"/>
                <w:lang w:val="en-US"/>
              </w:rPr>
              <w:t>.</w:t>
            </w:r>
          </w:p>
        </w:tc>
      </w:tr>
      <w:tr w:rsidR="001B4CF4" w:rsidRPr="00BD55ED" w14:paraId="7A2BC806" w14:textId="77777777" w:rsidTr="00880BE1">
        <w:trPr>
          <w:trHeight w:val="20"/>
        </w:trPr>
        <w:tc>
          <w:tcPr>
            <w:tcW w:w="3118" w:type="dxa"/>
          </w:tcPr>
          <w:p w14:paraId="221F2276" w14:textId="45034672"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OSTEOPOROSIS</w:t>
            </w:r>
          </w:p>
        </w:tc>
        <w:tc>
          <w:tcPr>
            <w:tcW w:w="5953" w:type="dxa"/>
          </w:tcPr>
          <w:p w14:paraId="408645AD" w14:textId="59C6C102"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Reduction in bone mass and density, also known as brittle bones.</w:t>
            </w:r>
          </w:p>
        </w:tc>
      </w:tr>
      <w:tr w:rsidR="006868BD" w:rsidRPr="00BD55ED" w14:paraId="755162FC" w14:textId="77777777" w:rsidTr="00880BE1">
        <w:trPr>
          <w:cnfStyle w:val="000000100000" w:firstRow="0" w:lastRow="0" w:firstColumn="0" w:lastColumn="0" w:oddVBand="0" w:evenVBand="0" w:oddHBand="1" w:evenHBand="0" w:firstRowFirstColumn="0" w:firstRowLastColumn="0" w:lastRowFirstColumn="0" w:lastRowLastColumn="0"/>
          <w:trHeight w:val="20"/>
        </w:trPr>
        <w:tc>
          <w:tcPr>
            <w:tcW w:w="3118" w:type="dxa"/>
          </w:tcPr>
          <w:p w14:paraId="1C244EAD" w14:textId="0FAA984E" w:rsidR="00BD55ED" w:rsidRPr="00BD55ED" w:rsidRDefault="00BD55ED" w:rsidP="00E457B9">
            <w:pPr>
              <w:widowControl w:val="0"/>
              <w:autoSpaceDE w:val="0"/>
              <w:autoSpaceDN w:val="0"/>
              <w:adjustRightInd w:val="0"/>
              <w:spacing w:after="240"/>
              <w:rPr>
                <w:rFonts w:ascii="Calibri" w:hAnsi="Calibri" w:cs="Calibri"/>
                <w:caps/>
                <w:lang w:val="en-US"/>
              </w:rPr>
            </w:pPr>
            <w:r w:rsidRPr="00BD55ED">
              <w:rPr>
                <w:rFonts w:ascii="Calibri" w:hAnsi="Calibri" w:cs="Calibri"/>
                <w:caps/>
                <w:lang w:val="en-US"/>
              </w:rPr>
              <w:t>Peritoneal dialysis</w:t>
            </w:r>
          </w:p>
        </w:tc>
        <w:tc>
          <w:tcPr>
            <w:tcW w:w="5953" w:type="dxa"/>
          </w:tcPr>
          <w:p w14:paraId="7CA587A3" w14:textId="1D6808B5"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Is where a special fluid is put into the peritoneal cavity through a soft plastic tube, then drained out of the body.</w:t>
            </w:r>
          </w:p>
        </w:tc>
      </w:tr>
      <w:tr w:rsidR="001B4CF4" w:rsidRPr="00BD55ED" w14:paraId="54E0AB1A" w14:textId="77777777" w:rsidTr="00880BE1">
        <w:trPr>
          <w:trHeight w:val="20"/>
        </w:trPr>
        <w:tc>
          <w:tcPr>
            <w:tcW w:w="3118" w:type="dxa"/>
          </w:tcPr>
          <w:p w14:paraId="50D827B2" w14:textId="5E94FDD0"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POLYCYSTIC KIDNEY DISEASE</w:t>
            </w:r>
          </w:p>
        </w:tc>
        <w:tc>
          <w:tcPr>
            <w:tcW w:w="5953" w:type="dxa"/>
          </w:tcPr>
          <w:p w14:paraId="4E4F579B" w14:textId="43665F34"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A genetic kidney disorder characterised by multiple cysts in the kidneys.</w:t>
            </w:r>
          </w:p>
        </w:tc>
      </w:tr>
      <w:tr w:rsidR="006868BD" w:rsidRPr="00BD55ED" w14:paraId="040CC99E" w14:textId="77777777" w:rsidTr="00880BE1">
        <w:trPr>
          <w:cnfStyle w:val="000000100000" w:firstRow="0" w:lastRow="0" w:firstColumn="0" w:lastColumn="0" w:oddVBand="0" w:evenVBand="0" w:oddHBand="1" w:evenHBand="0" w:firstRowFirstColumn="0" w:firstRowLastColumn="0" w:lastRowFirstColumn="0" w:lastRowLastColumn="0"/>
          <w:trHeight w:val="20"/>
        </w:trPr>
        <w:tc>
          <w:tcPr>
            <w:tcW w:w="3118" w:type="dxa"/>
          </w:tcPr>
          <w:p w14:paraId="7FFDDB38" w14:textId="34EEE08E"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SIDE EFFECTS</w:t>
            </w:r>
          </w:p>
        </w:tc>
        <w:tc>
          <w:tcPr>
            <w:tcW w:w="5953" w:type="dxa"/>
          </w:tcPr>
          <w:p w14:paraId="4A10DD76" w14:textId="52561139"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Unfavourable reactions to a medication.</w:t>
            </w:r>
          </w:p>
        </w:tc>
      </w:tr>
      <w:tr w:rsidR="001B4CF4" w:rsidRPr="00BD55ED" w14:paraId="740E28CB" w14:textId="77777777" w:rsidTr="00880BE1">
        <w:trPr>
          <w:trHeight w:val="20"/>
        </w:trPr>
        <w:tc>
          <w:tcPr>
            <w:tcW w:w="3118" w:type="dxa"/>
          </w:tcPr>
          <w:p w14:paraId="6B8E6150" w14:textId="33B42EB6"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SUPPORTIVE CARE</w:t>
            </w:r>
          </w:p>
        </w:tc>
        <w:tc>
          <w:tcPr>
            <w:tcW w:w="5953" w:type="dxa"/>
          </w:tcPr>
          <w:p w14:paraId="799F6C64" w14:textId="7FA884F7" w:rsidR="00BD55ED" w:rsidRPr="00BD55ED" w:rsidRDefault="00BD55ED" w:rsidP="00E457B9">
            <w:pPr>
              <w:widowControl w:val="0"/>
              <w:autoSpaceDE w:val="0"/>
              <w:autoSpaceDN w:val="0"/>
              <w:adjustRightInd w:val="0"/>
              <w:spacing w:after="240"/>
              <w:rPr>
                <w:rFonts w:ascii="Calibri" w:hAnsi="Calibri" w:cs="Calibri"/>
                <w:lang w:val="en-US"/>
              </w:rPr>
            </w:pPr>
            <w:r w:rsidRPr="00BD55ED">
              <w:rPr>
                <w:rFonts w:ascii="Calibri" w:hAnsi="Calibri" w:cs="Calibri"/>
                <w:lang w:val="en-US"/>
              </w:rPr>
              <w:t>Also known as non-renal replacement therapy. Active treatment for ESKD that does not involve dialysis or a transplant. Uses diet and medication to manage symptoms of kidney failure.</w:t>
            </w:r>
          </w:p>
        </w:tc>
      </w:tr>
    </w:tbl>
    <w:p w14:paraId="68740011" w14:textId="47F24015" w:rsidR="00C73AFD" w:rsidRDefault="00C73AFD" w:rsidP="00C73AFD">
      <w:pPr>
        <w:widowControl w:val="0"/>
        <w:autoSpaceDE w:val="0"/>
        <w:autoSpaceDN w:val="0"/>
        <w:adjustRightInd w:val="0"/>
        <w:spacing w:after="240"/>
        <w:rPr>
          <w:rFonts w:ascii="Calibri" w:hAnsi="Calibri" w:cs="Calibri"/>
          <w:lang w:val="en-US"/>
        </w:rPr>
      </w:pPr>
      <w:r>
        <w:rPr>
          <w:rFonts w:ascii="Calibri" w:hAnsi="Calibri" w:cs="Calibri"/>
          <w:lang w:val="en-US"/>
        </w:rPr>
        <w:br w:type="page"/>
      </w:r>
    </w:p>
    <w:p w14:paraId="5BBBF4D6" w14:textId="2B9324F7" w:rsidR="00C73AFD" w:rsidRPr="00DB5DE6" w:rsidRDefault="00DB5DE6" w:rsidP="00557114">
      <w:pPr>
        <w:pStyle w:val="Heading1"/>
        <w:rPr>
          <w:color w:val="C00000"/>
          <w:sz w:val="28"/>
          <w:szCs w:val="28"/>
          <w:lang w:val="en-US"/>
        </w:rPr>
      </w:pPr>
      <w:r w:rsidRPr="00DB5DE6">
        <w:rPr>
          <w:color w:val="C00000"/>
          <w:sz w:val="28"/>
          <w:szCs w:val="28"/>
          <w:lang w:val="en-US"/>
        </w:rPr>
        <w:lastRenderedPageBreak/>
        <w:t xml:space="preserve">Appendix 2: </w:t>
      </w:r>
      <w:r w:rsidR="00C73AFD" w:rsidRPr="00DB5DE6">
        <w:rPr>
          <w:color w:val="C00000"/>
          <w:sz w:val="28"/>
          <w:szCs w:val="28"/>
          <w:lang w:val="en-US"/>
        </w:rPr>
        <w:t>Abbreviations</w:t>
      </w:r>
    </w:p>
    <w:p w14:paraId="40B9F48C" w14:textId="77777777" w:rsidR="00557114" w:rsidRDefault="00557114" w:rsidP="00113073">
      <w:pPr>
        <w:widowControl w:val="0"/>
        <w:autoSpaceDE w:val="0"/>
        <w:autoSpaceDN w:val="0"/>
        <w:adjustRightInd w:val="0"/>
        <w:spacing w:after="240"/>
        <w:rPr>
          <w:rFonts w:asciiTheme="majorHAnsi" w:hAnsiTheme="majorHAnsi" w:cs="Calibri"/>
          <w:color w:val="000000" w:themeColor="text1"/>
          <w:lang w:val="en-US"/>
        </w:rPr>
      </w:pPr>
    </w:p>
    <w:tbl>
      <w:tblPr>
        <w:tblStyle w:val="TableGrid"/>
        <w:tblW w:w="9071" w:type="dxa"/>
        <w:tblLook w:val="04A0" w:firstRow="1" w:lastRow="0" w:firstColumn="1" w:lastColumn="0" w:noHBand="0" w:noVBand="1"/>
      </w:tblPr>
      <w:tblGrid>
        <w:gridCol w:w="1134"/>
        <w:gridCol w:w="7937"/>
      </w:tblGrid>
      <w:tr w:rsidR="00B720BA" w:rsidRPr="00E1003C" w14:paraId="06F62C8B" w14:textId="77777777" w:rsidTr="00097AB0">
        <w:tc>
          <w:tcPr>
            <w:tcW w:w="1134" w:type="dxa"/>
          </w:tcPr>
          <w:p w14:paraId="7A826B95" w14:textId="2C3C358F" w:rsidR="00B720BA" w:rsidRPr="00E1003C" w:rsidRDefault="00432790" w:rsidP="00E1003C">
            <w:r w:rsidRPr="00E1003C">
              <w:t>ABS</w:t>
            </w:r>
          </w:p>
        </w:tc>
        <w:tc>
          <w:tcPr>
            <w:tcW w:w="7937" w:type="dxa"/>
          </w:tcPr>
          <w:p w14:paraId="2BBCD9A4" w14:textId="47809E0D" w:rsidR="00B720BA" w:rsidRPr="00E1003C" w:rsidRDefault="00B720BA" w:rsidP="00E1003C">
            <w:r w:rsidRPr="00E1003C">
              <w:t>Australian Bureau of Statistics</w:t>
            </w:r>
          </w:p>
        </w:tc>
      </w:tr>
      <w:tr w:rsidR="00B720BA" w:rsidRPr="00E1003C" w14:paraId="78BBE9CF" w14:textId="77777777" w:rsidTr="00097AB0">
        <w:tc>
          <w:tcPr>
            <w:tcW w:w="1134" w:type="dxa"/>
          </w:tcPr>
          <w:p w14:paraId="01BB2D6D" w14:textId="18F32D06" w:rsidR="00B720BA" w:rsidRPr="00E1003C" w:rsidRDefault="00432790" w:rsidP="00E1003C">
            <w:r w:rsidRPr="00E1003C">
              <w:t>ACCHS</w:t>
            </w:r>
          </w:p>
        </w:tc>
        <w:tc>
          <w:tcPr>
            <w:tcW w:w="7937" w:type="dxa"/>
          </w:tcPr>
          <w:p w14:paraId="2D177A4F" w14:textId="2B774086" w:rsidR="00B720BA" w:rsidRPr="00E1003C" w:rsidRDefault="00B720BA" w:rsidP="00E1003C">
            <w:r w:rsidRPr="00E1003C">
              <w:t>Aboriginal Community Controlled Health Services</w:t>
            </w:r>
          </w:p>
        </w:tc>
      </w:tr>
      <w:tr w:rsidR="00B720BA" w:rsidRPr="00E1003C" w14:paraId="5F83ED4E" w14:textId="77777777" w:rsidTr="00097AB0">
        <w:tc>
          <w:tcPr>
            <w:tcW w:w="1134" w:type="dxa"/>
          </w:tcPr>
          <w:p w14:paraId="62C548B7" w14:textId="5D23F8E6" w:rsidR="00B720BA" w:rsidRPr="00E1003C" w:rsidRDefault="00432790" w:rsidP="00E1003C">
            <w:r w:rsidRPr="00E1003C">
              <w:t>AHMAC</w:t>
            </w:r>
          </w:p>
        </w:tc>
        <w:tc>
          <w:tcPr>
            <w:tcW w:w="7937" w:type="dxa"/>
          </w:tcPr>
          <w:p w14:paraId="5C05A47B" w14:textId="20EDC825" w:rsidR="00B720BA" w:rsidRPr="00E1003C" w:rsidRDefault="00B720BA" w:rsidP="00E1003C">
            <w:r w:rsidRPr="00E1003C">
              <w:t>Australian Health Ministers’ Advisory Council</w:t>
            </w:r>
          </w:p>
        </w:tc>
      </w:tr>
      <w:tr w:rsidR="00B720BA" w:rsidRPr="00E1003C" w14:paraId="51C24798" w14:textId="77777777" w:rsidTr="00097AB0">
        <w:tc>
          <w:tcPr>
            <w:tcW w:w="1134" w:type="dxa"/>
          </w:tcPr>
          <w:p w14:paraId="5E5113C4" w14:textId="2E364A1D" w:rsidR="00B720BA" w:rsidRPr="00E1003C" w:rsidRDefault="00432790" w:rsidP="00E1003C">
            <w:r w:rsidRPr="00E1003C">
              <w:t>AIHW</w:t>
            </w:r>
          </w:p>
        </w:tc>
        <w:tc>
          <w:tcPr>
            <w:tcW w:w="7937" w:type="dxa"/>
          </w:tcPr>
          <w:p w14:paraId="6333B561" w14:textId="238486DB" w:rsidR="00B720BA" w:rsidRPr="00E1003C" w:rsidRDefault="00B720BA" w:rsidP="00E1003C">
            <w:r w:rsidRPr="00E1003C">
              <w:t>Australian Institute of Health and Welfare</w:t>
            </w:r>
          </w:p>
        </w:tc>
      </w:tr>
      <w:tr w:rsidR="00B720BA" w:rsidRPr="00E1003C" w14:paraId="5931B4C0" w14:textId="77777777" w:rsidTr="00097AB0">
        <w:tc>
          <w:tcPr>
            <w:tcW w:w="1134" w:type="dxa"/>
          </w:tcPr>
          <w:p w14:paraId="56A0941A" w14:textId="60429591" w:rsidR="00B720BA" w:rsidRPr="00E1003C" w:rsidRDefault="00432790" w:rsidP="00E1003C">
            <w:r w:rsidRPr="00E1003C">
              <w:t>ANZDATA</w:t>
            </w:r>
          </w:p>
        </w:tc>
        <w:tc>
          <w:tcPr>
            <w:tcW w:w="7937" w:type="dxa"/>
          </w:tcPr>
          <w:p w14:paraId="254167A4" w14:textId="0956C14E" w:rsidR="00B720BA" w:rsidRPr="00E1003C" w:rsidRDefault="00B720BA" w:rsidP="00E1003C">
            <w:r w:rsidRPr="00E1003C">
              <w:t>Australia and New Zealand Dialysis and Transplant Registry</w:t>
            </w:r>
          </w:p>
        </w:tc>
      </w:tr>
      <w:tr w:rsidR="00B720BA" w:rsidRPr="00E1003C" w14:paraId="2EA693EE" w14:textId="77777777" w:rsidTr="00097AB0">
        <w:tc>
          <w:tcPr>
            <w:tcW w:w="1134" w:type="dxa"/>
          </w:tcPr>
          <w:p w14:paraId="6C719B93" w14:textId="2681F177" w:rsidR="00B720BA" w:rsidRPr="00E1003C" w:rsidRDefault="00432790" w:rsidP="00E1003C">
            <w:r w:rsidRPr="00E1003C">
              <w:t>ANZSN</w:t>
            </w:r>
          </w:p>
        </w:tc>
        <w:tc>
          <w:tcPr>
            <w:tcW w:w="7937" w:type="dxa"/>
          </w:tcPr>
          <w:p w14:paraId="62F0101A" w14:textId="291F07FB" w:rsidR="00B720BA" w:rsidRPr="00E1003C" w:rsidRDefault="00B720BA" w:rsidP="00E1003C">
            <w:r w:rsidRPr="00E1003C">
              <w:t>Australian and New Zealand Society of Nephrology</w:t>
            </w:r>
          </w:p>
        </w:tc>
      </w:tr>
      <w:tr w:rsidR="00B720BA" w:rsidRPr="00E1003C" w14:paraId="77E89769" w14:textId="77777777" w:rsidTr="00097AB0">
        <w:tc>
          <w:tcPr>
            <w:tcW w:w="1134" w:type="dxa"/>
          </w:tcPr>
          <w:p w14:paraId="5005929C" w14:textId="346F1A3D" w:rsidR="00B720BA" w:rsidRPr="00E1003C" w:rsidRDefault="00432790" w:rsidP="00E1003C">
            <w:r w:rsidRPr="00E1003C">
              <w:t>ADPKD</w:t>
            </w:r>
          </w:p>
        </w:tc>
        <w:tc>
          <w:tcPr>
            <w:tcW w:w="7937" w:type="dxa"/>
          </w:tcPr>
          <w:p w14:paraId="4785ED2C" w14:textId="61953715" w:rsidR="00B720BA" w:rsidRPr="00E1003C" w:rsidRDefault="00B720BA" w:rsidP="00E1003C">
            <w:r w:rsidRPr="00E1003C">
              <w:t>Autosomal Dominant Polycystic Kidney Disease</w:t>
            </w:r>
          </w:p>
        </w:tc>
      </w:tr>
      <w:tr w:rsidR="00B720BA" w:rsidRPr="00E1003C" w14:paraId="3A89D153" w14:textId="77777777" w:rsidTr="00097AB0">
        <w:tc>
          <w:tcPr>
            <w:tcW w:w="1134" w:type="dxa"/>
          </w:tcPr>
          <w:p w14:paraId="36E9C8F2" w14:textId="5B19C71F" w:rsidR="00B720BA" w:rsidRPr="00E1003C" w:rsidRDefault="00432790" w:rsidP="00E1003C">
            <w:r w:rsidRPr="00E1003C">
              <w:t>BEAT-CKD</w:t>
            </w:r>
          </w:p>
        </w:tc>
        <w:tc>
          <w:tcPr>
            <w:tcW w:w="7937" w:type="dxa"/>
          </w:tcPr>
          <w:p w14:paraId="31057C99" w14:textId="1752B5EB" w:rsidR="00B720BA" w:rsidRPr="00E1003C" w:rsidRDefault="00B720BA" w:rsidP="00E1003C">
            <w:r w:rsidRPr="00E1003C">
              <w:t xml:space="preserve">Better Evidence and Translation in Chronic Kidney Disease </w:t>
            </w:r>
          </w:p>
        </w:tc>
      </w:tr>
      <w:tr w:rsidR="00B720BA" w:rsidRPr="00E1003C" w14:paraId="5702B3BB" w14:textId="77777777" w:rsidTr="00097AB0">
        <w:tc>
          <w:tcPr>
            <w:tcW w:w="1134" w:type="dxa"/>
          </w:tcPr>
          <w:p w14:paraId="30FBE2FD" w14:textId="00C0242D" w:rsidR="00B720BA" w:rsidRPr="00E1003C" w:rsidRDefault="00432790" w:rsidP="00E1003C">
            <w:r w:rsidRPr="00E1003C">
              <w:t>CHC</w:t>
            </w:r>
          </w:p>
        </w:tc>
        <w:tc>
          <w:tcPr>
            <w:tcW w:w="7937" w:type="dxa"/>
          </w:tcPr>
          <w:p w14:paraId="54302B87" w14:textId="2C4C28A6" w:rsidR="00B720BA" w:rsidRPr="00E1003C" w:rsidRDefault="00B720BA" w:rsidP="00E1003C">
            <w:r w:rsidRPr="00E1003C">
              <w:t>Council of Australian Governments Health Council</w:t>
            </w:r>
          </w:p>
        </w:tc>
      </w:tr>
      <w:tr w:rsidR="00B720BA" w:rsidRPr="00E1003C" w14:paraId="68D2CF89" w14:textId="77777777" w:rsidTr="00097AB0">
        <w:tc>
          <w:tcPr>
            <w:tcW w:w="1134" w:type="dxa"/>
          </w:tcPr>
          <w:p w14:paraId="0CF779C6" w14:textId="0D6E7A86" w:rsidR="00B720BA" w:rsidRPr="00E1003C" w:rsidRDefault="00432790" w:rsidP="00E1003C">
            <w:r w:rsidRPr="00E1003C">
              <w:t>CKD</w:t>
            </w:r>
          </w:p>
        </w:tc>
        <w:tc>
          <w:tcPr>
            <w:tcW w:w="7937" w:type="dxa"/>
          </w:tcPr>
          <w:p w14:paraId="1DB5F709" w14:textId="26DD28AF" w:rsidR="00B720BA" w:rsidRPr="00E1003C" w:rsidRDefault="00B720BA" w:rsidP="00E1003C">
            <w:r w:rsidRPr="00E1003C">
              <w:t>chronic kidney disease</w:t>
            </w:r>
          </w:p>
        </w:tc>
      </w:tr>
      <w:tr w:rsidR="00B720BA" w:rsidRPr="00E1003C" w14:paraId="4FE76978" w14:textId="77777777" w:rsidTr="00097AB0">
        <w:tc>
          <w:tcPr>
            <w:tcW w:w="1134" w:type="dxa"/>
          </w:tcPr>
          <w:p w14:paraId="6D7D289B" w14:textId="4C978353" w:rsidR="00B720BA" w:rsidRPr="00E1003C" w:rsidRDefault="00432790" w:rsidP="00E1003C">
            <w:r w:rsidRPr="00E1003C">
              <w:t>DALY</w:t>
            </w:r>
          </w:p>
        </w:tc>
        <w:tc>
          <w:tcPr>
            <w:tcW w:w="7937" w:type="dxa"/>
          </w:tcPr>
          <w:p w14:paraId="7A70AE9B" w14:textId="6B418BA7" w:rsidR="00B720BA" w:rsidRPr="00E1003C" w:rsidRDefault="00B720BA" w:rsidP="00E1003C">
            <w:r w:rsidRPr="00E1003C">
              <w:t>disability-adjusted life years</w:t>
            </w:r>
          </w:p>
        </w:tc>
      </w:tr>
      <w:tr w:rsidR="00B720BA" w:rsidRPr="00E1003C" w14:paraId="738198E0" w14:textId="77777777" w:rsidTr="00097AB0">
        <w:tc>
          <w:tcPr>
            <w:tcW w:w="1134" w:type="dxa"/>
          </w:tcPr>
          <w:p w14:paraId="0B8A062C" w14:textId="5435087D" w:rsidR="00B720BA" w:rsidRPr="00E1003C" w:rsidRDefault="00432790" w:rsidP="00E1003C">
            <w:r w:rsidRPr="00E1003C">
              <w:t>CVD</w:t>
            </w:r>
          </w:p>
        </w:tc>
        <w:tc>
          <w:tcPr>
            <w:tcW w:w="7937" w:type="dxa"/>
          </w:tcPr>
          <w:p w14:paraId="7BC5EF7D" w14:textId="7EA9D3F3" w:rsidR="00B720BA" w:rsidRPr="00E1003C" w:rsidRDefault="00B720BA" w:rsidP="00E1003C">
            <w:r w:rsidRPr="00E1003C">
              <w:t>cardiovascular disease</w:t>
            </w:r>
          </w:p>
        </w:tc>
      </w:tr>
      <w:tr w:rsidR="00B720BA" w:rsidRPr="00E1003C" w14:paraId="28A91A3E" w14:textId="77777777" w:rsidTr="00097AB0">
        <w:tc>
          <w:tcPr>
            <w:tcW w:w="1134" w:type="dxa"/>
          </w:tcPr>
          <w:p w14:paraId="3CE482FD" w14:textId="16776D0B" w:rsidR="00B720BA" w:rsidRPr="00E1003C" w:rsidRDefault="00432790" w:rsidP="00E1003C">
            <w:r w:rsidRPr="00E1003C">
              <w:t>ESKD</w:t>
            </w:r>
          </w:p>
        </w:tc>
        <w:tc>
          <w:tcPr>
            <w:tcW w:w="7937" w:type="dxa"/>
          </w:tcPr>
          <w:p w14:paraId="4DD2BCFD" w14:textId="7FC07C8F" w:rsidR="00B720BA" w:rsidRPr="00E1003C" w:rsidRDefault="00B720BA" w:rsidP="00E1003C">
            <w:r w:rsidRPr="00E1003C">
              <w:t>end-stage kidney disease</w:t>
            </w:r>
          </w:p>
        </w:tc>
      </w:tr>
      <w:tr w:rsidR="00B720BA" w:rsidRPr="00E1003C" w14:paraId="61F49351" w14:textId="77777777" w:rsidTr="00097AB0">
        <w:tc>
          <w:tcPr>
            <w:tcW w:w="1134" w:type="dxa"/>
          </w:tcPr>
          <w:p w14:paraId="07DC35D2" w14:textId="02773FB5" w:rsidR="00B720BA" w:rsidRPr="00E1003C" w:rsidRDefault="00432790" w:rsidP="00E1003C">
            <w:r w:rsidRPr="00E1003C">
              <w:t>FCTC</w:t>
            </w:r>
          </w:p>
        </w:tc>
        <w:tc>
          <w:tcPr>
            <w:tcW w:w="7937" w:type="dxa"/>
          </w:tcPr>
          <w:p w14:paraId="7A607850" w14:textId="5EEB4307" w:rsidR="00B720BA" w:rsidRPr="00E1003C" w:rsidRDefault="00B720BA" w:rsidP="00E1003C">
            <w:r w:rsidRPr="00E1003C">
              <w:t>Framework Convention on Tobacco Control</w:t>
            </w:r>
          </w:p>
        </w:tc>
      </w:tr>
      <w:tr w:rsidR="00B720BA" w:rsidRPr="00E1003C" w14:paraId="4FA911FA" w14:textId="77777777" w:rsidTr="00097AB0">
        <w:tc>
          <w:tcPr>
            <w:tcW w:w="1134" w:type="dxa"/>
          </w:tcPr>
          <w:p w14:paraId="53A6E0FA" w14:textId="234919DB" w:rsidR="00B720BA" w:rsidRPr="00E1003C" w:rsidRDefault="00432790" w:rsidP="00E1003C">
            <w:r w:rsidRPr="00E1003C">
              <w:t>HD</w:t>
            </w:r>
          </w:p>
        </w:tc>
        <w:tc>
          <w:tcPr>
            <w:tcW w:w="7937" w:type="dxa"/>
          </w:tcPr>
          <w:p w14:paraId="7EC466CF" w14:textId="2079CBCE" w:rsidR="00B720BA" w:rsidRPr="00E1003C" w:rsidRDefault="00B720BA" w:rsidP="00E1003C">
            <w:r w:rsidRPr="00E1003C">
              <w:t>Heamodialysis</w:t>
            </w:r>
          </w:p>
        </w:tc>
      </w:tr>
      <w:tr w:rsidR="00B720BA" w:rsidRPr="00E1003C" w14:paraId="0286F7D4" w14:textId="77777777" w:rsidTr="00097AB0">
        <w:tc>
          <w:tcPr>
            <w:tcW w:w="1134" w:type="dxa"/>
          </w:tcPr>
          <w:p w14:paraId="764E4E14" w14:textId="5203A49D" w:rsidR="00B720BA" w:rsidRPr="00E1003C" w:rsidRDefault="00432790" w:rsidP="00E1003C">
            <w:r w:rsidRPr="00E1003C">
              <w:t>KHA-CARI</w:t>
            </w:r>
          </w:p>
        </w:tc>
        <w:tc>
          <w:tcPr>
            <w:tcW w:w="7937" w:type="dxa"/>
          </w:tcPr>
          <w:p w14:paraId="24238A8D" w14:textId="1EFFAFB0" w:rsidR="00B720BA" w:rsidRPr="00E1003C" w:rsidRDefault="00B720BA" w:rsidP="00E1003C">
            <w:r w:rsidRPr="00E1003C">
              <w:t>Kidney Health Australia Caring for Australasians with Renal Impairment Guidelines Group</w:t>
            </w:r>
          </w:p>
        </w:tc>
      </w:tr>
      <w:tr w:rsidR="00B720BA" w:rsidRPr="00E1003C" w14:paraId="7A9B9AC7" w14:textId="77777777" w:rsidTr="00097AB0">
        <w:tc>
          <w:tcPr>
            <w:tcW w:w="1134" w:type="dxa"/>
          </w:tcPr>
          <w:p w14:paraId="35EDA1ED" w14:textId="60728040" w:rsidR="00B720BA" w:rsidRPr="00E1003C" w:rsidRDefault="00432790" w:rsidP="00E1003C">
            <w:r w:rsidRPr="00E1003C">
              <w:t>MBS</w:t>
            </w:r>
          </w:p>
        </w:tc>
        <w:tc>
          <w:tcPr>
            <w:tcW w:w="7937" w:type="dxa"/>
          </w:tcPr>
          <w:p w14:paraId="0EDE20C3" w14:textId="1C78C6E2" w:rsidR="00B720BA" w:rsidRPr="00E1003C" w:rsidRDefault="00B720BA" w:rsidP="00E1003C">
            <w:r w:rsidRPr="00E1003C">
              <w:t>Medicare Benefits Schedule</w:t>
            </w:r>
          </w:p>
        </w:tc>
      </w:tr>
      <w:tr w:rsidR="00B720BA" w:rsidRPr="00E1003C" w14:paraId="5C84D2D1" w14:textId="77777777" w:rsidTr="00097AB0">
        <w:tc>
          <w:tcPr>
            <w:tcW w:w="1134" w:type="dxa"/>
          </w:tcPr>
          <w:p w14:paraId="0F2F244E" w14:textId="474A94D9" w:rsidR="00B720BA" w:rsidRPr="00E1003C" w:rsidRDefault="00432790" w:rsidP="00E1003C">
            <w:r w:rsidRPr="00E1003C">
              <w:t>MRFF</w:t>
            </w:r>
          </w:p>
        </w:tc>
        <w:tc>
          <w:tcPr>
            <w:tcW w:w="7937" w:type="dxa"/>
          </w:tcPr>
          <w:p w14:paraId="3E8DAF24" w14:textId="60C02B50" w:rsidR="00B720BA" w:rsidRPr="00E1003C" w:rsidRDefault="00B720BA" w:rsidP="00E1003C">
            <w:r w:rsidRPr="00E1003C">
              <w:t>Medical Research Future Fund</w:t>
            </w:r>
          </w:p>
        </w:tc>
      </w:tr>
      <w:tr w:rsidR="00B720BA" w:rsidRPr="00E1003C" w14:paraId="69B9D412" w14:textId="77777777" w:rsidTr="00097AB0">
        <w:tc>
          <w:tcPr>
            <w:tcW w:w="1134" w:type="dxa"/>
          </w:tcPr>
          <w:p w14:paraId="265A035C" w14:textId="5369F4AF" w:rsidR="00B720BA" w:rsidRPr="00E1003C" w:rsidRDefault="00432790" w:rsidP="00E1003C">
            <w:r w:rsidRPr="00E1003C">
              <w:t>MSAC</w:t>
            </w:r>
          </w:p>
        </w:tc>
        <w:tc>
          <w:tcPr>
            <w:tcW w:w="7937" w:type="dxa"/>
          </w:tcPr>
          <w:p w14:paraId="6E98747D" w14:textId="3A4064DB" w:rsidR="00B720BA" w:rsidRPr="00E1003C" w:rsidRDefault="00B720BA" w:rsidP="00E1003C">
            <w:r w:rsidRPr="00E1003C">
              <w:t>Medical Services Advisory Committee</w:t>
            </w:r>
          </w:p>
        </w:tc>
      </w:tr>
      <w:tr w:rsidR="00B720BA" w:rsidRPr="00E1003C" w14:paraId="23A634DB" w14:textId="77777777" w:rsidTr="00097AB0">
        <w:tc>
          <w:tcPr>
            <w:tcW w:w="1134" w:type="dxa"/>
          </w:tcPr>
          <w:p w14:paraId="3167213A" w14:textId="5B878D34" w:rsidR="00B720BA" w:rsidRPr="00E1003C" w:rsidRDefault="00432790" w:rsidP="00E1003C">
            <w:r w:rsidRPr="00E1003C">
              <w:t>NHMRC</w:t>
            </w:r>
          </w:p>
        </w:tc>
        <w:tc>
          <w:tcPr>
            <w:tcW w:w="7937" w:type="dxa"/>
          </w:tcPr>
          <w:p w14:paraId="1909AFB3" w14:textId="38381B99" w:rsidR="00B720BA" w:rsidRPr="00E1003C" w:rsidRDefault="00B720BA" w:rsidP="00E1003C">
            <w:r w:rsidRPr="00E1003C">
              <w:t>National Health and Medical Research Council</w:t>
            </w:r>
          </w:p>
        </w:tc>
      </w:tr>
      <w:tr w:rsidR="00B720BA" w:rsidRPr="00E1003C" w14:paraId="3AB6CA40" w14:textId="77777777" w:rsidTr="00097AB0">
        <w:tc>
          <w:tcPr>
            <w:tcW w:w="1134" w:type="dxa"/>
          </w:tcPr>
          <w:p w14:paraId="2E1D269D" w14:textId="5BC9D639" w:rsidR="00B720BA" w:rsidRPr="00E1003C" w:rsidRDefault="00432790" w:rsidP="00E1003C">
            <w:r w:rsidRPr="00E1003C">
              <w:t>NVDPA</w:t>
            </w:r>
          </w:p>
        </w:tc>
        <w:tc>
          <w:tcPr>
            <w:tcW w:w="7937" w:type="dxa"/>
          </w:tcPr>
          <w:p w14:paraId="3A466C55" w14:textId="02B102EC" w:rsidR="00B720BA" w:rsidRPr="00E1003C" w:rsidRDefault="00B720BA" w:rsidP="00E1003C">
            <w:r w:rsidRPr="00E1003C">
              <w:t>National Vascular Disease Prevention Alliance</w:t>
            </w:r>
          </w:p>
        </w:tc>
      </w:tr>
      <w:tr w:rsidR="00B720BA" w:rsidRPr="00E1003C" w14:paraId="0B2519B4" w14:textId="77777777" w:rsidTr="00097AB0">
        <w:tc>
          <w:tcPr>
            <w:tcW w:w="1134" w:type="dxa"/>
          </w:tcPr>
          <w:p w14:paraId="717F1A14" w14:textId="5F629775" w:rsidR="00B720BA" w:rsidRPr="00E1003C" w:rsidRDefault="00432790" w:rsidP="00E1003C">
            <w:r w:rsidRPr="00E1003C">
              <w:t>OCPKD</w:t>
            </w:r>
          </w:p>
        </w:tc>
        <w:tc>
          <w:tcPr>
            <w:tcW w:w="7937" w:type="dxa"/>
          </w:tcPr>
          <w:p w14:paraId="1179DD22" w14:textId="35A6E9C2" w:rsidR="00B720BA" w:rsidRPr="00E1003C" w:rsidRDefault="00B720BA" w:rsidP="00E1003C">
            <w:r w:rsidRPr="00E1003C">
              <w:t>Optimal Care Pathways for Kidney Disease</w:t>
            </w:r>
          </w:p>
        </w:tc>
      </w:tr>
      <w:tr w:rsidR="00B720BA" w:rsidRPr="00E1003C" w14:paraId="245F4E39" w14:textId="77777777" w:rsidTr="00097AB0">
        <w:tc>
          <w:tcPr>
            <w:tcW w:w="1134" w:type="dxa"/>
          </w:tcPr>
          <w:p w14:paraId="27E5A46E" w14:textId="32698516" w:rsidR="00B720BA" w:rsidRPr="00E1003C" w:rsidRDefault="00432790" w:rsidP="00E1003C">
            <w:r w:rsidRPr="00E1003C">
              <w:t>OECD</w:t>
            </w:r>
          </w:p>
        </w:tc>
        <w:tc>
          <w:tcPr>
            <w:tcW w:w="7937" w:type="dxa"/>
          </w:tcPr>
          <w:p w14:paraId="2957B248" w14:textId="54D60ACF" w:rsidR="00B720BA" w:rsidRPr="00E1003C" w:rsidRDefault="00B720BA" w:rsidP="00E1003C">
            <w:r w:rsidRPr="00E1003C">
              <w:t>Organisation for Economic Co-operation and Development</w:t>
            </w:r>
          </w:p>
        </w:tc>
      </w:tr>
      <w:tr w:rsidR="00B720BA" w:rsidRPr="00E1003C" w14:paraId="38524AC3" w14:textId="77777777" w:rsidTr="00097AB0">
        <w:tc>
          <w:tcPr>
            <w:tcW w:w="1134" w:type="dxa"/>
          </w:tcPr>
          <w:p w14:paraId="063B2D06" w14:textId="378F1BCA" w:rsidR="00B720BA" w:rsidRPr="00E1003C" w:rsidRDefault="00432790" w:rsidP="00E1003C">
            <w:r w:rsidRPr="00E1003C">
              <w:t>OTA</w:t>
            </w:r>
          </w:p>
        </w:tc>
        <w:tc>
          <w:tcPr>
            <w:tcW w:w="7937" w:type="dxa"/>
          </w:tcPr>
          <w:p w14:paraId="7748A0EB" w14:textId="44637BBF" w:rsidR="00B720BA" w:rsidRPr="00E1003C" w:rsidRDefault="00B720BA" w:rsidP="00E1003C">
            <w:r w:rsidRPr="00E1003C">
              <w:t>Organ and Tissue Authority</w:t>
            </w:r>
          </w:p>
        </w:tc>
      </w:tr>
      <w:tr w:rsidR="00B720BA" w:rsidRPr="00E1003C" w14:paraId="65C71AFD" w14:textId="77777777" w:rsidTr="00097AB0">
        <w:tc>
          <w:tcPr>
            <w:tcW w:w="1134" w:type="dxa"/>
          </w:tcPr>
          <w:p w14:paraId="1A5995C5" w14:textId="5D57D4CB" w:rsidR="00B720BA" w:rsidRPr="00E1003C" w:rsidRDefault="00432790" w:rsidP="00E1003C">
            <w:r w:rsidRPr="00E1003C">
              <w:t>PD</w:t>
            </w:r>
          </w:p>
        </w:tc>
        <w:tc>
          <w:tcPr>
            <w:tcW w:w="7937" w:type="dxa"/>
          </w:tcPr>
          <w:p w14:paraId="480AEA30" w14:textId="7FB85312" w:rsidR="00B720BA" w:rsidRPr="00E1003C" w:rsidRDefault="00B720BA" w:rsidP="00E1003C">
            <w:r w:rsidRPr="00E1003C">
              <w:t>Peritoneal Dialysis</w:t>
            </w:r>
          </w:p>
        </w:tc>
      </w:tr>
      <w:tr w:rsidR="00B720BA" w:rsidRPr="00E1003C" w14:paraId="533A169C" w14:textId="77777777" w:rsidTr="00097AB0">
        <w:tc>
          <w:tcPr>
            <w:tcW w:w="1134" w:type="dxa"/>
          </w:tcPr>
          <w:p w14:paraId="3B439467" w14:textId="623D4EAA" w:rsidR="00B720BA" w:rsidRPr="00E1003C" w:rsidRDefault="00432790" w:rsidP="00E1003C">
            <w:r w:rsidRPr="00E1003C">
              <w:t>PKD</w:t>
            </w:r>
          </w:p>
        </w:tc>
        <w:tc>
          <w:tcPr>
            <w:tcW w:w="7937" w:type="dxa"/>
          </w:tcPr>
          <w:p w14:paraId="226336CD" w14:textId="3F34A8D2" w:rsidR="00B720BA" w:rsidRPr="00E1003C" w:rsidRDefault="00B720BA" w:rsidP="00E1003C">
            <w:r w:rsidRPr="00E1003C">
              <w:t>polycystic kidney disease</w:t>
            </w:r>
          </w:p>
        </w:tc>
      </w:tr>
      <w:tr w:rsidR="00B720BA" w:rsidRPr="00E1003C" w14:paraId="7F87AB2F" w14:textId="77777777" w:rsidTr="00097AB0">
        <w:tc>
          <w:tcPr>
            <w:tcW w:w="1134" w:type="dxa"/>
          </w:tcPr>
          <w:p w14:paraId="7EFC74DA" w14:textId="7A2D732E" w:rsidR="00B720BA" w:rsidRPr="00E1003C" w:rsidRDefault="00432790" w:rsidP="00E1003C">
            <w:r w:rsidRPr="00E1003C">
              <w:t>PROMs</w:t>
            </w:r>
          </w:p>
        </w:tc>
        <w:tc>
          <w:tcPr>
            <w:tcW w:w="7937" w:type="dxa"/>
          </w:tcPr>
          <w:p w14:paraId="76824B17" w14:textId="0C60D73A" w:rsidR="00B720BA" w:rsidRPr="00E1003C" w:rsidRDefault="00B720BA" w:rsidP="00E1003C">
            <w:r w:rsidRPr="00E1003C">
              <w:t>Patient Reported Outcome Measures</w:t>
            </w:r>
          </w:p>
        </w:tc>
      </w:tr>
      <w:tr w:rsidR="00B720BA" w:rsidRPr="00E1003C" w14:paraId="4CCB2043" w14:textId="77777777" w:rsidTr="00097AB0">
        <w:tc>
          <w:tcPr>
            <w:tcW w:w="1134" w:type="dxa"/>
          </w:tcPr>
          <w:p w14:paraId="64C5043B" w14:textId="2DE65E01" w:rsidR="00B720BA" w:rsidRPr="00E1003C" w:rsidRDefault="00432790" w:rsidP="00E1003C">
            <w:r w:rsidRPr="00E1003C">
              <w:t>PATS</w:t>
            </w:r>
          </w:p>
        </w:tc>
        <w:tc>
          <w:tcPr>
            <w:tcW w:w="7937" w:type="dxa"/>
          </w:tcPr>
          <w:p w14:paraId="12BF37C4" w14:textId="54ED47BF" w:rsidR="00B720BA" w:rsidRPr="00E1003C" w:rsidRDefault="00B720BA" w:rsidP="00E1003C">
            <w:r w:rsidRPr="00E1003C">
              <w:t>Patient Transport Assisted Schemes</w:t>
            </w:r>
          </w:p>
        </w:tc>
      </w:tr>
      <w:tr w:rsidR="00B720BA" w:rsidRPr="00E1003C" w14:paraId="7964555F" w14:textId="77777777" w:rsidTr="00097AB0">
        <w:tc>
          <w:tcPr>
            <w:tcW w:w="1134" w:type="dxa"/>
          </w:tcPr>
          <w:p w14:paraId="3A27917D" w14:textId="3B299EDB" w:rsidR="00B720BA" w:rsidRPr="00E1003C" w:rsidRDefault="00432790" w:rsidP="00E1003C">
            <w:r w:rsidRPr="00E1003C">
              <w:t>RRT</w:t>
            </w:r>
          </w:p>
        </w:tc>
        <w:tc>
          <w:tcPr>
            <w:tcW w:w="7937" w:type="dxa"/>
          </w:tcPr>
          <w:p w14:paraId="27A17DD0" w14:textId="0353A690" w:rsidR="00B720BA" w:rsidRPr="00E1003C" w:rsidRDefault="00B720BA" w:rsidP="00E1003C">
            <w:r w:rsidRPr="00E1003C">
              <w:t>renal replacement therapy</w:t>
            </w:r>
          </w:p>
        </w:tc>
      </w:tr>
      <w:tr w:rsidR="00B720BA" w:rsidRPr="00E1003C" w14:paraId="4D2C1F43" w14:textId="77777777" w:rsidTr="00097AB0">
        <w:tc>
          <w:tcPr>
            <w:tcW w:w="1134" w:type="dxa"/>
          </w:tcPr>
          <w:p w14:paraId="32F0ECC0" w14:textId="1742A6B2" w:rsidR="00B720BA" w:rsidRPr="00E1003C" w:rsidRDefault="00432790" w:rsidP="00E1003C">
            <w:r w:rsidRPr="00E1003C">
              <w:t>QOL</w:t>
            </w:r>
          </w:p>
        </w:tc>
        <w:tc>
          <w:tcPr>
            <w:tcW w:w="7937" w:type="dxa"/>
          </w:tcPr>
          <w:p w14:paraId="192C224A" w14:textId="7B055960" w:rsidR="00B720BA" w:rsidRPr="00E1003C" w:rsidRDefault="00B720BA" w:rsidP="00E1003C">
            <w:r w:rsidRPr="00E1003C">
              <w:t>quality of life</w:t>
            </w:r>
          </w:p>
        </w:tc>
      </w:tr>
      <w:tr w:rsidR="00B720BA" w:rsidRPr="00E1003C" w14:paraId="2644E48C" w14:textId="77777777" w:rsidTr="00097AB0">
        <w:tc>
          <w:tcPr>
            <w:tcW w:w="1134" w:type="dxa"/>
          </w:tcPr>
          <w:p w14:paraId="1921B771" w14:textId="63EB855C" w:rsidR="00B720BA" w:rsidRPr="00E1003C" w:rsidRDefault="00432790" w:rsidP="00E1003C">
            <w:r w:rsidRPr="00E1003C">
              <w:t>TSANZ</w:t>
            </w:r>
          </w:p>
        </w:tc>
        <w:tc>
          <w:tcPr>
            <w:tcW w:w="7937" w:type="dxa"/>
          </w:tcPr>
          <w:p w14:paraId="30B837E4" w14:textId="03E42EFE" w:rsidR="00B720BA" w:rsidRPr="00E1003C" w:rsidRDefault="00B720BA" w:rsidP="00E1003C">
            <w:r w:rsidRPr="00E1003C">
              <w:t>Transplantation Society of Australia and New Zealand</w:t>
            </w:r>
          </w:p>
        </w:tc>
      </w:tr>
      <w:tr w:rsidR="00B720BA" w:rsidRPr="00E1003C" w14:paraId="7AC5CCB6" w14:textId="77777777" w:rsidTr="00097AB0">
        <w:tc>
          <w:tcPr>
            <w:tcW w:w="1134" w:type="dxa"/>
          </w:tcPr>
          <w:p w14:paraId="07056D5E" w14:textId="0CF15AB8" w:rsidR="00B720BA" w:rsidRPr="00E1003C" w:rsidRDefault="00432790" w:rsidP="00E1003C">
            <w:r w:rsidRPr="00E1003C">
              <w:t>WHO</w:t>
            </w:r>
          </w:p>
        </w:tc>
        <w:tc>
          <w:tcPr>
            <w:tcW w:w="7937" w:type="dxa"/>
          </w:tcPr>
          <w:p w14:paraId="3C00839C" w14:textId="19592BC8" w:rsidR="00B720BA" w:rsidRPr="00E1003C" w:rsidRDefault="00B720BA" w:rsidP="00E1003C">
            <w:r w:rsidRPr="00E1003C">
              <w:t>World Health Organisation</w:t>
            </w:r>
          </w:p>
        </w:tc>
      </w:tr>
    </w:tbl>
    <w:p w14:paraId="11B15710" w14:textId="77777777" w:rsidR="00C73AFD" w:rsidRDefault="00C73AFD" w:rsidP="00B31B00">
      <w:pPr>
        <w:sectPr w:rsidR="00C73AFD" w:rsidSect="00BE42C0">
          <w:endnotePr>
            <w:numFmt w:val="decimal"/>
          </w:endnotePr>
          <w:pgSz w:w="11906" w:h="16838"/>
          <w:pgMar w:top="1440" w:right="1440" w:bottom="1440" w:left="1440" w:header="708" w:footer="708" w:gutter="0"/>
          <w:cols w:space="708"/>
          <w:docGrid w:linePitch="360"/>
        </w:sectPr>
      </w:pPr>
    </w:p>
    <w:p w14:paraId="3C9A10DD" w14:textId="7B0BE085" w:rsidR="00F37A83" w:rsidRDefault="00F37A83" w:rsidP="00B31B00"/>
    <w:p w14:paraId="22AEBED7" w14:textId="6E4F65F8" w:rsidR="007D4E67" w:rsidRPr="00FF54C9" w:rsidRDefault="004C7D79" w:rsidP="00271FF9">
      <w:pPr>
        <w:pStyle w:val="Heading1"/>
        <w:rPr>
          <w:color w:val="C00000"/>
        </w:rPr>
      </w:pPr>
      <w:r w:rsidRPr="00FF54C9">
        <w:rPr>
          <w:color w:val="C00000"/>
        </w:rPr>
        <w:t>References</w:t>
      </w:r>
    </w:p>
    <w:p w14:paraId="52B28798" w14:textId="78D9385F" w:rsidR="00B31B00" w:rsidRPr="00B31B00" w:rsidRDefault="00B31B00" w:rsidP="00B31B00">
      <w:r>
        <w:t xml:space="preserve"> </w:t>
      </w:r>
    </w:p>
    <w:sectPr w:rsidR="00B31B00" w:rsidRPr="00B31B00" w:rsidSect="00BE42C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4B86D" w14:textId="77777777" w:rsidR="00DB5DE6" w:rsidRDefault="00DB5DE6" w:rsidP="00FB0D33">
      <w:r>
        <w:separator/>
      </w:r>
    </w:p>
  </w:endnote>
  <w:endnote w:type="continuationSeparator" w:id="0">
    <w:p w14:paraId="1F24B880" w14:textId="77777777" w:rsidR="00DB5DE6" w:rsidRDefault="00DB5DE6" w:rsidP="00FB0D33">
      <w:r>
        <w:continuationSeparator/>
      </w:r>
    </w:p>
  </w:endnote>
  <w:endnote w:id="1">
    <w:p w14:paraId="7200AD17" w14:textId="411A4769" w:rsidR="00DB5DE6" w:rsidRPr="00BD644E" w:rsidRDefault="00DB5DE6" w:rsidP="00720C5D">
      <w:pPr>
        <w:pStyle w:val="CommentText"/>
      </w:pPr>
      <w:r w:rsidRPr="00720C5D">
        <w:rPr>
          <w:rStyle w:val="EndnoteReference"/>
          <w:vertAlign w:val="baseline"/>
        </w:rPr>
        <w:endnoteRef/>
      </w:r>
      <w:r>
        <w:t xml:space="preserve">. </w:t>
      </w:r>
      <w:r w:rsidRPr="00BD644E">
        <w:t>ANZDATA Registry. The 41st Annual ANZDATA Report. Australia and New Zealand Dialysis and Transplant Registry, Adelaide, Australia. Retrieved from: http://www.anzdata.org.au/v1/report_2018.html</w:t>
      </w:r>
    </w:p>
  </w:endnote>
  <w:endnote w:id="2">
    <w:p w14:paraId="22D0EA54" w14:textId="263ED3C9" w:rsidR="00DB5DE6" w:rsidRPr="00BD644E" w:rsidRDefault="00DB5DE6" w:rsidP="00720C5D">
      <w:pPr>
        <w:pStyle w:val="CommentText"/>
      </w:pPr>
      <w:r w:rsidRPr="00720C5D">
        <w:rPr>
          <w:rStyle w:val="EndnoteReference"/>
          <w:vertAlign w:val="baseline"/>
        </w:rPr>
        <w:endnoteRef/>
      </w:r>
      <w:r>
        <w:t xml:space="preserve">. </w:t>
      </w:r>
      <w:r w:rsidRPr="00BD644E">
        <w:t>SJ, Chadban. Briganti EM, Kerr PK et al. Prevalence of kidney damage in Australian adults: The AusDiab kidney study. J Am Soc Nephrol 2003 July; 147(7 Suppl 2):S131-S138.</w:t>
      </w:r>
    </w:p>
  </w:endnote>
  <w:endnote w:id="3">
    <w:p w14:paraId="5E53BC96" w14:textId="2BE643F2" w:rsidR="00DB5DE6" w:rsidRPr="00BD644E" w:rsidRDefault="00DB5DE6" w:rsidP="00720C5D">
      <w:pPr>
        <w:pStyle w:val="CommentText"/>
        <w:rPr>
          <w:lang w:val="en-US"/>
        </w:rPr>
      </w:pPr>
      <w:r w:rsidRPr="00720C5D">
        <w:rPr>
          <w:rStyle w:val="EndnoteReference"/>
          <w:vertAlign w:val="baseline"/>
        </w:rPr>
        <w:endnoteRef/>
      </w:r>
      <w:r>
        <w:t xml:space="preserve">. </w:t>
      </w:r>
      <w:r w:rsidRPr="00BD644E">
        <w:t>Australian Bureau of Statistics 2013. Australian Health Survey: Biomedical Results for Chronic Diseases, 2011-12. Canberra: ABS. Retrieved from: https://www.abs.gov.au/australianhealthsurvey</w:t>
      </w:r>
    </w:p>
  </w:endnote>
  <w:endnote w:id="4">
    <w:p w14:paraId="2DFFDBB1" w14:textId="3A5D241D" w:rsidR="00DB5DE6" w:rsidRPr="00BD644E" w:rsidRDefault="00DB5DE6" w:rsidP="00720C5D">
      <w:pPr>
        <w:pStyle w:val="CommentText"/>
      </w:pPr>
      <w:r w:rsidRPr="00720C5D">
        <w:rPr>
          <w:rStyle w:val="EndnoteReference"/>
          <w:vertAlign w:val="baseline"/>
        </w:rPr>
        <w:endnoteRef/>
      </w:r>
      <w:r>
        <w:t xml:space="preserve">. </w:t>
      </w:r>
      <w:r w:rsidRPr="00BD644E">
        <w:t>Johnson DW. Evidence-based guide to slowing the progression of early renal insufficiency. Evidence-based guide to slowing the progression of early renal insufficiency. Intern Med J 2004 January;34(1-2):50-7.</w:t>
      </w:r>
    </w:p>
  </w:endnote>
  <w:endnote w:id="5">
    <w:p w14:paraId="280997B3" w14:textId="223F4361" w:rsidR="00DB5DE6" w:rsidRPr="00720C5D" w:rsidRDefault="00DB5DE6" w:rsidP="00720C5D">
      <w:pPr>
        <w:pStyle w:val="CommentText"/>
        <w:rPr>
          <w:lang w:val="en-US"/>
        </w:rPr>
      </w:pPr>
      <w:r w:rsidRPr="00720C5D">
        <w:rPr>
          <w:rStyle w:val="EndnoteReference"/>
          <w:vertAlign w:val="baseline"/>
        </w:rPr>
        <w:endnoteRef/>
      </w:r>
      <w:r>
        <w:t>.</w:t>
      </w:r>
      <w:r w:rsidRPr="00720C5D">
        <w:t xml:space="preserve"> Australian Institute of Health and Welfare 2011. End-stage kidney disease in Australia: total incidence, 2003–2007. Cat. no. PHE 143. Canberra: AIHW. Retrieved from https://www.aihw.gov.au/getmedia/0b59410e-c277-4bde-8bd8-31054c51ee68/12787.pdf.aspx?inline=true</w:t>
      </w:r>
    </w:p>
  </w:endnote>
  <w:endnote w:id="6">
    <w:p w14:paraId="2C0158B4" w14:textId="7008A7B8" w:rsidR="00DB5DE6" w:rsidRPr="00720C5D" w:rsidRDefault="00DB5DE6" w:rsidP="00720C5D">
      <w:pPr>
        <w:pStyle w:val="CommentText"/>
        <w:rPr>
          <w:lang w:val="en-US"/>
        </w:rPr>
      </w:pPr>
      <w:r w:rsidRPr="00720C5D">
        <w:rPr>
          <w:rStyle w:val="EndnoteReference"/>
          <w:vertAlign w:val="baseline"/>
        </w:rPr>
        <w:endnoteRef/>
      </w:r>
      <w:r>
        <w:t>.</w:t>
      </w:r>
      <w:r w:rsidRPr="00720C5D">
        <w:t xml:space="preserve"> My Kidneys, My Choice. A decision aid for the treatment of kidney disease. Kidney Health Australia Available at: https://kidney.org.au/your-kidneys/support/kidney-disease/treatment/choosing-your-treatment</w:t>
      </w:r>
    </w:p>
  </w:endnote>
  <w:endnote w:id="7">
    <w:p w14:paraId="4EFB219D" w14:textId="171722A0" w:rsidR="00DB5DE6" w:rsidRPr="00720C5D" w:rsidRDefault="00DB5DE6" w:rsidP="00720C5D">
      <w:pPr>
        <w:pStyle w:val="CommentText"/>
      </w:pPr>
      <w:r w:rsidRPr="00720C5D">
        <w:rPr>
          <w:rStyle w:val="EndnoteReference"/>
          <w:vertAlign w:val="baseline"/>
        </w:rPr>
        <w:endnoteRef/>
      </w:r>
      <w:r>
        <w:t>.</w:t>
      </w:r>
      <w:r w:rsidRPr="00720C5D">
        <w:t xml:space="preserve"> Australian Institute of Health and Welfare 2014. Cardiovascular disease, diabetes and chronic kidney disease: Australian facts: prevalence and incidence. Canberra, Australia: AIHW. Retrieved from https://www.aihw.gov.au/getmedia/0ce5f234-0abf-41b9-a392-be5dd1e94c54/17034.pdf.aspx?inline=true</w:t>
      </w:r>
    </w:p>
  </w:endnote>
  <w:endnote w:id="8">
    <w:p w14:paraId="1C8FD416" w14:textId="6D981370" w:rsidR="00DB5DE6" w:rsidRPr="00BD644E" w:rsidRDefault="00DB5DE6" w:rsidP="00720C5D">
      <w:pPr>
        <w:pStyle w:val="CommentText"/>
        <w:rPr>
          <w:lang w:val="en-US"/>
        </w:rPr>
      </w:pPr>
      <w:r w:rsidRPr="00720C5D">
        <w:rPr>
          <w:rStyle w:val="EndnoteReference"/>
          <w:vertAlign w:val="baseline"/>
        </w:rPr>
        <w:endnoteRef/>
      </w:r>
      <w:r>
        <w:t>.</w:t>
      </w:r>
      <w:r w:rsidRPr="00720C5D">
        <w:t xml:space="preserve"> Hajhosseiny R, Khavandi K, Goldsmith DJ. Cardiovascular complications of chronic kidney disease. Int J Clin Pract 2013; 67: 14‐31</w:t>
      </w:r>
      <w:r w:rsidRPr="00BD644E">
        <w:t>.</w:t>
      </w:r>
    </w:p>
  </w:endnote>
  <w:endnote w:id="9">
    <w:p w14:paraId="4DAFB2C4" w14:textId="1CEA8271" w:rsidR="00DB5DE6" w:rsidRPr="00720C5D" w:rsidRDefault="00DB5DE6" w:rsidP="00720C5D">
      <w:pPr>
        <w:pStyle w:val="CommentText"/>
        <w:rPr>
          <w:rFonts w:cs="Calibri"/>
        </w:rPr>
      </w:pPr>
      <w:r w:rsidRPr="00720C5D">
        <w:rPr>
          <w:rStyle w:val="EndnoteReference"/>
          <w:vertAlign w:val="baseline"/>
        </w:rPr>
        <w:endnoteRef/>
      </w:r>
      <w:r w:rsidRPr="00720C5D">
        <w:t xml:space="preserve"> </w:t>
      </w:r>
      <w:r w:rsidRPr="00720C5D">
        <w:rPr>
          <w:rFonts w:cs="Calibri"/>
        </w:rPr>
        <w:t>Keith DS, Nichols GA, Gullion CM, Brown JB, Smith DH. Longitudinal follow-up and outcomes among a population with chronic kidney disease in a large managed care organisation. Arch Intern Med 2004 March 22;164(6):659-63.</w:t>
      </w:r>
    </w:p>
  </w:endnote>
  <w:endnote w:id="10">
    <w:p w14:paraId="5A29578E" w14:textId="7E2E9C2E" w:rsidR="00DB5DE6" w:rsidRPr="00720C5D" w:rsidRDefault="00DB5DE6" w:rsidP="00720C5D">
      <w:pPr>
        <w:pStyle w:val="EndnoteText"/>
        <w:rPr>
          <w:lang w:val="en-US"/>
        </w:rPr>
      </w:pPr>
      <w:r w:rsidRPr="00720C5D">
        <w:rPr>
          <w:rStyle w:val="EndnoteReference"/>
          <w:vertAlign w:val="baseline"/>
        </w:rPr>
        <w:endnoteRef/>
      </w:r>
      <w:r>
        <w:t>.</w:t>
      </w:r>
      <w:r w:rsidRPr="00720C5D">
        <w:t xml:space="preserve"> </w:t>
      </w:r>
      <w:r w:rsidRPr="00720C5D">
        <w:rPr>
          <w:rFonts w:cs="Calibri"/>
        </w:rPr>
        <w:t>Australian Bureau of Statistics 2013 Australian Health Survey: Biomedical Results for Chronic Diseases, 2011-12 ABS Canberra</w:t>
      </w:r>
    </w:p>
  </w:endnote>
  <w:endnote w:id="11">
    <w:p w14:paraId="54696605" w14:textId="451D31B8" w:rsidR="00DB5DE6" w:rsidRPr="00720C5D" w:rsidRDefault="00DB5DE6" w:rsidP="00720C5D">
      <w:pPr>
        <w:pStyle w:val="EndnoteText"/>
        <w:rPr>
          <w:lang w:val="en-US"/>
        </w:rPr>
      </w:pPr>
      <w:r w:rsidRPr="00720C5D">
        <w:rPr>
          <w:rStyle w:val="EndnoteReference"/>
          <w:vertAlign w:val="baseline"/>
        </w:rPr>
        <w:endnoteRef/>
      </w:r>
      <w:r>
        <w:t xml:space="preserve">. </w:t>
      </w:r>
      <w:r w:rsidRPr="00720C5D">
        <w:rPr>
          <w:rFonts w:cs="Calibri"/>
        </w:rPr>
        <w:t>Australian Bureau of Statistics 2013 Australian Health Survey: Biomedical Results for Chronic Diseases, 2011-12 ABS Canberra</w:t>
      </w:r>
    </w:p>
  </w:endnote>
  <w:endnote w:id="12">
    <w:p w14:paraId="309D3B63" w14:textId="0C09459A" w:rsidR="00DB5DE6" w:rsidRPr="00720C5D" w:rsidRDefault="00DB5DE6" w:rsidP="00720C5D">
      <w:pPr>
        <w:pStyle w:val="EndnoteText"/>
        <w:rPr>
          <w:lang w:val="en-US"/>
        </w:rPr>
      </w:pPr>
      <w:r>
        <w:t xml:space="preserve">12. </w:t>
      </w:r>
      <w:r w:rsidRPr="00720C5D">
        <w:t>Australian Institute of Health and Welfare 2019. Australian Burden of Disease Study 2015: Interactive data on disease burden. Retrieved from AIHW: https://www.aihw.gov.au/reports/burden-of-disease/abds-2015-interactive-data-disease-burden/contents/burden-of-disease-in-australia</w:t>
      </w:r>
      <w:r w:rsidRPr="00720C5D">
        <w:rPr>
          <w:rFonts w:cs="Calibri"/>
        </w:rPr>
        <w:t>.</w:t>
      </w:r>
    </w:p>
  </w:endnote>
  <w:endnote w:id="13">
    <w:p w14:paraId="05DE9ECA" w14:textId="5ABFCBAF" w:rsidR="00DB5DE6" w:rsidRPr="00720C5D" w:rsidRDefault="00DB5DE6" w:rsidP="00720C5D">
      <w:pPr>
        <w:pStyle w:val="EndnoteText"/>
        <w:rPr>
          <w:lang w:val="en-US"/>
        </w:rPr>
      </w:pPr>
      <w:r w:rsidRPr="00720C5D">
        <w:rPr>
          <w:rStyle w:val="EndnoteReference"/>
          <w:vertAlign w:val="baseline"/>
        </w:rPr>
        <w:endnoteRef/>
      </w:r>
      <w:r>
        <w:t>.</w:t>
      </w:r>
      <w:r w:rsidRPr="00720C5D">
        <w:t xml:space="preserve"> </w:t>
      </w:r>
      <w:r w:rsidRPr="00720C5D">
        <w:rPr>
          <w:rFonts w:cs="Calibri"/>
        </w:rPr>
        <w:t>ANZDATA Registry. The 41st Annual ANZDATA Report. Australia and New Zealand Dialysis and Transplant Registry, Adelaide, Australia. Retrieved from: http://www.anzdata.org.au/v1/report_2018.html</w:t>
      </w:r>
    </w:p>
  </w:endnote>
  <w:endnote w:id="14">
    <w:p w14:paraId="6DEB78F4" w14:textId="130EE443" w:rsidR="00DB5DE6" w:rsidRPr="00720C5D" w:rsidRDefault="00DB5DE6" w:rsidP="00720C5D">
      <w:pPr>
        <w:pStyle w:val="EndnoteText"/>
        <w:rPr>
          <w:lang w:val="en-US"/>
        </w:rPr>
      </w:pPr>
      <w:r w:rsidRPr="00720C5D">
        <w:rPr>
          <w:rStyle w:val="EndnoteReference"/>
          <w:vertAlign w:val="baseline"/>
        </w:rPr>
        <w:endnoteRef/>
      </w:r>
      <w:r>
        <w:t xml:space="preserve">. </w:t>
      </w:r>
      <w:r w:rsidRPr="00720C5D">
        <w:rPr>
          <w:rFonts w:cs="Calibri"/>
        </w:rPr>
        <w:t>Australian Bureau of Statistics. Australian Aboriginal and Torres Strait Islander Health Survey: Biomedical Results, 2012-13. 2014. Report No.: 4727.0.55.003, Canberra.</w:t>
      </w:r>
    </w:p>
  </w:endnote>
  <w:endnote w:id="15">
    <w:p w14:paraId="10937CBF" w14:textId="3D57933D" w:rsidR="00DB5DE6" w:rsidRPr="00720C5D" w:rsidRDefault="00DB5DE6" w:rsidP="00720C5D">
      <w:pPr>
        <w:pStyle w:val="EndnoteText"/>
        <w:rPr>
          <w:lang w:val="en-US"/>
        </w:rPr>
      </w:pPr>
      <w:r w:rsidRPr="00720C5D">
        <w:rPr>
          <w:rStyle w:val="EndnoteReference"/>
          <w:vertAlign w:val="baseline"/>
        </w:rPr>
        <w:endnoteRef/>
      </w:r>
      <w:r>
        <w:t>.</w:t>
      </w:r>
      <w:r w:rsidRPr="00720C5D">
        <w:t xml:space="preserve"> </w:t>
      </w:r>
      <w:r w:rsidRPr="00720C5D">
        <w:rPr>
          <w:rFonts w:cs="Calibri"/>
        </w:rPr>
        <w:t>Australian Bureau of Statistics. Australian Aboriginal and Torres Strait Islander Health Survey: Biomedical Results, 2012-13. 2014. Report No.: 4727.0.55.003, Canberra.</w:t>
      </w:r>
    </w:p>
  </w:endnote>
  <w:endnote w:id="16">
    <w:p w14:paraId="7247137B" w14:textId="356632E5" w:rsidR="00DB5DE6" w:rsidRPr="00720C5D" w:rsidRDefault="00DB5DE6" w:rsidP="00720C5D">
      <w:pPr>
        <w:pStyle w:val="CommentText"/>
      </w:pPr>
      <w:r w:rsidRPr="00720C5D">
        <w:rPr>
          <w:rStyle w:val="EndnoteReference"/>
          <w:vertAlign w:val="baseline"/>
        </w:rPr>
        <w:endnoteRef/>
      </w:r>
      <w:r>
        <w:t xml:space="preserve">. </w:t>
      </w:r>
      <w:r w:rsidRPr="00720C5D">
        <w:t>Australian Institute of Health and Welfare 2017. Chronic kidney disease compendium. Retrieved from AIHW: https://www.aihw.gov.au/reports/chronic-kidney-disease/chronic-kidneydiseasecompendium/contents/deaths-from-chronic-kidney-disease.</w:t>
      </w:r>
    </w:p>
  </w:endnote>
  <w:endnote w:id="17">
    <w:p w14:paraId="18E32011" w14:textId="290D6D57" w:rsidR="00DB5DE6" w:rsidRPr="00720C5D" w:rsidRDefault="00DB5DE6" w:rsidP="00720C5D">
      <w:pPr>
        <w:pStyle w:val="EndnoteText"/>
      </w:pPr>
      <w:r w:rsidRPr="00720C5D">
        <w:rPr>
          <w:rStyle w:val="EndnoteReference"/>
          <w:vertAlign w:val="baseline"/>
        </w:rPr>
        <w:endnoteRef/>
      </w:r>
      <w:r>
        <w:t xml:space="preserve">. </w:t>
      </w:r>
      <w:r w:rsidRPr="00720C5D">
        <w:rPr>
          <w:rFonts w:cs="Calibri"/>
        </w:rPr>
        <w:t>Australian Bureau of Statistics. Causes of death, Australia, 2013. 2015</w:t>
      </w:r>
    </w:p>
  </w:endnote>
  <w:endnote w:id="18">
    <w:p w14:paraId="060362D5" w14:textId="3FF95897" w:rsidR="00DB5DE6" w:rsidRPr="00720C5D" w:rsidRDefault="00DB5DE6" w:rsidP="00720C5D">
      <w:pPr>
        <w:autoSpaceDE w:val="0"/>
        <w:autoSpaceDN w:val="0"/>
        <w:adjustRightInd w:val="0"/>
        <w:rPr>
          <w:rFonts w:cs="Calibri"/>
          <w:szCs w:val="20"/>
        </w:rPr>
      </w:pPr>
      <w:r w:rsidRPr="00720C5D">
        <w:rPr>
          <w:rStyle w:val="EndnoteReference"/>
          <w:szCs w:val="20"/>
          <w:vertAlign w:val="baseline"/>
        </w:rPr>
        <w:endnoteRef/>
      </w:r>
      <w:r>
        <w:rPr>
          <w:szCs w:val="20"/>
        </w:rPr>
        <w:t xml:space="preserve">. </w:t>
      </w:r>
      <w:r w:rsidRPr="00720C5D">
        <w:rPr>
          <w:rFonts w:cs="Calibri"/>
          <w:szCs w:val="20"/>
        </w:rPr>
        <w:t xml:space="preserve">Australian Institute of Health and Welfare. Cardiovascular disease, diabetes and chronic kidney disease -Australian facts: Mortality. Cardiovascular, diabetes and chronic kidney disease series no. 1. Cat. no.CDK 1. </w:t>
      </w:r>
      <w:r w:rsidRPr="00720C5D">
        <w:rPr>
          <w:rFonts w:cs="Calibri"/>
        </w:rPr>
        <w:t>Canberra: AIHW; 2014</w:t>
      </w:r>
    </w:p>
  </w:endnote>
  <w:endnote w:id="19">
    <w:p w14:paraId="4AF341B2" w14:textId="34B3F607" w:rsidR="00DB5DE6" w:rsidRPr="00720C5D" w:rsidRDefault="00DB5DE6" w:rsidP="00720C5D">
      <w:pPr>
        <w:autoSpaceDE w:val="0"/>
        <w:autoSpaceDN w:val="0"/>
        <w:adjustRightInd w:val="0"/>
        <w:rPr>
          <w:rFonts w:cs="Calibri"/>
          <w:szCs w:val="20"/>
        </w:rPr>
      </w:pPr>
      <w:r w:rsidRPr="00720C5D">
        <w:rPr>
          <w:rStyle w:val="EndnoteReference"/>
          <w:szCs w:val="20"/>
          <w:vertAlign w:val="baseline"/>
        </w:rPr>
        <w:endnoteRef/>
      </w:r>
      <w:r>
        <w:rPr>
          <w:szCs w:val="20"/>
        </w:rPr>
        <w:t xml:space="preserve">. </w:t>
      </w:r>
      <w:r w:rsidRPr="00720C5D">
        <w:rPr>
          <w:rFonts w:cs="Arial"/>
          <w:color w:val="222222"/>
          <w:szCs w:val="20"/>
          <w:shd w:val="clear" w:color="auto" w:fill="FFFFFF"/>
        </w:rPr>
        <w:t>Naylor, Kyla L., et al. "Mortality in Incident Maintenance Dialysis Patients Versus Incident Solid Organ Cancer Patients: A Population-Based Cohort." </w:t>
      </w:r>
      <w:r w:rsidRPr="00720C5D">
        <w:rPr>
          <w:rFonts w:cs="Arial"/>
          <w:i/>
          <w:iCs/>
          <w:color w:val="222222"/>
          <w:szCs w:val="20"/>
          <w:shd w:val="clear" w:color="auto" w:fill="FFFFFF"/>
        </w:rPr>
        <w:t>American Journal of Kidney Diseases</w:t>
      </w:r>
      <w:r w:rsidRPr="00720C5D">
        <w:rPr>
          <w:rFonts w:cs="Arial"/>
          <w:color w:val="222222"/>
          <w:szCs w:val="20"/>
          <w:shd w:val="clear" w:color="auto" w:fill="FFFFFF"/>
        </w:rPr>
        <w:t> (2019).</w:t>
      </w:r>
    </w:p>
  </w:endnote>
  <w:endnote w:id="20">
    <w:p w14:paraId="4493DC6E" w14:textId="4750141C" w:rsidR="00DB5DE6" w:rsidRPr="00720C5D" w:rsidRDefault="00DB5DE6" w:rsidP="00720C5D">
      <w:pPr>
        <w:pStyle w:val="EndnoteText"/>
        <w:rPr>
          <w:lang w:val="en-US"/>
        </w:rPr>
      </w:pPr>
      <w:r w:rsidRPr="00720C5D">
        <w:rPr>
          <w:rStyle w:val="EndnoteReference"/>
          <w:vertAlign w:val="baseline"/>
        </w:rPr>
        <w:endnoteRef/>
      </w:r>
      <w:r>
        <w:t xml:space="preserve">. </w:t>
      </w:r>
      <w:r w:rsidRPr="00720C5D">
        <w:rPr>
          <w:rFonts w:cs="Calibri"/>
        </w:rPr>
        <w:t>Abdel-Kader, Khaled, Mark L. Unruh, and Steven D. Weisbord. "Symptom burden, depression, and quality of life in chronic and end-stage kidney disease." Clinical Journal of the American Society of Nephrology 4.6 (2009): 1057-1064.</w:t>
      </w:r>
    </w:p>
  </w:endnote>
  <w:endnote w:id="21">
    <w:p w14:paraId="3175EAC5" w14:textId="00CCD337" w:rsidR="00DB5DE6" w:rsidRPr="00720C5D" w:rsidRDefault="00DB5DE6" w:rsidP="00720C5D">
      <w:pPr>
        <w:pStyle w:val="EndnoteText"/>
        <w:rPr>
          <w:lang w:val="en-US"/>
        </w:rPr>
      </w:pPr>
      <w:r w:rsidRPr="00720C5D">
        <w:rPr>
          <w:rStyle w:val="EndnoteReference"/>
          <w:vertAlign w:val="baseline"/>
        </w:rPr>
        <w:endnoteRef/>
      </w:r>
      <w:r>
        <w:t xml:space="preserve">. </w:t>
      </w:r>
      <w:r w:rsidRPr="00720C5D">
        <w:rPr>
          <w:rFonts w:cs="Calibri"/>
        </w:rPr>
        <w:t>Zalai, Dora, Lilla Szeifert, and Marta Novak. "Psychological distress and depression in patients with chronic kidney disease." Seminars in dialysis. Vol. 25. No. 4. Oxford, UK: Blackwell Publishing Ltd, 2012.</w:t>
      </w:r>
    </w:p>
  </w:endnote>
  <w:endnote w:id="22">
    <w:p w14:paraId="6CF936E3" w14:textId="515DE618" w:rsidR="00DB5DE6" w:rsidRPr="00720C5D" w:rsidRDefault="00DB5DE6" w:rsidP="00720C5D">
      <w:pPr>
        <w:pStyle w:val="EndnoteText"/>
        <w:rPr>
          <w:lang w:val="en-US"/>
        </w:rPr>
      </w:pPr>
      <w:r w:rsidRPr="00720C5D">
        <w:rPr>
          <w:rStyle w:val="EndnoteReference"/>
          <w:vertAlign w:val="baseline"/>
        </w:rPr>
        <w:endnoteRef/>
      </w:r>
      <w:r>
        <w:t xml:space="preserve">. </w:t>
      </w:r>
      <w:r w:rsidRPr="00720C5D">
        <w:rPr>
          <w:rFonts w:cs="Calibri"/>
        </w:rPr>
        <w:t>Gilbertson E, et al. Burden of Care and Quality of Life Among Caregivers for Adults Receiving Maintenance Dialysis: A Systematic Review Am J Kidney Dis. 2018. 73(3): 332-343.</w:t>
      </w:r>
    </w:p>
  </w:endnote>
  <w:endnote w:id="23">
    <w:p w14:paraId="18D0D961" w14:textId="2F952AE0" w:rsidR="00DB5DE6" w:rsidRPr="00720C5D" w:rsidRDefault="00DB5DE6" w:rsidP="00720C5D">
      <w:pPr>
        <w:pStyle w:val="EndnoteText"/>
        <w:rPr>
          <w:lang w:val="en-US"/>
        </w:rPr>
      </w:pPr>
      <w:r w:rsidRPr="00720C5D">
        <w:rPr>
          <w:rStyle w:val="EndnoteReference"/>
          <w:vertAlign w:val="baseline"/>
        </w:rPr>
        <w:endnoteRef/>
      </w:r>
      <w:r>
        <w:t xml:space="preserve">. </w:t>
      </w:r>
      <w:r w:rsidRPr="00720C5D">
        <w:rPr>
          <w:rFonts w:cs="Calibri"/>
        </w:rPr>
        <w:t>Ducharlet, Kathryn, et al. "Patient‐Reported outcome measures and their utility in the management of patients with advanced chronic kidney disease." Nephrology (2018).</w:t>
      </w:r>
    </w:p>
  </w:endnote>
  <w:endnote w:id="24">
    <w:p w14:paraId="739B9AC4" w14:textId="2D1FB4C1" w:rsidR="00DB5DE6" w:rsidRPr="00720C5D" w:rsidRDefault="00DB5DE6" w:rsidP="00720C5D">
      <w:pPr>
        <w:pStyle w:val="EndnoteText"/>
        <w:rPr>
          <w:lang w:val="en-US"/>
        </w:rPr>
      </w:pPr>
      <w:r w:rsidRPr="00720C5D">
        <w:rPr>
          <w:rStyle w:val="EndnoteReference"/>
          <w:vertAlign w:val="baseline"/>
        </w:rPr>
        <w:endnoteRef/>
      </w:r>
      <w:r>
        <w:t xml:space="preserve">. </w:t>
      </w:r>
      <w:r w:rsidRPr="00720C5D">
        <w:rPr>
          <w:rFonts w:cs="Calibri"/>
        </w:rPr>
        <w:t>Jones, D. Why Is a Psychologist Interested in the Kidneys? Am J Kidney Dis. 2018;71(2):x-xi</w:t>
      </w:r>
    </w:p>
  </w:endnote>
  <w:endnote w:id="25">
    <w:p w14:paraId="5562DF8C" w14:textId="34661B58" w:rsidR="00DB5DE6" w:rsidRPr="00720C5D" w:rsidRDefault="00DB5DE6" w:rsidP="00720C5D">
      <w:pPr>
        <w:autoSpaceDE w:val="0"/>
        <w:autoSpaceDN w:val="0"/>
        <w:adjustRightInd w:val="0"/>
        <w:rPr>
          <w:rFonts w:cs="Calibri"/>
          <w:szCs w:val="20"/>
        </w:rPr>
      </w:pPr>
      <w:r w:rsidRPr="00720C5D">
        <w:rPr>
          <w:rStyle w:val="EndnoteReference"/>
          <w:szCs w:val="20"/>
          <w:vertAlign w:val="baseline"/>
        </w:rPr>
        <w:endnoteRef/>
      </w:r>
      <w:r>
        <w:rPr>
          <w:rFonts w:cs="Calibri"/>
          <w:szCs w:val="20"/>
        </w:rPr>
        <w:t xml:space="preserve">. </w:t>
      </w:r>
      <w:r w:rsidRPr="00720C5D">
        <w:rPr>
          <w:rFonts w:cs="Calibri"/>
          <w:szCs w:val="20"/>
        </w:rPr>
        <w:t xml:space="preserve">Wyld MLR, Lee CMY, Zhuo X et al. Cost to government and society of chronic kidney disease stage 1‐5: a national cohort study. </w:t>
      </w:r>
      <w:r w:rsidRPr="00720C5D">
        <w:rPr>
          <w:rFonts w:cs="Calibri-Italic"/>
          <w:i/>
          <w:iCs/>
          <w:szCs w:val="20"/>
        </w:rPr>
        <w:t xml:space="preserve">Int Med J </w:t>
      </w:r>
      <w:r w:rsidRPr="00720C5D">
        <w:rPr>
          <w:rFonts w:cs="Calibri"/>
          <w:szCs w:val="20"/>
        </w:rPr>
        <w:t>2015;45(7):741‐7.</w:t>
      </w:r>
    </w:p>
  </w:endnote>
  <w:endnote w:id="26">
    <w:p w14:paraId="10E030B1" w14:textId="786DF8C5" w:rsidR="00DB5DE6" w:rsidRPr="00720C5D" w:rsidRDefault="00DB5DE6" w:rsidP="00720C5D">
      <w:pPr>
        <w:pStyle w:val="EndnoteText"/>
        <w:rPr>
          <w:lang w:val="en-US"/>
        </w:rPr>
      </w:pPr>
      <w:r w:rsidRPr="00720C5D">
        <w:rPr>
          <w:rStyle w:val="EndnoteReference"/>
          <w:vertAlign w:val="baseline"/>
        </w:rPr>
        <w:endnoteRef/>
      </w:r>
      <w:r>
        <w:t xml:space="preserve">. </w:t>
      </w:r>
      <w:r w:rsidRPr="00720C5D">
        <w:rPr>
          <w:rFonts w:cs="Calibri"/>
          <w:color w:val="000000"/>
        </w:rPr>
        <w:t xml:space="preserve">Cass A et al. The Economic Impact of End Stage Kidney Disease in Australia: projects to 2020. Published 2010. Available </w:t>
      </w:r>
      <w:r w:rsidRPr="00720C5D">
        <w:rPr>
          <w:rFonts w:cs="Calibri"/>
        </w:rPr>
        <w:t>at: http://www.kidney.org.au/LinkClick.aspx?fileticket=vave4WFH73U%3d&amp;tabid=635&amp;mid=1837</w:t>
      </w:r>
    </w:p>
  </w:endnote>
  <w:endnote w:id="27">
    <w:p w14:paraId="2F9EC36F" w14:textId="0E99AE06" w:rsidR="00DB5DE6" w:rsidRPr="00720C5D" w:rsidRDefault="00DB5DE6" w:rsidP="00720C5D">
      <w:pPr>
        <w:autoSpaceDE w:val="0"/>
        <w:autoSpaceDN w:val="0"/>
        <w:adjustRightInd w:val="0"/>
        <w:rPr>
          <w:rFonts w:cs="Calibri"/>
          <w:szCs w:val="20"/>
        </w:rPr>
      </w:pPr>
      <w:r w:rsidRPr="00720C5D">
        <w:rPr>
          <w:rStyle w:val="EndnoteReference"/>
          <w:szCs w:val="20"/>
          <w:vertAlign w:val="baseline"/>
        </w:rPr>
        <w:endnoteRef/>
      </w:r>
      <w:r>
        <w:rPr>
          <w:szCs w:val="20"/>
        </w:rPr>
        <w:t xml:space="preserve">. </w:t>
      </w:r>
      <w:r w:rsidRPr="00720C5D">
        <w:rPr>
          <w:rFonts w:cs="Calibri"/>
          <w:szCs w:val="20"/>
        </w:rPr>
        <w:t>Australian Institute of Health and Welfare. Admitted patient care 2014‐15: Australian hospital statistics. Health services series no. 68. Cat. no. HSE 172. Canberra: AIHW.; 2016.</w:t>
      </w:r>
    </w:p>
  </w:endnote>
  <w:endnote w:id="28">
    <w:p w14:paraId="7B247D7F" w14:textId="351F6CD9" w:rsidR="00DB5DE6" w:rsidRPr="00720C5D" w:rsidRDefault="00DB5DE6" w:rsidP="00720C5D">
      <w:pPr>
        <w:autoSpaceDE w:val="0"/>
        <w:autoSpaceDN w:val="0"/>
        <w:adjustRightInd w:val="0"/>
        <w:rPr>
          <w:rFonts w:cs="Calibri"/>
          <w:szCs w:val="20"/>
        </w:rPr>
      </w:pPr>
      <w:r w:rsidRPr="00720C5D">
        <w:rPr>
          <w:rStyle w:val="EndnoteReference"/>
          <w:szCs w:val="20"/>
          <w:vertAlign w:val="baseline"/>
        </w:rPr>
        <w:endnoteRef/>
      </w:r>
      <w:r>
        <w:rPr>
          <w:szCs w:val="20"/>
        </w:rPr>
        <w:t xml:space="preserve">. </w:t>
      </w:r>
      <w:r w:rsidRPr="00720C5D">
        <w:rPr>
          <w:rFonts w:cs="Calibri"/>
          <w:szCs w:val="20"/>
        </w:rPr>
        <w:t>AIHW 2011. Projections of the incidence of treated end-stage kidney disease in Australia, 2010-2020. Cat. No. PHE 150. Canberra</w:t>
      </w:r>
    </w:p>
  </w:endnote>
  <w:endnote w:id="29">
    <w:p w14:paraId="485A08DC" w14:textId="2F62D3AC" w:rsidR="00DB5DE6" w:rsidRPr="00720C5D" w:rsidRDefault="00DB5DE6" w:rsidP="00720C5D">
      <w:pPr>
        <w:autoSpaceDE w:val="0"/>
        <w:autoSpaceDN w:val="0"/>
        <w:adjustRightInd w:val="0"/>
        <w:rPr>
          <w:rFonts w:cs="Calibri"/>
          <w:szCs w:val="20"/>
        </w:rPr>
      </w:pPr>
      <w:r w:rsidRPr="00720C5D">
        <w:rPr>
          <w:rStyle w:val="EndnoteReference"/>
          <w:szCs w:val="20"/>
          <w:vertAlign w:val="baseline"/>
        </w:rPr>
        <w:endnoteRef/>
      </w:r>
      <w:r>
        <w:rPr>
          <w:szCs w:val="20"/>
        </w:rPr>
        <w:t xml:space="preserve">. </w:t>
      </w:r>
      <w:r w:rsidRPr="00720C5D">
        <w:rPr>
          <w:rFonts w:cs="Calibri"/>
          <w:szCs w:val="20"/>
        </w:rPr>
        <w:t xml:space="preserve">Wyld M,Lee CMY,Chadban SJ, Zhuo X, White S, Shaw J, Morton R, Colagiuri S. Cost of CKD in Australia. Abstract ANZSN Annual Scientific Meeting. Nephrology: 2014. </w:t>
      </w:r>
      <w:r w:rsidRPr="00720C5D">
        <w:rPr>
          <w:rFonts w:cs="Calibri-Bold"/>
          <w:b/>
          <w:bCs/>
          <w:szCs w:val="20"/>
        </w:rPr>
        <w:t xml:space="preserve">19 </w:t>
      </w:r>
      <w:r w:rsidRPr="00720C5D">
        <w:rPr>
          <w:rFonts w:cs="Calibri"/>
          <w:szCs w:val="20"/>
        </w:rPr>
        <w:t>(Supp. 4), 23.</w:t>
      </w:r>
    </w:p>
  </w:endnote>
  <w:endnote w:id="30">
    <w:p w14:paraId="31C244D1" w14:textId="48350FDF" w:rsidR="00DB5DE6" w:rsidRPr="00720C5D" w:rsidRDefault="00DB5DE6" w:rsidP="00720C5D">
      <w:pPr>
        <w:autoSpaceDE w:val="0"/>
        <w:autoSpaceDN w:val="0"/>
        <w:adjustRightInd w:val="0"/>
        <w:rPr>
          <w:rFonts w:cs="Calibri"/>
          <w:szCs w:val="20"/>
        </w:rPr>
      </w:pPr>
      <w:r w:rsidRPr="00720C5D">
        <w:rPr>
          <w:rStyle w:val="EndnoteReference"/>
          <w:szCs w:val="20"/>
          <w:vertAlign w:val="baseline"/>
        </w:rPr>
        <w:endnoteRef/>
      </w:r>
      <w:r>
        <w:rPr>
          <w:szCs w:val="20"/>
        </w:rPr>
        <w:t xml:space="preserve">. </w:t>
      </w:r>
      <w:r w:rsidRPr="00720C5D">
        <w:rPr>
          <w:rFonts w:cs="Calibri"/>
          <w:szCs w:val="20"/>
        </w:rPr>
        <w:t xml:space="preserve">ANZDATA Registry. The 38th Annual ANZDATA Report. Australia and New Zealand Dialysis and Transplant </w:t>
      </w:r>
      <w:r w:rsidRPr="00720C5D">
        <w:rPr>
          <w:rFonts w:cs="Calibri"/>
        </w:rPr>
        <w:t>Registry, Adelaide, Australia. Available at: http://www.anzdata.org.au; 2016</w:t>
      </w:r>
    </w:p>
  </w:endnote>
  <w:endnote w:id="31">
    <w:p w14:paraId="6040C684" w14:textId="68657124" w:rsidR="00DB5DE6" w:rsidRPr="00720C5D" w:rsidRDefault="00DB5DE6" w:rsidP="00720C5D">
      <w:pPr>
        <w:pStyle w:val="NormalWeb"/>
        <w:spacing w:before="0" w:beforeAutospacing="0" w:after="0" w:afterAutospacing="0"/>
        <w:rPr>
          <w:rFonts w:asciiTheme="minorHAnsi" w:hAnsiTheme="minorHAnsi"/>
        </w:rPr>
      </w:pPr>
      <w:r w:rsidRPr="00720C5D">
        <w:rPr>
          <w:rStyle w:val="EndnoteReference"/>
          <w:vertAlign w:val="baseline"/>
        </w:rPr>
        <w:endnoteRef/>
      </w:r>
      <w:r>
        <w:rPr>
          <w:rFonts w:asciiTheme="minorHAnsi" w:hAnsiTheme="minorHAnsi"/>
        </w:rPr>
        <w:t xml:space="preserve">. </w:t>
      </w:r>
      <w:r w:rsidRPr="00720C5D">
        <w:rPr>
          <w:rFonts w:asciiTheme="minorHAnsi" w:hAnsiTheme="minorHAnsi" w:cstheme="minorBidi"/>
          <w:lang w:val="en-US"/>
        </w:rPr>
        <w:t>Australian Institute of Health and Welfare. Australia’s health 2014. Australia’s Health Series no.14. Cat. no. AUS 178. Canberra: AIHW, 2014.</w:t>
      </w:r>
      <w:r w:rsidRPr="00720C5D">
        <w:rPr>
          <w:rFonts w:asciiTheme="minorHAnsi" w:hAnsiTheme="minorHAnsi"/>
        </w:rPr>
        <w:t xml:space="preserve"> </w:t>
      </w:r>
    </w:p>
  </w:endnote>
  <w:endnote w:id="32">
    <w:p w14:paraId="09A5D0C5" w14:textId="41DCDCDD" w:rsidR="00DB5DE6" w:rsidRPr="00720C5D" w:rsidRDefault="00DB5DE6" w:rsidP="00720C5D">
      <w:pPr>
        <w:pStyle w:val="NormalWeb"/>
        <w:spacing w:before="0" w:beforeAutospacing="0" w:after="0" w:afterAutospacing="0"/>
        <w:rPr>
          <w:rFonts w:asciiTheme="minorHAnsi" w:hAnsiTheme="minorHAnsi"/>
        </w:rPr>
      </w:pPr>
      <w:r w:rsidRPr="00720C5D">
        <w:rPr>
          <w:rStyle w:val="EndnoteReference"/>
          <w:vertAlign w:val="baseline"/>
        </w:rPr>
        <w:endnoteRef/>
      </w:r>
      <w:r>
        <w:rPr>
          <w:rFonts w:asciiTheme="minorHAnsi" w:hAnsiTheme="minorHAnsi"/>
        </w:rPr>
        <w:t xml:space="preserve">. </w:t>
      </w:r>
      <w:r w:rsidRPr="00720C5D">
        <w:rPr>
          <w:rFonts w:asciiTheme="minorHAnsi" w:eastAsiaTheme="minorHAnsi" w:hAnsiTheme="minorHAnsi" w:cs="Calibri"/>
          <w:color w:val="000000"/>
        </w:rPr>
        <w:t>Australian Institute of Health and Welfare 2016. Healthy Communities: Overweight and obesity rates across Australia, 2014–15 (In Focus). Cat. no. HPF 2. Canberra: AIHW. Available at https://www.aihw.gov.au/reports-data/behaviours-risk-factors/overweight-obesity/overview</w:t>
      </w:r>
    </w:p>
  </w:endnote>
  <w:endnote w:id="33">
    <w:p w14:paraId="259E6F19" w14:textId="34BD2491" w:rsidR="00DB5DE6" w:rsidRPr="00720C5D" w:rsidRDefault="00DB5DE6" w:rsidP="00720C5D">
      <w:pPr>
        <w:pStyle w:val="EndnoteText"/>
      </w:pPr>
      <w:r w:rsidRPr="00720C5D">
        <w:rPr>
          <w:rStyle w:val="EndnoteReference"/>
          <w:vertAlign w:val="baseline"/>
        </w:rPr>
        <w:endnoteRef/>
      </w:r>
      <w:r>
        <w:t xml:space="preserve">. </w:t>
      </w:r>
      <w:r w:rsidRPr="00720C5D">
        <w:rPr>
          <w:rFonts w:cs="Calibri"/>
          <w:color w:val="000000"/>
        </w:rPr>
        <w:t>Wang Y, Song Y, Caballero B, Cheskin LJ. Association between obesity and kidney disease. Kidney Int 2008;73(1):19-33.</w:t>
      </w:r>
    </w:p>
  </w:endnote>
  <w:endnote w:id="34">
    <w:p w14:paraId="3946D27C" w14:textId="00B50204" w:rsidR="00DB5DE6" w:rsidRPr="00720C5D" w:rsidRDefault="00DB5DE6" w:rsidP="00720C5D">
      <w:pPr>
        <w:pStyle w:val="CommentText"/>
        <w:rPr>
          <w:rFonts w:cs="Calibri"/>
          <w:color w:val="000000"/>
        </w:rPr>
      </w:pPr>
      <w:r w:rsidRPr="00720C5D">
        <w:rPr>
          <w:rStyle w:val="EndnoteReference"/>
          <w:vertAlign w:val="baseline"/>
        </w:rPr>
        <w:endnoteRef/>
      </w:r>
      <w:r>
        <w:t xml:space="preserve">. </w:t>
      </w:r>
      <w:r w:rsidRPr="00720C5D">
        <w:rPr>
          <w:rFonts w:cs="Calibri"/>
          <w:color w:val="000000"/>
        </w:rPr>
        <w:t>Cardiovascular disease, diabetes and chronic kidney disease-Australian facts: risk factors. Cardiovascular, diabetes and chronic kidney disease series no. 4. Cat. no. CDK 4. Canberra: AIHW.; 2015</w:t>
      </w:r>
    </w:p>
  </w:endnote>
  <w:endnote w:id="35">
    <w:p w14:paraId="7CE572EA" w14:textId="18AEB593" w:rsidR="00DB5DE6" w:rsidRPr="00720C5D" w:rsidRDefault="00DB5DE6" w:rsidP="00720C5D">
      <w:pPr>
        <w:pStyle w:val="EndnoteText"/>
        <w:rPr>
          <w:lang w:val="en-US"/>
        </w:rPr>
      </w:pPr>
      <w:r w:rsidRPr="00720C5D">
        <w:rPr>
          <w:rStyle w:val="EndnoteReference"/>
          <w:vertAlign w:val="baseline"/>
        </w:rPr>
        <w:endnoteRef/>
      </w:r>
      <w:r>
        <w:t xml:space="preserve">. </w:t>
      </w:r>
      <w:r w:rsidRPr="00720C5D">
        <w:t>Land, Mary‐Anne, et al. "Salt consumption by Australian adults: a systematic review and meta‐analysis." Medical Journal of Australia 208.2 (2018): 75-81.</w:t>
      </w:r>
    </w:p>
  </w:endnote>
  <w:endnote w:id="36">
    <w:p w14:paraId="39C88FA8" w14:textId="0765EAB5" w:rsidR="00DB5DE6" w:rsidRPr="00BD644E" w:rsidRDefault="00DB5DE6" w:rsidP="00720C5D">
      <w:pPr>
        <w:pStyle w:val="EndnoteText"/>
        <w:rPr>
          <w:lang w:val="en-US"/>
        </w:rPr>
      </w:pPr>
      <w:r w:rsidRPr="00720C5D">
        <w:rPr>
          <w:rStyle w:val="EndnoteReference"/>
          <w:vertAlign w:val="baseline"/>
        </w:rPr>
        <w:endnoteRef/>
      </w:r>
      <w:r>
        <w:t xml:space="preserve">. </w:t>
      </w:r>
      <w:r w:rsidRPr="00720C5D">
        <w:t>Food Standards Australia and New Zealand Website. Retrieved 10 April 2019. Available at http://www.foodstandards.gov.au/consumer/nutrition/salthowmuch/Pages/howmuchsaltareweeating/howmuchsaltandsodium4551</w:t>
      </w:r>
      <w:r w:rsidRPr="00BD644E">
        <w:t>.aspx</w:t>
      </w:r>
    </w:p>
  </w:endnote>
  <w:endnote w:id="37">
    <w:p w14:paraId="6D05AC5F" w14:textId="025BAFFE" w:rsidR="00DB5DE6" w:rsidRPr="00720C5D" w:rsidRDefault="00DB5DE6" w:rsidP="00720C5D">
      <w:pPr>
        <w:pStyle w:val="EndnoteText"/>
      </w:pPr>
      <w:r w:rsidRPr="00720C5D">
        <w:rPr>
          <w:rStyle w:val="EndnoteReference"/>
          <w:vertAlign w:val="baseline"/>
        </w:rPr>
        <w:endnoteRef/>
      </w:r>
      <w:r>
        <w:t xml:space="preserve">. </w:t>
      </w:r>
      <w:r w:rsidRPr="00720C5D">
        <w:t>Rodriguez-Iturbe, B., Romero, F., and Johnson, R.J. Pathophysiological mechanisms of salt- dependent hypertension. Am J Kidney Dis. 2007; 50: 655–672</w:t>
      </w:r>
    </w:p>
  </w:endnote>
  <w:endnote w:id="38">
    <w:p w14:paraId="0DB2A3BD" w14:textId="225F828B" w:rsidR="00DB5DE6" w:rsidRPr="00720C5D" w:rsidRDefault="00DB5DE6" w:rsidP="00720C5D">
      <w:pPr>
        <w:pStyle w:val="EndnoteText"/>
      </w:pPr>
      <w:r w:rsidRPr="00720C5D">
        <w:rPr>
          <w:rStyle w:val="EndnoteReference"/>
          <w:vertAlign w:val="baseline"/>
        </w:rPr>
        <w:endnoteRef/>
      </w:r>
      <w:r>
        <w:t xml:space="preserve">. </w:t>
      </w:r>
      <w:r w:rsidRPr="00720C5D">
        <w:t>Forouzanfar, Mohammad H., et al. "Global, regional, and national comparative risk assessment of 79 behavioural, environmental and occupational, and metabolic risks or clusters of risks, 1990–2015: a systematic analysis for the Global Burden of Disease Study 2015." The Lancet 388.10053 (2016): 1659-1724</w:t>
      </w:r>
    </w:p>
  </w:endnote>
  <w:endnote w:id="39">
    <w:p w14:paraId="500EBE0B" w14:textId="73942340" w:rsidR="00DB5DE6" w:rsidRPr="00720C5D" w:rsidRDefault="00DB5DE6" w:rsidP="00720C5D">
      <w:pPr>
        <w:pStyle w:val="EndnoteText"/>
      </w:pPr>
      <w:r w:rsidRPr="00720C5D">
        <w:rPr>
          <w:rStyle w:val="EndnoteReference"/>
          <w:vertAlign w:val="baseline"/>
        </w:rPr>
        <w:endnoteRef/>
      </w:r>
      <w:r>
        <w:t xml:space="preserve">. </w:t>
      </w:r>
      <w:r w:rsidRPr="00720C5D">
        <w:rPr>
          <w:rFonts w:cs="Calibri"/>
          <w:color w:val="000000"/>
        </w:rPr>
        <w:t>Vos T, Carter R, et al. ACE–Prevention Team 2010. Assessing cost-effectiveness in prevention (ACE– Prevention): Final report. Brisbane, Melbourne: University of Queensland, Deakin University; 2010 Sep</w:t>
      </w:r>
      <w:r w:rsidRPr="00720C5D">
        <w:t xml:space="preserve">  </w:t>
      </w:r>
    </w:p>
  </w:endnote>
  <w:endnote w:id="40">
    <w:p w14:paraId="154F7DFD" w14:textId="02969B59" w:rsidR="00DB5DE6" w:rsidRPr="00720C5D" w:rsidRDefault="00DB5DE6" w:rsidP="00720C5D">
      <w:pPr>
        <w:pStyle w:val="NormalWeb"/>
        <w:spacing w:before="0" w:beforeAutospacing="0" w:after="0" w:afterAutospacing="0"/>
        <w:rPr>
          <w:rFonts w:asciiTheme="minorHAnsi" w:hAnsiTheme="minorHAnsi"/>
        </w:rPr>
      </w:pPr>
      <w:r w:rsidRPr="00720C5D">
        <w:rPr>
          <w:rStyle w:val="EndnoteReference"/>
          <w:vertAlign w:val="baseline"/>
        </w:rPr>
        <w:endnoteRef/>
      </w:r>
      <w:r>
        <w:rPr>
          <w:rFonts w:asciiTheme="minorHAnsi" w:hAnsiTheme="minorHAnsi"/>
        </w:rPr>
        <w:t xml:space="preserve">. </w:t>
      </w:r>
      <w:r w:rsidRPr="00720C5D">
        <w:rPr>
          <w:rFonts w:asciiTheme="minorHAnsi" w:hAnsiTheme="minorHAnsi" w:cs="Calibri"/>
          <w:color w:val="000000"/>
        </w:rPr>
        <w:t>World Health Organization (2010), Set of Recommendations on the Marketing of Foods and Non-Alcoholic Beverages to Children. Geneva, p7.</w:t>
      </w:r>
      <w:r w:rsidRPr="00720C5D">
        <w:rPr>
          <w:rFonts w:asciiTheme="minorHAnsi" w:hAnsiTheme="minorHAnsi"/>
        </w:rPr>
        <w:t xml:space="preserve"> </w:t>
      </w:r>
    </w:p>
  </w:endnote>
  <w:endnote w:id="41">
    <w:p w14:paraId="25A103FD" w14:textId="66D25DD3" w:rsidR="00DB5DE6" w:rsidRPr="00720C5D" w:rsidRDefault="00DB5DE6" w:rsidP="00720C5D">
      <w:pPr>
        <w:pStyle w:val="NormalWeb"/>
        <w:spacing w:before="0" w:beforeAutospacing="0" w:after="0" w:afterAutospacing="0"/>
        <w:rPr>
          <w:rFonts w:asciiTheme="minorHAnsi" w:hAnsiTheme="minorHAnsi"/>
        </w:rPr>
      </w:pPr>
      <w:r w:rsidRPr="00720C5D">
        <w:rPr>
          <w:rStyle w:val="EndnoteReference"/>
          <w:vertAlign w:val="baseline"/>
        </w:rPr>
        <w:endnoteRef/>
      </w:r>
      <w:r>
        <w:rPr>
          <w:rFonts w:asciiTheme="minorHAnsi" w:hAnsiTheme="minorHAnsi"/>
        </w:rPr>
        <w:t>.</w:t>
      </w:r>
      <w:r w:rsidRPr="00720C5D">
        <w:rPr>
          <w:rFonts w:asciiTheme="minorHAnsi" w:hAnsiTheme="minorHAnsi"/>
        </w:rPr>
        <w:t xml:space="preserve"> </w:t>
      </w:r>
      <w:r w:rsidRPr="00720C5D">
        <w:rPr>
          <w:rFonts w:asciiTheme="minorHAnsi" w:hAnsiTheme="minorHAnsi" w:cs="Calibri"/>
          <w:color w:val="000000"/>
        </w:rPr>
        <w:t>Ofcom (2010). HFSS advertising restrictions – final review. London.</w:t>
      </w:r>
      <w:r w:rsidRPr="00720C5D">
        <w:rPr>
          <w:rFonts w:asciiTheme="minorHAnsi" w:hAnsiTheme="minorHAnsi"/>
        </w:rPr>
        <w:t xml:space="preserve"> </w:t>
      </w:r>
    </w:p>
  </w:endnote>
  <w:endnote w:id="42">
    <w:p w14:paraId="14216EB8" w14:textId="066BE815" w:rsidR="00DB5DE6" w:rsidRPr="00720C5D" w:rsidRDefault="00DB5DE6" w:rsidP="00720C5D">
      <w:pPr>
        <w:pStyle w:val="Heading1"/>
        <w:shd w:val="clear" w:color="auto" w:fill="FEFEFE"/>
        <w:spacing w:before="0"/>
        <w:contextualSpacing/>
        <w:rPr>
          <w:rFonts w:asciiTheme="minorHAnsi" w:eastAsiaTheme="minorHAnsi" w:hAnsiTheme="minorHAnsi" w:cs="Calibri"/>
          <w:b w:val="0"/>
          <w:bCs/>
          <w:color w:val="000000"/>
          <w:sz w:val="20"/>
          <w:szCs w:val="20"/>
        </w:rPr>
      </w:pPr>
      <w:r w:rsidRPr="00720C5D">
        <w:rPr>
          <w:rStyle w:val="EndnoteReference"/>
          <w:rFonts w:eastAsiaTheme="minorEastAsia" w:cs="Times New Roman"/>
          <w:b w:val="0"/>
          <w:bCs/>
          <w:color w:val="auto"/>
          <w:szCs w:val="20"/>
          <w:vertAlign w:val="baseline"/>
        </w:rPr>
        <w:endnoteRef/>
      </w:r>
      <w:r>
        <w:rPr>
          <w:rStyle w:val="EndnoteReference"/>
          <w:rFonts w:eastAsiaTheme="minorEastAsia" w:cs="Times New Roman"/>
          <w:b w:val="0"/>
          <w:bCs/>
          <w:color w:val="auto"/>
          <w:szCs w:val="20"/>
          <w:vertAlign w:val="baseline"/>
        </w:rPr>
        <w:t xml:space="preserve">. </w:t>
      </w:r>
      <w:r w:rsidRPr="00720C5D">
        <w:rPr>
          <w:rFonts w:asciiTheme="minorHAnsi" w:eastAsiaTheme="minorHAnsi" w:hAnsiTheme="minorHAnsi" w:cs="Calibri"/>
          <w:b w:val="0"/>
          <w:bCs/>
          <w:color w:val="000000"/>
          <w:sz w:val="20"/>
          <w:szCs w:val="20"/>
        </w:rPr>
        <w:t xml:space="preserve">Greg Johnson, Jane E Martin and Amy Timoshanko, Preventing type 2 diabetes: scaling up to creat a prevention system </w:t>
      </w:r>
      <w:r w:rsidRPr="00720C5D">
        <w:rPr>
          <w:rFonts w:asciiTheme="minorHAnsi" w:hAnsiTheme="minorHAnsi"/>
          <w:b w:val="0"/>
          <w:bCs/>
          <w:color w:val="000000" w:themeColor="text1"/>
          <w:sz w:val="20"/>
          <w:szCs w:val="20"/>
        </w:rPr>
        <w:t>Med J Aust 2015; 202 (1): 24-26. || doi: 10.5694/mja14.01153</w:t>
      </w:r>
    </w:p>
  </w:endnote>
  <w:endnote w:id="43">
    <w:p w14:paraId="23518445" w14:textId="17B372DA" w:rsidR="00DB5DE6" w:rsidRPr="00720C5D" w:rsidRDefault="00DB5DE6" w:rsidP="00720C5D">
      <w:pPr>
        <w:pStyle w:val="EndnoteText"/>
      </w:pPr>
      <w:r w:rsidRPr="00720C5D">
        <w:rPr>
          <w:rStyle w:val="EndnoteReference"/>
          <w:vertAlign w:val="baseline"/>
        </w:rPr>
        <w:endnoteRef/>
      </w:r>
      <w:r>
        <w:t xml:space="preserve">. </w:t>
      </w:r>
      <w:r w:rsidRPr="00720C5D">
        <w:rPr>
          <w:rFonts w:cs="Calibri"/>
          <w:color w:val="000000"/>
        </w:rPr>
        <w:t>Australian Bureau of Statistics (2013). Australian Health Survey: Physical Activity 2011–12. Canberra</w:t>
      </w:r>
    </w:p>
  </w:endnote>
  <w:endnote w:id="44">
    <w:p w14:paraId="094C037E" w14:textId="5F6454F6" w:rsidR="00DB5DE6" w:rsidRPr="00720C5D" w:rsidRDefault="00DB5DE6" w:rsidP="00720C5D">
      <w:pPr>
        <w:pStyle w:val="EndnoteText"/>
      </w:pPr>
      <w:r w:rsidRPr="00720C5D">
        <w:rPr>
          <w:rStyle w:val="EndnoteReference"/>
          <w:vertAlign w:val="baseline"/>
        </w:rPr>
        <w:endnoteRef/>
      </w:r>
      <w:r>
        <w:t xml:space="preserve">. </w:t>
      </w:r>
      <w:r w:rsidRPr="00720C5D">
        <w:rPr>
          <w:rFonts w:cs="Calibri"/>
          <w:color w:val="000000"/>
        </w:rPr>
        <w:t xml:space="preserve">Commonwealth Department of Health website </w:t>
      </w:r>
      <w:r w:rsidRPr="00720C5D">
        <w:rPr>
          <w:rFonts w:cs="Calibri"/>
          <w:i/>
          <w:color w:val="000000"/>
        </w:rPr>
        <w:t xml:space="preserve">‘Research and Statistics’, </w:t>
      </w:r>
      <w:r w:rsidRPr="00720C5D">
        <w:rPr>
          <w:rFonts w:cs="Calibri"/>
          <w:color w:val="000000"/>
        </w:rPr>
        <w:t>retrieved 10 April 2019, available at https://www.health.gov.au/internet/main/publishing.nsf/Content/health-pubhlth-strateg-active-evidence.htm</w:t>
      </w:r>
    </w:p>
  </w:endnote>
  <w:endnote w:id="45">
    <w:p w14:paraId="586F29BA" w14:textId="01B92AB0" w:rsidR="00DB5DE6" w:rsidRPr="00720C5D" w:rsidRDefault="00DB5DE6" w:rsidP="00720C5D">
      <w:pPr>
        <w:pStyle w:val="EndnoteText"/>
        <w:rPr>
          <w:rFonts w:cs="Calibri"/>
          <w:color w:val="000000"/>
        </w:rPr>
      </w:pPr>
      <w:r w:rsidRPr="00720C5D">
        <w:rPr>
          <w:rStyle w:val="EndnoteReference"/>
          <w:vertAlign w:val="baseline"/>
        </w:rPr>
        <w:endnoteRef/>
      </w:r>
      <w:r>
        <w:t xml:space="preserve">. </w:t>
      </w:r>
      <w:r w:rsidRPr="00720C5D">
        <w:rPr>
          <w:rFonts w:cs="Calibri"/>
          <w:color w:val="000000"/>
        </w:rPr>
        <w:t>National Heart Foundation of Australia. Title. Blue print for active Australia, Heart Foundation, 2019. Available at https://www.heartfoundation.org.au/images/uploads/publications/Blueprint/Blueprint_For_An_Active_Australia_Third_Edition.pdf</w:t>
      </w:r>
    </w:p>
  </w:endnote>
  <w:endnote w:id="46">
    <w:p w14:paraId="533995D6" w14:textId="295C56FF" w:rsidR="00DB5DE6" w:rsidRPr="00720C5D" w:rsidRDefault="00DB5DE6" w:rsidP="00720C5D">
      <w:pPr>
        <w:pStyle w:val="NormalWeb"/>
        <w:shd w:val="clear" w:color="auto" w:fill="FFFFFF"/>
        <w:spacing w:before="0" w:beforeAutospacing="0" w:after="0" w:afterAutospacing="0"/>
        <w:rPr>
          <w:rFonts w:asciiTheme="minorHAnsi" w:hAnsiTheme="minorHAnsi" w:cs="Arial"/>
          <w:color w:val="000000"/>
        </w:rPr>
      </w:pPr>
      <w:r w:rsidRPr="00720C5D">
        <w:rPr>
          <w:rStyle w:val="EndnoteReference"/>
          <w:vertAlign w:val="baseline"/>
        </w:rPr>
        <w:endnoteRef/>
      </w:r>
      <w:r>
        <w:rPr>
          <w:rFonts w:asciiTheme="minorHAnsi" w:hAnsiTheme="minorHAnsi"/>
        </w:rPr>
        <w:t xml:space="preserve">. </w:t>
      </w:r>
      <w:r w:rsidRPr="00720C5D">
        <w:rPr>
          <w:rFonts w:asciiTheme="minorHAnsi" w:hAnsiTheme="minorHAnsi" w:cstheme="minorBidi"/>
          <w:lang w:val="en-US"/>
        </w:rPr>
        <w:t>Xia, Jia, et al. "Cigarette smoking and chronic kidney disease in the general population: a systematic review and meta-analysis of prospective cohort studies." Nephrology Dialysis Transplantation 32.3 (2017): 475-487.</w:t>
      </w:r>
    </w:p>
  </w:endnote>
  <w:endnote w:id="47">
    <w:p w14:paraId="2129464C" w14:textId="5AD0CC21" w:rsidR="00DB5DE6" w:rsidRPr="00720C5D" w:rsidRDefault="00DB5DE6" w:rsidP="00720C5D">
      <w:pPr>
        <w:shd w:val="clear" w:color="auto" w:fill="FFFFFF"/>
        <w:textAlignment w:val="baseline"/>
        <w:rPr>
          <w:rFonts w:eastAsiaTheme="minorEastAsia" w:cs="Times New Roman"/>
          <w:strike/>
          <w:szCs w:val="20"/>
        </w:rPr>
      </w:pPr>
      <w:r w:rsidRPr="00720C5D">
        <w:rPr>
          <w:rStyle w:val="EndnoteReference"/>
          <w:szCs w:val="20"/>
          <w:vertAlign w:val="baseline"/>
        </w:rPr>
        <w:endnoteRef/>
      </w:r>
      <w:r>
        <w:rPr>
          <w:szCs w:val="20"/>
        </w:rPr>
        <w:t xml:space="preserve">. </w:t>
      </w:r>
      <w:r w:rsidRPr="00720C5D">
        <w:rPr>
          <w:rFonts w:cs="Calibri"/>
          <w:color w:val="000000"/>
          <w:szCs w:val="20"/>
        </w:rPr>
        <w:t>Orth, Stephan R., and Stein I. Hallan. "Smoking: a risk factor for progression of chronic kidney disease and for cardiovascular morbidity and mortality in renal patients—absence of evidence or evidence of absence?." Clinical Journal of the American Society of Nephrology 3.1 (2008): 226-236.</w:t>
      </w:r>
    </w:p>
  </w:endnote>
  <w:endnote w:id="48">
    <w:p w14:paraId="4CCA6A97" w14:textId="3CF865B2" w:rsidR="00DB5DE6" w:rsidRPr="00720C5D" w:rsidRDefault="00DB5DE6" w:rsidP="00720C5D">
      <w:pPr>
        <w:pStyle w:val="EndnoteText"/>
        <w:rPr>
          <w:lang w:val="en-US"/>
        </w:rPr>
      </w:pPr>
      <w:r w:rsidRPr="00720C5D">
        <w:rPr>
          <w:rStyle w:val="EndnoteReference"/>
          <w:vertAlign w:val="baseline"/>
        </w:rPr>
        <w:endnoteRef/>
      </w:r>
      <w:r>
        <w:t xml:space="preserve">. </w:t>
      </w:r>
      <w:r w:rsidRPr="00720C5D">
        <w:rPr>
          <w:rFonts w:cs="Calibri"/>
          <w:color w:val="000000"/>
        </w:rPr>
        <w:t>Collins D., and Lapsley H., (2008) The Cost of Tobacco, Alcohol and Illicit Drug Abuse to Australian Society in 2004/05, Commonwealth of Australia, Department of Health and Ageing, Monograph Series No.64, p65</w:t>
      </w:r>
    </w:p>
  </w:endnote>
  <w:endnote w:id="49">
    <w:p w14:paraId="5738605E" w14:textId="74CCAC74" w:rsidR="00DB5DE6" w:rsidRPr="00720C5D" w:rsidRDefault="00DB5DE6" w:rsidP="00720C5D">
      <w:pPr>
        <w:pStyle w:val="EndnoteText"/>
      </w:pPr>
      <w:r w:rsidRPr="00720C5D">
        <w:rPr>
          <w:rStyle w:val="EndnoteReference"/>
          <w:vertAlign w:val="baseline"/>
        </w:rPr>
        <w:endnoteRef/>
      </w:r>
      <w:r>
        <w:t xml:space="preserve">. </w:t>
      </w:r>
      <w:r w:rsidRPr="00720C5D">
        <w:t>https://www.tobaccoinaustralia.org.au/chapter-17-economics/17-4-economic-evaluations-of-tobacco-control-interventions</w:t>
      </w:r>
    </w:p>
  </w:endnote>
  <w:endnote w:id="50">
    <w:p w14:paraId="6C6D2DAA" w14:textId="185F2A2C" w:rsidR="00DB5DE6" w:rsidRPr="00720C5D" w:rsidRDefault="00DB5DE6" w:rsidP="00720C5D">
      <w:pPr>
        <w:pStyle w:val="CommentText"/>
      </w:pPr>
      <w:r w:rsidRPr="00720C5D">
        <w:rPr>
          <w:rStyle w:val="EndnoteReference"/>
          <w:vertAlign w:val="baseline"/>
        </w:rPr>
        <w:endnoteRef/>
      </w:r>
      <w:r>
        <w:t xml:space="preserve">. </w:t>
      </w:r>
      <w:r w:rsidRPr="00720C5D">
        <w:t>World Health Organisation (WHO) Framework Convention on Tobacco Control (FCTC). 2003 Retrieved from: https://www.who.int/fctc/text_download/en/</w:t>
      </w:r>
    </w:p>
  </w:endnote>
  <w:endnote w:id="51">
    <w:p w14:paraId="50B42F1F" w14:textId="0CD98D0E" w:rsidR="00DB5DE6" w:rsidRPr="00720C5D" w:rsidRDefault="00DB5DE6" w:rsidP="00720C5D">
      <w:pPr>
        <w:pStyle w:val="EndnoteText"/>
      </w:pPr>
      <w:r w:rsidRPr="00720C5D">
        <w:rPr>
          <w:rStyle w:val="EndnoteReference"/>
          <w:vertAlign w:val="baseline"/>
        </w:rPr>
        <w:endnoteRef/>
      </w:r>
      <w:r>
        <w:t xml:space="preserve">. </w:t>
      </w:r>
      <w:r w:rsidRPr="00720C5D">
        <w:t>Woolf, SH., Laudan, A., editors. U.S. Health in International Perspective: Shorter Lives, Poorer Health. Washington, DC: National Academies Press; 2013.</w:t>
      </w:r>
    </w:p>
  </w:endnote>
  <w:endnote w:id="52">
    <w:p w14:paraId="2B80A98E" w14:textId="08E6F4A9" w:rsidR="00DB5DE6" w:rsidRPr="00720C5D" w:rsidRDefault="00DB5DE6" w:rsidP="00720C5D">
      <w:pPr>
        <w:pStyle w:val="EndnoteText"/>
      </w:pPr>
      <w:r w:rsidRPr="00720C5D">
        <w:rPr>
          <w:rStyle w:val="EndnoteReference"/>
          <w:vertAlign w:val="baseline"/>
        </w:rPr>
        <w:endnoteRef/>
      </w:r>
      <w:r>
        <w:t xml:space="preserve">. </w:t>
      </w:r>
      <w:r w:rsidRPr="00720C5D">
        <w:t>Kidney Health Australia, State of the Nation: Chronic Kidney Disease in Australia May 2014</w:t>
      </w:r>
    </w:p>
  </w:endnote>
  <w:endnote w:id="53">
    <w:p w14:paraId="5D1FAC81" w14:textId="28AC7B10" w:rsidR="00DB5DE6" w:rsidRPr="00720C5D" w:rsidRDefault="00DB5DE6" w:rsidP="00720C5D">
      <w:pPr>
        <w:pStyle w:val="EndnoteText"/>
      </w:pPr>
      <w:r w:rsidRPr="00720C5D">
        <w:rPr>
          <w:rStyle w:val="EndnoteReference"/>
          <w:vertAlign w:val="baseline"/>
        </w:rPr>
        <w:endnoteRef/>
      </w:r>
      <w:r>
        <w:t xml:space="preserve">. </w:t>
      </w:r>
      <w:r w:rsidRPr="00720C5D">
        <w:rPr>
          <w:rFonts w:cs="Arial"/>
          <w:color w:val="222222"/>
          <w:shd w:val="clear" w:color="auto" w:fill="FFFFFF"/>
        </w:rPr>
        <w:t>Ke, Calvin, et al. "Impact of Socioeconomic Status on Incidence of End-Stage Renal Disease and Mortality Following Dialysis in Adults with Diabetes." </w:t>
      </w:r>
      <w:r w:rsidRPr="00720C5D">
        <w:rPr>
          <w:rFonts w:cs="Arial"/>
          <w:i/>
          <w:iCs/>
          <w:color w:val="222222"/>
          <w:shd w:val="clear" w:color="auto" w:fill="FFFFFF"/>
        </w:rPr>
        <w:t>Canadian Journal of Diabetes</w:t>
      </w:r>
      <w:r w:rsidRPr="00720C5D">
        <w:rPr>
          <w:rFonts w:cs="Arial"/>
          <w:color w:val="222222"/>
          <w:shd w:val="clear" w:color="auto" w:fill="FFFFFF"/>
        </w:rPr>
        <w:t> (2019).</w:t>
      </w:r>
    </w:p>
  </w:endnote>
  <w:endnote w:id="54">
    <w:p w14:paraId="73803D0B" w14:textId="3E288FA2" w:rsidR="00DB5DE6" w:rsidRPr="00720C5D" w:rsidRDefault="00DB5DE6" w:rsidP="00720C5D">
      <w:pPr>
        <w:pStyle w:val="EndnoteText"/>
      </w:pPr>
      <w:r w:rsidRPr="00720C5D">
        <w:rPr>
          <w:rStyle w:val="EndnoteReference"/>
          <w:vertAlign w:val="baseline"/>
        </w:rPr>
        <w:endnoteRef/>
      </w:r>
      <w:r>
        <w:t>.</w:t>
      </w:r>
      <w:r w:rsidRPr="00720C5D">
        <w:t>Aboriginal and Torres Strait Islander Health Performance Framework 2014</w:t>
      </w:r>
    </w:p>
  </w:endnote>
  <w:endnote w:id="55">
    <w:p w14:paraId="3CA46128" w14:textId="6B2B3AD5" w:rsidR="00DB5DE6" w:rsidRPr="00720C5D" w:rsidRDefault="00DB5DE6" w:rsidP="00720C5D">
      <w:pPr>
        <w:pStyle w:val="EndnoteText"/>
      </w:pPr>
      <w:r w:rsidRPr="00720C5D">
        <w:rPr>
          <w:rStyle w:val="EndnoteReference"/>
          <w:vertAlign w:val="baseline"/>
        </w:rPr>
        <w:endnoteRef/>
      </w:r>
      <w:r>
        <w:t xml:space="preserve">. </w:t>
      </w:r>
      <w:r w:rsidRPr="00720C5D">
        <w:t>SAND abstract No. 163 from the BEACH program: Chronic kidney disease in general practice patients. Sydney: FMRC University of Sydney, 2011.</w:t>
      </w:r>
    </w:p>
  </w:endnote>
  <w:endnote w:id="56">
    <w:p w14:paraId="09301227" w14:textId="7783EC9E" w:rsidR="00DB5DE6" w:rsidRPr="00720C5D" w:rsidRDefault="00DB5DE6" w:rsidP="00720C5D">
      <w:pPr>
        <w:rPr>
          <w:szCs w:val="20"/>
        </w:rPr>
      </w:pPr>
      <w:r w:rsidRPr="00720C5D">
        <w:rPr>
          <w:rStyle w:val="EndnoteReference"/>
          <w:szCs w:val="20"/>
          <w:vertAlign w:val="baseline"/>
        </w:rPr>
        <w:endnoteRef/>
      </w:r>
      <w:r>
        <w:rPr>
          <w:szCs w:val="20"/>
        </w:rPr>
        <w:t xml:space="preserve">. </w:t>
      </w:r>
      <w:r w:rsidRPr="00720C5D">
        <w:rPr>
          <w:szCs w:val="20"/>
        </w:rPr>
        <w:t xml:space="preserve">Australian Bureau of Statistics. Patient Experiences in Australia: Summary of Findings, 2017-18. Available at </w:t>
      </w:r>
      <w:hyperlink r:id="rId1" w:history="1">
        <w:r w:rsidRPr="00720C5D">
          <w:rPr>
            <w:szCs w:val="20"/>
          </w:rPr>
          <w:t>https://www.abs.gov.au/ausstats/abs@.nsf/mf/4839.0</w:t>
        </w:r>
      </w:hyperlink>
    </w:p>
  </w:endnote>
  <w:endnote w:id="57">
    <w:p w14:paraId="143514BF" w14:textId="3842D2B6" w:rsidR="00DB5DE6" w:rsidRPr="00720C5D" w:rsidRDefault="00DB5DE6" w:rsidP="00720C5D">
      <w:pPr>
        <w:widowControl w:val="0"/>
        <w:autoSpaceDE w:val="0"/>
        <w:autoSpaceDN w:val="0"/>
        <w:adjustRightInd w:val="0"/>
        <w:rPr>
          <w:rFonts w:cs="Times"/>
          <w:color w:val="323232"/>
          <w:szCs w:val="20"/>
        </w:rPr>
      </w:pPr>
      <w:r w:rsidRPr="00720C5D">
        <w:rPr>
          <w:rStyle w:val="EndnoteReference"/>
          <w:szCs w:val="20"/>
          <w:vertAlign w:val="baseline"/>
        </w:rPr>
        <w:endnoteRef/>
      </w:r>
      <w:r>
        <w:rPr>
          <w:szCs w:val="20"/>
        </w:rPr>
        <w:t xml:space="preserve">. </w:t>
      </w:r>
      <w:r w:rsidRPr="00720C5D">
        <w:rPr>
          <w:rFonts w:eastAsiaTheme="minorEastAsia"/>
          <w:szCs w:val="20"/>
          <w:lang w:val="en-US"/>
        </w:rPr>
        <w:t>Smart NA, Dieberg G, Ladhani M, Titus T.</w:t>
      </w:r>
      <w:r w:rsidRPr="00720C5D">
        <w:rPr>
          <w:rFonts w:ascii="MS Gothic" w:eastAsia="MS Gothic" w:hAnsi="MS Gothic" w:cs="MS Gothic" w:hint="eastAsia"/>
          <w:szCs w:val="20"/>
          <w:lang w:val="en-US"/>
        </w:rPr>
        <w:t> </w:t>
      </w:r>
      <w:r w:rsidRPr="00720C5D">
        <w:rPr>
          <w:rFonts w:eastAsiaTheme="minorEastAsia"/>
          <w:szCs w:val="20"/>
          <w:lang w:val="en-US"/>
        </w:rPr>
        <w:t>Early referral to specialist nephrology services for preventing the</w:t>
      </w:r>
      <w:r w:rsidRPr="00720C5D">
        <w:rPr>
          <w:rFonts w:cs="Times New Roman"/>
          <w:szCs w:val="20"/>
        </w:rPr>
        <w:t xml:space="preserve"> </w:t>
      </w:r>
      <w:r w:rsidRPr="00720C5D">
        <w:rPr>
          <w:rFonts w:cs="Times"/>
          <w:color w:val="323232"/>
          <w:szCs w:val="20"/>
        </w:rPr>
        <w:t>progression to end-stage kidney disease. Cochrane Database of Systematic Reviews 2014, Issue 6. Art. No.: CD007333.</w:t>
      </w:r>
      <w:r w:rsidRPr="00720C5D">
        <w:rPr>
          <w:rFonts w:ascii="MS Gothic" w:eastAsia="MS Gothic" w:hAnsi="MS Gothic" w:cs="MS Gothic" w:hint="eastAsia"/>
          <w:color w:val="323232"/>
          <w:szCs w:val="20"/>
        </w:rPr>
        <w:t> </w:t>
      </w:r>
      <w:r w:rsidRPr="00720C5D">
        <w:rPr>
          <w:rFonts w:cs="Times"/>
          <w:color w:val="323232"/>
          <w:szCs w:val="20"/>
        </w:rPr>
        <w:t>DOI: 10.1002/14651858.CD007333.pub2.</w:t>
      </w:r>
    </w:p>
  </w:endnote>
  <w:endnote w:id="58">
    <w:p w14:paraId="5369AE2A" w14:textId="1BE598EE" w:rsidR="00DB5DE6" w:rsidRPr="00720C5D" w:rsidRDefault="00DB5DE6" w:rsidP="00720C5D">
      <w:pPr>
        <w:pStyle w:val="EndnoteText"/>
      </w:pPr>
      <w:r w:rsidRPr="00720C5D">
        <w:rPr>
          <w:rStyle w:val="EndnoteReference"/>
          <w:vertAlign w:val="baseline"/>
        </w:rPr>
        <w:endnoteRef/>
      </w:r>
      <w:r>
        <w:t xml:space="preserve">. </w:t>
      </w:r>
      <w:r w:rsidRPr="00720C5D">
        <w:rPr>
          <w:rFonts w:cs="Times"/>
          <w:color w:val="323232"/>
        </w:rPr>
        <w:t>Lonnemann, Gerhard, et al. "Timely referral to outpatient nephrology care slows progression and reduces treatment costs of chronic kidney diseases." Kidney international reports 2.2 (2017): 142-151</w:t>
      </w:r>
    </w:p>
  </w:endnote>
  <w:endnote w:id="59">
    <w:p w14:paraId="184B65BD" w14:textId="7BFB539D" w:rsidR="00DB5DE6" w:rsidRPr="00720C5D" w:rsidRDefault="00DB5DE6" w:rsidP="00720C5D">
      <w:pPr>
        <w:pStyle w:val="EndnoteText"/>
      </w:pPr>
      <w:r w:rsidRPr="00720C5D">
        <w:rPr>
          <w:rStyle w:val="EndnoteReference"/>
          <w:vertAlign w:val="baseline"/>
        </w:rPr>
        <w:endnoteRef/>
      </w:r>
      <w:r>
        <w:t xml:space="preserve">. </w:t>
      </w:r>
      <w:r w:rsidRPr="00720C5D">
        <w:rPr>
          <w:rFonts w:cs="Times"/>
          <w:color w:val="323232"/>
        </w:rPr>
        <w:t>de Vries, Eline F., Ton J. Rabelink, and Wilbert B. van den Hout. "Modelling the cost-effectiveness of delaying end-stage renal disease." Nephron 133.2 (2016): 89-97.</w:t>
      </w:r>
    </w:p>
  </w:endnote>
  <w:endnote w:id="60">
    <w:p w14:paraId="1F8ACD64" w14:textId="32318C3D" w:rsidR="00DB5DE6" w:rsidRPr="00720C5D" w:rsidRDefault="00DB5DE6" w:rsidP="00720C5D">
      <w:pPr>
        <w:pStyle w:val="EndnoteText"/>
      </w:pPr>
      <w:r w:rsidRPr="00720C5D">
        <w:rPr>
          <w:rStyle w:val="EndnoteReference"/>
          <w:vertAlign w:val="baseline"/>
        </w:rPr>
        <w:endnoteRef/>
      </w:r>
      <w:r>
        <w:t xml:space="preserve">. </w:t>
      </w:r>
      <w:r w:rsidRPr="00720C5D">
        <w:rPr>
          <w:rFonts w:cs="Times"/>
          <w:color w:val="323232"/>
        </w:rPr>
        <w:t>Chen, Titi, and David C. Harris. "Challenges of chronic kidney disease prevention." The Medical Journal of Australia 203.5 (2015): 209-210.</w:t>
      </w:r>
    </w:p>
  </w:endnote>
  <w:endnote w:id="61">
    <w:p w14:paraId="36428F48" w14:textId="74D08157" w:rsidR="00DB5DE6" w:rsidRPr="00720C5D" w:rsidRDefault="00DB5DE6" w:rsidP="00720C5D">
      <w:pPr>
        <w:pStyle w:val="EndnoteText"/>
        <w:rPr>
          <w:lang w:val="en-US"/>
        </w:rPr>
      </w:pPr>
      <w:r w:rsidRPr="00720C5D">
        <w:rPr>
          <w:rStyle w:val="EndnoteReference"/>
          <w:vertAlign w:val="baseline"/>
        </w:rPr>
        <w:endnoteRef/>
      </w:r>
      <w:r>
        <w:t xml:space="preserve">. </w:t>
      </w:r>
      <w:r w:rsidRPr="00720C5D">
        <w:rPr>
          <w:rFonts w:cs="Times"/>
          <w:color w:val="323232"/>
        </w:rPr>
        <w:t>Mathew, Timothy H., et al. "Screening for chronic kidney disease in Australia: a pilot study in the community and workplace." Kidney international 77 (2010): S9-S16.</w:t>
      </w:r>
    </w:p>
  </w:endnote>
  <w:endnote w:id="62">
    <w:p w14:paraId="5DF89AA2" w14:textId="35F51004" w:rsidR="00DB5DE6" w:rsidRPr="00720C5D" w:rsidRDefault="00DB5DE6" w:rsidP="00720C5D">
      <w:pPr>
        <w:pStyle w:val="NormalWeb"/>
        <w:spacing w:before="0" w:beforeAutospacing="0" w:after="0" w:afterAutospacing="0"/>
        <w:rPr>
          <w:rFonts w:asciiTheme="minorHAnsi" w:eastAsiaTheme="minorHAnsi" w:hAnsiTheme="minorHAnsi"/>
        </w:rPr>
      </w:pPr>
      <w:r w:rsidRPr="00720C5D">
        <w:rPr>
          <w:rStyle w:val="EndnoteReference"/>
          <w:vertAlign w:val="baseline"/>
        </w:rPr>
        <w:endnoteRef/>
      </w:r>
      <w:r>
        <w:rPr>
          <w:rFonts w:asciiTheme="minorHAnsi" w:eastAsiaTheme="minorHAnsi" w:hAnsiTheme="minorHAnsi"/>
          <w:b/>
          <w:bCs/>
          <w:color w:val="00633D"/>
        </w:rPr>
        <w:t xml:space="preserve">. </w:t>
      </w:r>
      <w:r w:rsidRPr="00720C5D">
        <w:rPr>
          <w:rFonts w:asciiTheme="minorHAnsi" w:eastAsiaTheme="minorHAnsi" w:hAnsiTheme="minorHAnsi" w:cs="Times"/>
          <w:color w:val="323232"/>
        </w:rPr>
        <w:t>Medicare Benefits Schedule Review Taskforce Report from the General Practice and Primary Care Clinical Committee: Phase 2, available at https://www.health.gov.au/internet/main/publishing.nsf/Content/mbs-review-2018-taskforce-reports-cp/%24File/General-Practice-and-Primary-Care-Clinical-Committee-Phase-2-Report.pdf</w:t>
      </w:r>
    </w:p>
  </w:endnote>
  <w:endnote w:id="63">
    <w:p w14:paraId="74C10384" w14:textId="724A6B3F" w:rsidR="00DB5DE6" w:rsidRPr="00720C5D" w:rsidRDefault="00DB5DE6" w:rsidP="00720C5D">
      <w:pPr>
        <w:pStyle w:val="EndnoteText"/>
        <w:rPr>
          <w:lang w:val="en-US"/>
        </w:rPr>
      </w:pPr>
      <w:r w:rsidRPr="00720C5D">
        <w:rPr>
          <w:rStyle w:val="EndnoteReference"/>
          <w:vertAlign w:val="baseline"/>
        </w:rPr>
        <w:endnoteRef/>
      </w:r>
      <w:r>
        <w:t xml:space="preserve">. </w:t>
      </w:r>
      <w:r w:rsidRPr="00720C5D">
        <w:rPr>
          <w:rFonts w:cs="Times"/>
          <w:color w:val="323232"/>
        </w:rPr>
        <w:t>Guidelines for preventive activities in general practice. (The Red Book) 9th Edition. RACGP. Available at: https://www.racgp.org.au/clinical-resources/clinical-guidelines/key-racgp-guidelines/view-all-racgp-guid</w:t>
      </w:r>
      <w:r>
        <w:rPr>
          <w:rFonts w:cs="Times"/>
          <w:color w:val="323232"/>
        </w:rPr>
        <w:t>e</w:t>
      </w:r>
      <w:r w:rsidRPr="00720C5D">
        <w:rPr>
          <w:rFonts w:cs="Times"/>
          <w:color w:val="323232"/>
        </w:rPr>
        <w:t>lines/red-book/preamble/i-introduction</w:t>
      </w:r>
    </w:p>
  </w:endnote>
  <w:endnote w:id="64">
    <w:p w14:paraId="7C23DA30" w14:textId="48BDDBDD" w:rsidR="00DB5DE6" w:rsidRPr="00720C5D" w:rsidRDefault="00DB5DE6" w:rsidP="00720C5D">
      <w:pPr>
        <w:pStyle w:val="Heading1"/>
        <w:shd w:val="clear" w:color="auto" w:fill="FFFFFF"/>
        <w:spacing w:before="0"/>
        <w:rPr>
          <w:rFonts w:asciiTheme="minorHAnsi" w:eastAsiaTheme="minorHAnsi" w:hAnsiTheme="minorHAnsi" w:cs="Times"/>
          <w:b w:val="0"/>
          <w:bCs/>
          <w:color w:val="323232"/>
          <w:sz w:val="20"/>
          <w:szCs w:val="20"/>
        </w:rPr>
      </w:pPr>
      <w:r w:rsidRPr="00720C5D">
        <w:rPr>
          <w:rStyle w:val="EndnoteReference"/>
          <w:rFonts w:eastAsiaTheme="minorHAnsi" w:cstheme="minorBidi"/>
          <w:b w:val="0"/>
          <w:bCs/>
          <w:color w:val="auto"/>
          <w:szCs w:val="20"/>
          <w:vertAlign w:val="baseline"/>
        </w:rPr>
        <w:endnoteRef/>
      </w:r>
      <w:r w:rsidRPr="00880BE1">
        <w:rPr>
          <w:rFonts w:asciiTheme="minorHAnsi" w:hAnsiTheme="minorHAnsi"/>
          <w:b w:val="0"/>
          <w:bCs/>
          <w:color w:val="auto"/>
          <w:sz w:val="20"/>
          <w:szCs w:val="20"/>
        </w:rPr>
        <w:t xml:space="preserve">. </w:t>
      </w:r>
      <w:r w:rsidRPr="00720C5D">
        <w:rPr>
          <w:rFonts w:asciiTheme="minorHAnsi" w:eastAsiaTheme="minorHAnsi" w:hAnsiTheme="minorHAnsi" w:cs="Times"/>
          <w:b w:val="0"/>
          <w:bCs/>
          <w:color w:val="323232"/>
          <w:sz w:val="20"/>
          <w:szCs w:val="20"/>
        </w:rPr>
        <w:t xml:space="preserve">MBS online, New MBS items for Heart Health Check available at </w:t>
      </w:r>
      <w:hyperlink r:id="rId2" w:history="1">
        <w:r w:rsidRPr="00720C5D">
          <w:rPr>
            <w:rFonts w:asciiTheme="minorHAnsi" w:hAnsiTheme="minorHAnsi" w:cs="Times"/>
            <w:b w:val="0"/>
            <w:bCs/>
            <w:color w:val="323232"/>
            <w:sz w:val="20"/>
            <w:szCs w:val="20"/>
          </w:rPr>
          <w:t>http://www.mbsonline.gov.au/internet/mbsonline/publishing.nsf/Content/Factsheet-HeartHealthCheck</w:t>
        </w:r>
      </w:hyperlink>
    </w:p>
  </w:endnote>
  <w:endnote w:id="65">
    <w:p w14:paraId="23E2EBDB" w14:textId="781E61C5" w:rsidR="00DB5DE6" w:rsidRPr="00720C5D" w:rsidRDefault="00DB5DE6" w:rsidP="00720C5D">
      <w:pPr>
        <w:autoSpaceDE w:val="0"/>
        <w:autoSpaceDN w:val="0"/>
        <w:adjustRightInd w:val="0"/>
        <w:rPr>
          <w:rFonts w:cs="AdvOT8eb9eec2.B"/>
          <w:szCs w:val="20"/>
        </w:rPr>
      </w:pPr>
      <w:r w:rsidRPr="00720C5D">
        <w:rPr>
          <w:rStyle w:val="EndnoteReference"/>
          <w:szCs w:val="20"/>
          <w:vertAlign w:val="baseline"/>
        </w:rPr>
        <w:endnoteRef/>
      </w:r>
      <w:r>
        <w:rPr>
          <w:szCs w:val="20"/>
        </w:rPr>
        <w:t xml:space="preserve">. </w:t>
      </w:r>
      <w:r w:rsidRPr="00720C5D">
        <w:rPr>
          <w:rFonts w:cs="AdvOT8eb9eec2.B"/>
          <w:szCs w:val="20"/>
        </w:rPr>
        <w:t xml:space="preserve">Galaviz, Karla </w:t>
      </w:r>
      <w:r w:rsidRPr="00720C5D">
        <w:rPr>
          <w:rFonts w:cs="Times"/>
          <w:color w:val="323232"/>
          <w:szCs w:val="20"/>
        </w:rPr>
        <w:t>Ivette, et al. "Global diabetes prevention interventions: A systematic review and network meta-analysis of the real-world impact on incidence, weight, and glucose." Diabetes care 41.7 (2018): 1526-1534.</w:t>
      </w:r>
    </w:p>
  </w:endnote>
  <w:endnote w:id="66">
    <w:p w14:paraId="537EEB74" w14:textId="4099C88A" w:rsidR="00DB5DE6" w:rsidRPr="00720C5D" w:rsidRDefault="00DB5DE6" w:rsidP="00720C5D">
      <w:pPr>
        <w:autoSpaceDE w:val="0"/>
        <w:autoSpaceDN w:val="0"/>
        <w:adjustRightInd w:val="0"/>
        <w:rPr>
          <w:rFonts w:cs="Times"/>
          <w:color w:val="323232"/>
          <w:szCs w:val="20"/>
        </w:rPr>
      </w:pPr>
      <w:r w:rsidRPr="00720C5D">
        <w:rPr>
          <w:rStyle w:val="EndnoteReference"/>
          <w:szCs w:val="20"/>
          <w:vertAlign w:val="baseline"/>
        </w:rPr>
        <w:endnoteRef/>
      </w:r>
      <w:r>
        <w:rPr>
          <w:szCs w:val="20"/>
        </w:rPr>
        <w:t>.</w:t>
      </w:r>
      <w:r w:rsidRPr="00720C5D">
        <w:rPr>
          <w:szCs w:val="20"/>
        </w:rPr>
        <w:t xml:space="preserve"> </w:t>
      </w:r>
      <w:r w:rsidRPr="00720C5D">
        <w:rPr>
          <w:rFonts w:cs="Times"/>
          <w:color w:val="323232"/>
          <w:szCs w:val="20"/>
        </w:rPr>
        <w:t>Sun, Yu, et al. "The effectiveness and cost of lifestyle interventions including nutrition education for diabetes prevention: a systematic review and meta-analysis." Journal of the Academy of Nutrition and Dietetics 117.3 (2017): 404-421</w:t>
      </w:r>
    </w:p>
  </w:endnote>
  <w:endnote w:id="67">
    <w:p w14:paraId="471B9223" w14:textId="66AF2747" w:rsidR="00DB5DE6" w:rsidRPr="00720C5D" w:rsidRDefault="00DB5DE6" w:rsidP="00720C5D">
      <w:pPr>
        <w:autoSpaceDE w:val="0"/>
        <w:autoSpaceDN w:val="0"/>
        <w:adjustRightInd w:val="0"/>
        <w:rPr>
          <w:rFonts w:cs="Helvetica"/>
          <w:szCs w:val="20"/>
          <w:lang w:val="en"/>
        </w:rPr>
      </w:pPr>
      <w:r w:rsidRPr="00720C5D">
        <w:rPr>
          <w:rStyle w:val="EndnoteReference"/>
          <w:szCs w:val="20"/>
          <w:vertAlign w:val="baseline"/>
        </w:rPr>
        <w:endnoteRef/>
      </w:r>
      <w:r>
        <w:rPr>
          <w:szCs w:val="20"/>
        </w:rPr>
        <w:t>.</w:t>
      </w:r>
      <w:r w:rsidRPr="00720C5D">
        <w:rPr>
          <w:szCs w:val="20"/>
        </w:rPr>
        <w:t xml:space="preserve"> </w:t>
      </w:r>
      <w:r w:rsidRPr="00720C5D">
        <w:rPr>
          <w:rFonts w:cs="Times"/>
          <w:color w:val="323232"/>
          <w:szCs w:val="20"/>
        </w:rPr>
        <w:t>Dunkley, Alison J., et al. "Diabetes prevention in the real world: effectiveness of pragmatic lifestyle interventions for the prevention of type 2 diabetes and of the impact of adherence to guideline recommendations: a systematic review and meta-analysis." Diabetes care 37.4 (2014): 922-933.</w:t>
      </w:r>
    </w:p>
  </w:endnote>
  <w:endnote w:id="68">
    <w:p w14:paraId="3FBCBBDA" w14:textId="6882C421" w:rsidR="00DB5DE6" w:rsidRPr="00720C5D" w:rsidRDefault="00DB5DE6" w:rsidP="00720C5D">
      <w:pPr>
        <w:rPr>
          <w:rFonts w:cs="Times"/>
          <w:color w:val="323232"/>
          <w:szCs w:val="20"/>
        </w:rPr>
      </w:pPr>
      <w:r w:rsidRPr="00720C5D">
        <w:rPr>
          <w:rStyle w:val="EndnoteReference"/>
          <w:szCs w:val="20"/>
          <w:vertAlign w:val="baseline"/>
        </w:rPr>
        <w:endnoteRef/>
      </w:r>
      <w:r>
        <w:rPr>
          <w:szCs w:val="20"/>
        </w:rPr>
        <w:t>.</w:t>
      </w:r>
      <w:r w:rsidRPr="00720C5D">
        <w:rPr>
          <w:szCs w:val="20"/>
        </w:rPr>
        <w:t xml:space="preserve"> </w:t>
      </w:r>
      <w:r w:rsidRPr="00720C5D">
        <w:rPr>
          <w:rFonts w:cs="Times"/>
          <w:color w:val="323232"/>
          <w:szCs w:val="20"/>
        </w:rPr>
        <w:t>Uusitupa M, Lindi V, Louheranta A, et al; Finnish Diabetes Prevention Study Group. Long-term improvement in insulin sensitivity by changing lifestyles of people with impaired glucose tolerance: 4-year results from the Finnish Diabetes Prevention Study. </w:t>
      </w:r>
      <w:r w:rsidRPr="00720C5D">
        <w:rPr>
          <w:rFonts w:cs="Times"/>
          <w:i/>
          <w:iCs/>
          <w:color w:val="323232"/>
          <w:szCs w:val="20"/>
        </w:rPr>
        <w:t>Diabetes </w:t>
      </w:r>
      <w:r w:rsidRPr="00720C5D">
        <w:rPr>
          <w:rFonts w:cs="Times"/>
          <w:color w:val="323232"/>
          <w:szCs w:val="20"/>
        </w:rPr>
        <w:t>2003; 52: 2532-2538.</w:t>
      </w:r>
    </w:p>
  </w:endnote>
  <w:endnote w:id="69">
    <w:p w14:paraId="3553DC27" w14:textId="7BAB110F" w:rsidR="00DB5DE6" w:rsidRPr="00720C5D" w:rsidRDefault="00DB5DE6" w:rsidP="00720C5D">
      <w:pPr>
        <w:pStyle w:val="EndnoteText"/>
      </w:pPr>
      <w:r w:rsidRPr="00720C5D">
        <w:rPr>
          <w:rStyle w:val="EndnoteReference"/>
          <w:vertAlign w:val="baseline"/>
        </w:rPr>
        <w:endnoteRef/>
      </w:r>
      <w:r>
        <w:t>.</w:t>
      </w:r>
      <w:r w:rsidRPr="00720C5D">
        <w:t xml:space="preserve"> </w:t>
      </w:r>
      <w:r w:rsidRPr="00720C5D">
        <w:rPr>
          <w:rFonts w:cs="Times"/>
          <w:color w:val="323232"/>
        </w:rPr>
        <w:t>C Leung, Jocelyn. "Inherited renal diseases." Current pediatric reviews 10.2 (2014): 95-100.</w:t>
      </w:r>
    </w:p>
  </w:endnote>
  <w:endnote w:id="70">
    <w:p w14:paraId="43ED66A2" w14:textId="6CBA5BF1" w:rsidR="00DB5DE6" w:rsidRPr="00720C5D" w:rsidRDefault="00DB5DE6" w:rsidP="00720C5D">
      <w:pPr>
        <w:pStyle w:val="EndnoteText"/>
      </w:pPr>
      <w:r w:rsidRPr="00720C5D">
        <w:rPr>
          <w:rStyle w:val="EndnoteReference"/>
          <w:vertAlign w:val="baseline"/>
        </w:rPr>
        <w:endnoteRef/>
      </w:r>
      <w:r>
        <w:t>.</w:t>
      </w:r>
      <w:r w:rsidRPr="00720C5D">
        <w:t xml:space="preserve"> </w:t>
      </w:r>
      <w:r w:rsidRPr="00720C5D">
        <w:rPr>
          <w:rFonts w:cs="Times"/>
          <w:color w:val="323232"/>
        </w:rPr>
        <w:t>Dalgaard OZ. Acta Med Scand Suppl 1957;328: 1–255</w:t>
      </w:r>
    </w:p>
  </w:endnote>
  <w:endnote w:id="71">
    <w:p w14:paraId="1999B3D5" w14:textId="4466112E" w:rsidR="00DB5DE6" w:rsidRPr="00720C5D" w:rsidRDefault="00DB5DE6" w:rsidP="00720C5D">
      <w:pPr>
        <w:pStyle w:val="EndnoteText"/>
      </w:pPr>
      <w:r w:rsidRPr="00720C5D">
        <w:rPr>
          <w:rStyle w:val="EndnoteReference"/>
          <w:vertAlign w:val="baseline"/>
        </w:rPr>
        <w:endnoteRef/>
      </w:r>
      <w:r>
        <w:t>.</w:t>
      </w:r>
      <w:r w:rsidRPr="00720C5D">
        <w:t xml:space="preserve"> PKD Australia </w:t>
      </w:r>
      <w:r w:rsidRPr="00720C5D">
        <w:rPr>
          <w:rFonts w:cs="Times"/>
          <w:color w:val="323232"/>
        </w:rPr>
        <w:t xml:space="preserve">An Action Plan for Critical Change in Polycystic Kidney Disease Outcomes in Australia Version 1- April </w:t>
      </w:r>
      <w:r w:rsidRPr="00720C5D">
        <w:rPr>
          <w:rFonts w:cs="Times"/>
        </w:rPr>
        <w:t xml:space="preserve">2019. Available at </w:t>
      </w:r>
      <w:hyperlink r:id="rId3" w:history="1">
        <w:r w:rsidRPr="00720C5D">
          <w:rPr>
            <w:rStyle w:val="Hyperlink"/>
            <w:color w:val="auto"/>
            <w:u w:val="none"/>
          </w:rPr>
          <w:t>https://pkdaustralia.org/wp-content/uploads/2019/05/An-Action-Plan-for-Critical-Change-in-PKD-V1.pdf</w:t>
        </w:r>
      </w:hyperlink>
    </w:p>
  </w:endnote>
  <w:endnote w:id="72">
    <w:p w14:paraId="2804C8E1" w14:textId="1AADE974" w:rsidR="00DB5DE6" w:rsidRPr="00720C5D" w:rsidRDefault="00DB5DE6" w:rsidP="00720C5D">
      <w:pPr>
        <w:pStyle w:val="EndnoteText"/>
      </w:pPr>
      <w:r w:rsidRPr="00720C5D">
        <w:rPr>
          <w:rStyle w:val="EndnoteReference"/>
          <w:vertAlign w:val="baseline"/>
        </w:rPr>
        <w:endnoteRef/>
      </w:r>
      <w:r>
        <w:t>.</w:t>
      </w:r>
      <w:r w:rsidRPr="00720C5D">
        <w:t xml:space="preserve"> </w:t>
      </w:r>
      <w:r w:rsidRPr="00720C5D">
        <w:rPr>
          <w:rFonts w:cs="Times"/>
          <w:color w:val="323232"/>
        </w:rPr>
        <w:t>Nutbeam D: Health literacy as a public health goal: A challenge for contemporary health education and communication strategies into the 21st century. Health Promot Int. 2000, 15: 259-267.</w:t>
      </w:r>
      <w:r w:rsidRPr="00720C5D">
        <w:rPr>
          <w:shd w:val="clear" w:color="auto" w:fill="FFFFFF"/>
        </w:rPr>
        <w:t> </w:t>
      </w:r>
    </w:p>
  </w:endnote>
  <w:endnote w:id="73">
    <w:p w14:paraId="24B1E346" w14:textId="1CE1D585" w:rsidR="00DB5DE6" w:rsidRPr="00720C5D" w:rsidRDefault="00DB5DE6" w:rsidP="00720C5D">
      <w:pPr>
        <w:pStyle w:val="EndnoteText"/>
      </w:pPr>
      <w:r w:rsidRPr="00720C5D">
        <w:rPr>
          <w:rStyle w:val="EndnoteReference"/>
          <w:vertAlign w:val="baseline"/>
        </w:rPr>
        <w:endnoteRef/>
      </w:r>
      <w:r>
        <w:t>.</w:t>
      </w:r>
      <w:r w:rsidRPr="00720C5D">
        <w:t xml:space="preserve"> Australian Commonwealth Department of Health website, available at </w:t>
      </w:r>
      <w:hyperlink r:id="rId4" w:history="1">
        <w:r w:rsidRPr="00720C5D">
          <w:rPr>
            <w:rStyle w:val="Hyperlink"/>
            <w:color w:val="auto"/>
            <w:u w:val="none"/>
          </w:rPr>
          <w:t>https://www.health.gov.au/internet/publications/publishing.nsf/Content/womens-health-policy-toc~womens-health-policy-key~womens-health-policy-key-literacy</w:t>
        </w:r>
      </w:hyperlink>
    </w:p>
  </w:endnote>
  <w:endnote w:id="74">
    <w:p w14:paraId="1088A018" w14:textId="189FC97B" w:rsidR="00DB5DE6" w:rsidRPr="00380091" w:rsidRDefault="00DB5DE6" w:rsidP="00720C5D">
      <w:pPr>
        <w:pStyle w:val="EndnoteText"/>
      </w:pPr>
      <w:r w:rsidRPr="00380091">
        <w:rPr>
          <w:rStyle w:val="EndnoteReference"/>
          <w:vertAlign w:val="baseline"/>
        </w:rPr>
        <w:endnoteRef/>
      </w:r>
      <w:r>
        <w:t xml:space="preserve">. </w:t>
      </w:r>
      <w:r w:rsidRPr="00380091">
        <w:rPr>
          <w:rFonts w:cs="Times"/>
          <w:color w:val="323232"/>
        </w:rPr>
        <w:t>Barber, Melissa N., et al. "Up to a quarter of the Australian population may have suboptimal health literacy depending upon the measurement tool: results from a population-based survey." Health promotion international 24.3 (2009): 252-261.</w:t>
      </w:r>
    </w:p>
  </w:endnote>
  <w:endnote w:id="75">
    <w:p w14:paraId="0FC8E960" w14:textId="5C2D94B0" w:rsidR="00DB5DE6" w:rsidRPr="00380091" w:rsidRDefault="00DB5DE6" w:rsidP="00720C5D">
      <w:pPr>
        <w:pStyle w:val="EndnoteText"/>
      </w:pPr>
      <w:r w:rsidRPr="00380091">
        <w:rPr>
          <w:rStyle w:val="EndnoteReference"/>
          <w:vertAlign w:val="baseline"/>
        </w:rPr>
        <w:endnoteRef/>
      </w:r>
      <w:r>
        <w:t xml:space="preserve">. </w:t>
      </w:r>
      <w:r w:rsidRPr="00380091">
        <w:rPr>
          <w:rFonts w:cs="Times"/>
          <w:color w:val="323232"/>
        </w:rPr>
        <w:t>Hocking, Annabelle, Caroline Laurence, and Michelle Lorimer. "Patients' knowledge of their chronic disease: The influence of socio-demographic characteristics." Australian family physician 42.6 (2013): 411.</w:t>
      </w:r>
    </w:p>
  </w:endnote>
  <w:endnote w:id="76">
    <w:p w14:paraId="1179325B" w14:textId="5BAE1920"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Times"/>
          <w:color w:val="323232"/>
        </w:rPr>
        <w:t>Devraj, R., &amp; Gordon, E. J. (2009). Health literacy and kidney disease: toward a new line of research. American Journal of Kidney Diseases, 53(5), 884-889. doi:10.1053/j.ajkd.2008.12.028</w:t>
      </w:r>
    </w:p>
  </w:endnote>
  <w:endnote w:id="77">
    <w:p w14:paraId="638CF310" w14:textId="4106BDC3"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Times"/>
          <w:color w:val="323232"/>
        </w:rPr>
        <w:t>White, S. L., Polkinghorne, K. R., Cass, A., Shaw, J., Atkins, R. C., &amp; Chadban, S. J. (2008). Limited knowledge of kidney disease in a survey of AusDiab study participants. The Medical Journal of Australia, 188(4), 204.</w:t>
      </w:r>
    </w:p>
  </w:endnote>
  <w:endnote w:id="78">
    <w:p w14:paraId="1896109F" w14:textId="41AA027F" w:rsidR="00DB5DE6" w:rsidRPr="00380091" w:rsidRDefault="00DB5DE6" w:rsidP="00720C5D">
      <w:pPr>
        <w:pStyle w:val="EndnoteText"/>
      </w:pPr>
      <w:r w:rsidRPr="00380091">
        <w:rPr>
          <w:rStyle w:val="EndnoteReference"/>
          <w:vertAlign w:val="baseline"/>
        </w:rPr>
        <w:endnoteRef/>
      </w:r>
      <w:r>
        <w:t xml:space="preserve">. </w:t>
      </w:r>
      <w:r w:rsidRPr="00380091">
        <w:rPr>
          <w:rFonts w:cs="Times"/>
          <w:color w:val="323232"/>
        </w:rPr>
        <w:t>Burke, M. T., Kapojos, J., Sammartino, C., &amp; Gray, N. A. (2014). Kidney disease health literacy among new patients referred to a nephrology outpatient clinic: CKD health literacy. Internal Medicine Journal, 44(11), 1080-1086. doi:10.1111/imj.12519</w:t>
      </w:r>
    </w:p>
  </w:endnote>
  <w:endnote w:id="79">
    <w:p w14:paraId="074CB631" w14:textId="322EA0D9" w:rsidR="00DB5DE6" w:rsidRPr="00380091" w:rsidRDefault="00DB5DE6" w:rsidP="00720C5D">
      <w:pPr>
        <w:ind w:right="96"/>
        <w:rPr>
          <w:rFonts w:cs="Times"/>
          <w:color w:val="323232"/>
          <w:szCs w:val="20"/>
        </w:rPr>
      </w:pPr>
      <w:r w:rsidRPr="00380091">
        <w:rPr>
          <w:rStyle w:val="EndnoteReference"/>
          <w:szCs w:val="20"/>
          <w:vertAlign w:val="baseline"/>
        </w:rPr>
        <w:endnoteRef/>
      </w:r>
      <w:r>
        <w:rPr>
          <w:szCs w:val="20"/>
        </w:rPr>
        <w:t>.</w:t>
      </w:r>
      <w:r w:rsidRPr="00380091">
        <w:rPr>
          <w:szCs w:val="20"/>
        </w:rPr>
        <w:t xml:space="preserve"> </w:t>
      </w:r>
      <w:r w:rsidRPr="00380091">
        <w:rPr>
          <w:rFonts w:cs="Times"/>
          <w:color w:val="323232"/>
          <w:szCs w:val="20"/>
        </w:rPr>
        <w:t>Gray, N. A., Kapojos, J. J., Burke, M. T., Sammartino, C., &amp; Clark, C. J. (2016). Patient kidney disease knowledge remains inadequate with standard nephrology outpatient care. Clinical Kidney Journal, 9(1), 113-118. doi:10.1093/ckj/sfv108.</w:t>
      </w:r>
    </w:p>
  </w:endnote>
  <w:endnote w:id="80">
    <w:p w14:paraId="24F637BD" w14:textId="585FF4A9" w:rsidR="00DB5DE6" w:rsidRPr="00380091" w:rsidRDefault="00DB5DE6" w:rsidP="00720C5D">
      <w:pPr>
        <w:pStyle w:val="EndnoteText"/>
      </w:pPr>
      <w:r w:rsidRPr="00380091">
        <w:rPr>
          <w:rStyle w:val="EndnoteReference"/>
          <w:vertAlign w:val="baseline"/>
        </w:rPr>
        <w:endnoteRef/>
      </w:r>
      <w:r>
        <w:t xml:space="preserve">. </w:t>
      </w:r>
      <w:r w:rsidRPr="00380091">
        <w:rPr>
          <w:rFonts w:cs="Times"/>
          <w:color w:val="323232"/>
        </w:rPr>
        <w:t>Hocking, Annabelle, Caroline Laurence, and Michelle Lorimer. "Patients' knowledge of their chronic disease: The influence of socio-demographic characteristics." Australian family physician 42.6 (2013): 411.</w:t>
      </w:r>
    </w:p>
  </w:endnote>
  <w:endnote w:id="81">
    <w:p w14:paraId="26120D9F" w14:textId="7439EAC8" w:rsidR="00DB5DE6" w:rsidRPr="00380091" w:rsidRDefault="00DB5DE6" w:rsidP="00720C5D">
      <w:pPr>
        <w:shd w:val="clear" w:color="auto" w:fill="FFFFFF"/>
        <w:rPr>
          <w:rFonts w:cs="Times"/>
          <w:color w:val="323232"/>
          <w:szCs w:val="20"/>
        </w:rPr>
      </w:pPr>
      <w:r w:rsidRPr="00380091">
        <w:rPr>
          <w:rStyle w:val="EndnoteReference"/>
          <w:szCs w:val="20"/>
          <w:vertAlign w:val="baseline"/>
        </w:rPr>
        <w:endnoteRef/>
      </w:r>
      <w:r>
        <w:rPr>
          <w:szCs w:val="20"/>
        </w:rPr>
        <w:t>.</w:t>
      </w:r>
      <w:r w:rsidRPr="00380091">
        <w:rPr>
          <w:szCs w:val="20"/>
        </w:rPr>
        <w:t xml:space="preserve"> </w:t>
      </w:r>
      <w:r w:rsidRPr="00380091">
        <w:rPr>
          <w:rFonts w:cs="Times"/>
          <w:color w:val="323232"/>
          <w:szCs w:val="20"/>
        </w:rPr>
        <w:t>M. Razavian, E.L. Heeley, V. Perkovic, </w:t>
      </w:r>
      <w:r w:rsidRPr="00380091">
        <w:rPr>
          <w:rFonts w:cs="Times"/>
          <w:i/>
          <w:iCs/>
          <w:color w:val="323232"/>
          <w:szCs w:val="20"/>
        </w:rPr>
        <w:t>et al.</w:t>
      </w:r>
      <w:r w:rsidRPr="00380091">
        <w:rPr>
          <w:rFonts w:cs="Times"/>
          <w:color w:val="323232"/>
          <w:szCs w:val="20"/>
        </w:rPr>
        <w:t xml:space="preserve"> </w:t>
      </w:r>
      <w:hyperlink r:id="rId5" w:tgtFrame="_blank" w:history="1">
        <w:r w:rsidRPr="00380091">
          <w:rPr>
            <w:rFonts w:cs="Times"/>
            <w:color w:val="323232"/>
            <w:szCs w:val="20"/>
          </w:rPr>
          <w:t>Cardiovascular risk management in chronic kidney disease in general practice (the AusHEART study)</w:t>
        </w:r>
      </w:hyperlink>
      <w:r w:rsidRPr="00380091">
        <w:rPr>
          <w:rFonts w:cs="Times"/>
          <w:color w:val="323232"/>
          <w:szCs w:val="20"/>
        </w:rPr>
        <w:t xml:space="preserve"> Nephrol Dial Transplant, 27 (2012), pp. 1396-1402</w:t>
      </w:r>
    </w:p>
  </w:endnote>
  <w:endnote w:id="82">
    <w:p w14:paraId="14C52182" w14:textId="6CF0F05E"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Times"/>
          <w:color w:val="323232"/>
        </w:rPr>
        <w:t>Pilotto LS et al. Electronic records suggest sub-optimal management of CKD in general practice. Aust J Rural health 2012 :20; 195-199</w:t>
      </w:r>
    </w:p>
  </w:endnote>
  <w:endnote w:id="83">
    <w:p w14:paraId="69A33584" w14:textId="72422DC6"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Times"/>
          <w:color w:val="323232"/>
        </w:rPr>
        <w:t>Razavian M, Heeley EL, Perkovic V et al. Cardiovascular risk management in chronic kidney disease in general practice (the AusHEART study). Nephrol Dial Transplant 2011;18(10):2766-72.</w:t>
      </w:r>
    </w:p>
  </w:endnote>
  <w:endnote w:id="84">
    <w:p w14:paraId="4B89F0E1" w14:textId="6FE2E6DC" w:rsidR="00DB5DE6" w:rsidRPr="00380091" w:rsidRDefault="00DB5DE6" w:rsidP="00720C5D">
      <w:pPr>
        <w:widowControl w:val="0"/>
        <w:autoSpaceDE w:val="0"/>
        <w:autoSpaceDN w:val="0"/>
        <w:adjustRightInd w:val="0"/>
        <w:rPr>
          <w:rFonts w:cs="Arial"/>
          <w:color w:val="1A1A1A"/>
          <w:szCs w:val="20"/>
        </w:rPr>
      </w:pPr>
      <w:r w:rsidRPr="00380091">
        <w:rPr>
          <w:rStyle w:val="EndnoteReference"/>
          <w:szCs w:val="20"/>
          <w:vertAlign w:val="baseline"/>
        </w:rPr>
        <w:endnoteRef/>
      </w:r>
      <w:r>
        <w:rPr>
          <w:szCs w:val="20"/>
        </w:rPr>
        <w:t>.</w:t>
      </w:r>
      <w:r w:rsidRPr="00380091">
        <w:rPr>
          <w:szCs w:val="20"/>
        </w:rPr>
        <w:t xml:space="preserve"> </w:t>
      </w:r>
      <w:r w:rsidRPr="00380091">
        <w:rPr>
          <w:rFonts w:cs="Times"/>
          <w:color w:val="323232"/>
          <w:szCs w:val="20"/>
        </w:rPr>
        <w:t>Chen, Titi, and David C. Harris. "Challenges of chronic kidney disease prevention." The Medical Journal of Australia 203.5 (2015): 209-210.</w:t>
      </w:r>
    </w:p>
  </w:endnote>
  <w:endnote w:id="85">
    <w:p w14:paraId="04BF9DD1" w14:textId="6EBF6F58" w:rsidR="00DB5DE6" w:rsidRPr="00380091" w:rsidRDefault="00DB5DE6" w:rsidP="00720C5D">
      <w:pPr>
        <w:pStyle w:val="EndnoteText"/>
        <w:rPr>
          <w:lang w:val="en-US"/>
        </w:rPr>
      </w:pPr>
      <w:r w:rsidRPr="00380091">
        <w:rPr>
          <w:rStyle w:val="EndnoteReference"/>
          <w:vertAlign w:val="baseline"/>
        </w:rPr>
        <w:endnoteRef/>
      </w:r>
      <w:r>
        <w:t>.</w:t>
      </w:r>
      <w:r w:rsidRPr="00380091">
        <w:t xml:space="preserve"> </w:t>
      </w:r>
      <w:r w:rsidRPr="00380091">
        <w:rPr>
          <w:rFonts w:cs="Times"/>
          <w:color w:val="323232"/>
        </w:rPr>
        <w:t>Ludlow M, Lauder L, Mathew T, et al. 2012, Australian consumer perspectives on dialysis: First national census. Nephrology 17: 703–709.</w:t>
      </w:r>
    </w:p>
  </w:endnote>
  <w:endnote w:id="86">
    <w:p w14:paraId="4920540F" w14:textId="411F72B0" w:rsidR="00DB5DE6" w:rsidRPr="00380091" w:rsidRDefault="00DB5DE6" w:rsidP="00720C5D">
      <w:pPr>
        <w:pStyle w:val="EndnoteText"/>
        <w:rPr>
          <w:bCs/>
          <w:lang w:val="en-NZ"/>
        </w:rPr>
      </w:pPr>
      <w:r w:rsidRPr="00380091">
        <w:rPr>
          <w:rStyle w:val="EndnoteReference"/>
          <w:vertAlign w:val="baseline"/>
        </w:rPr>
        <w:endnoteRef/>
      </w:r>
      <w:r>
        <w:t>.</w:t>
      </w:r>
      <w:r w:rsidRPr="00380091">
        <w:t xml:space="preserve"> </w:t>
      </w:r>
      <w:r w:rsidRPr="00380091">
        <w:rPr>
          <w:rFonts w:cs="Times"/>
          <w:color w:val="323232"/>
        </w:rPr>
        <w:t>Fortnum D, Ludlow M, Morton RLR 2014, Renal unit characteristics and patient education practices that predict a high prevalence of home-based dialysis in Australia. Nephrology 19: 587–593.</w:t>
      </w:r>
      <w:r w:rsidRPr="00380091">
        <w:rPr>
          <w:bCs/>
          <w:lang w:val="en-NZ"/>
        </w:rPr>
        <w:t xml:space="preserve"> </w:t>
      </w:r>
    </w:p>
  </w:endnote>
  <w:endnote w:id="87">
    <w:p w14:paraId="07C86C95" w14:textId="6E7F9D2E" w:rsidR="00DB5DE6" w:rsidRPr="00380091" w:rsidRDefault="00DB5DE6" w:rsidP="00720C5D">
      <w:pPr>
        <w:pStyle w:val="CommentText"/>
      </w:pPr>
      <w:r w:rsidRPr="00380091">
        <w:rPr>
          <w:rStyle w:val="EndnoteReference"/>
          <w:vertAlign w:val="baseline"/>
        </w:rPr>
        <w:endnoteRef/>
      </w:r>
      <w:r>
        <w:t>.</w:t>
      </w:r>
      <w:r w:rsidRPr="00380091">
        <w:t xml:space="preserve"> </w:t>
      </w:r>
      <w:r w:rsidRPr="00380091">
        <w:rPr>
          <w:rFonts w:cs="Times"/>
          <w:color w:val="323232"/>
        </w:rPr>
        <w:t>Viner, Alexandra H; Williams-Spence, Jenni M; Whitfield, Kathryn and Thomas, Robert JS. Optimal cancer care pathways: Developing best practice guides to improve patient outcomes and identify variations in care [online]. Australian Journal of Cancer Nursing, The, Vol. 17, No. 2, Nov 2016: 21-25</w:t>
      </w:r>
    </w:p>
  </w:endnote>
  <w:endnote w:id="88">
    <w:p w14:paraId="66B20262" w14:textId="30BDE659" w:rsidR="00DB5DE6" w:rsidRPr="00380091" w:rsidRDefault="00DB5DE6" w:rsidP="00720C5D">
      <w:pPr>
        <w:pStyle w:val="CommentText"/>
      </w:pPr>
      <w:r w:rsidRPr="00380091">
        <w:rPr>
          <w:rStyle w:val="EndnoteReference"/>
          <w:vertAlign w:val="baseline"/>
        </w:rPr>
        <w:endnoteRef/>
      </w:r>
      <w:r>
        <w:t>.</w:t>
      </w:r>
      <w:r w:rsidRPr="00380091">
        <w:t xml:space="preserve"> </w:t>
      </w:r>
      <w:r w:rsidRPr="00380091">
        <w:rPr>
          <w:rFonts w:eastAsiaTheme="minorEastAsia" w:cs="Calibri"/>
          <w:color w:val="000000"/>
        </w:rPr>
        <w:t>Centre for Policy on Ageing – Rapid review. The effectiveness of care pathways in health and social care. 2014. Retrieved from: https://www.ageuk.org.uk/Documents/EN-GB/For-professionals/Research/CPA-Effectiveness_of_care_pathways.pdf?dtrk=true</w:t>
      </w:r>
    </w:p>
  </w:endnote>
  <w:endnote w:id="89">
    <w:p w14:paraId="637147D3" w14:textId="003AA8E5" w:rsidR="00DB5DE6" w:rsidRPr="00380091" w:rsidRDefault="00DB5DE6" w:rsidP="00720C5D">
      <w:pPr>
        <w:pStyle w:val="CommentText"/>
        <w:rPr>
          <w:rFonts w:eastAsiaTheme="minorEastAsia" w:cs="Calibri"/>
          <w:color w:val="000000"/>
        </w:rPr>
      </w:pPr>
      <w:r w:rsidRPr="00380091">
        <w:rPr>
          <w:rStyle w:val="EndnoteReference"/>
          <w:vertAlign w:val="baseline"/>
        </w:rPr>
        <w:endnoteRef/>
      </w:r>
      <w:r>
        <w:t>.</w:t>
      </w:r>
      <w:r w:rsidRPr="00380091">
        <w:t xml:space="preserve"> </w:t>
      </w:r>
      <w:r w:rsidRPr="00380091">
        <w:rPr>
          <w:rFonts w:eastAsiaTheme="minorEastAsia" w:cs="Calibri"/>
          <w:color w:val="000000"/>
        </w:rPr>
        <w:t>Framework for Optimal Cancer Care Pathways in Practice. National Cancer Expert Reference Group 2016. Retrieved from: https://www.health.gov.au/internet/main/publishing.nsf/Content/1AB84DC27334B800CA257FF70000C0CC/$File/Framework%20for%20Optimal%20Cancer%20Care%20Pathways%20in%20Practice.pdf</w:t>
      </w:r>
    </w:p>
  </w:endnote>
  <w:endnote w:id="90">
    <w:p w14:paraId="524EF11D" w14:textId="656E1462" w:rsidR="00DB5DE6" w:rsidRPr="00380091" w:rsidRDefault="00DB5DE6" w:rsidP="00720C5D">
      <w:pPr>
        <w:widowControl w:val="0"/>
        <w:tabs>
          <w:tab w:val="left" w:pos="0"/>
          <w:tab w:val="left" w:pos="720"/>
        </w:tabs>
        <w:autoSpaceDE w:val="0"/>
        <w:autoSpaceDN w:val="0"/>
        <w:adjustRightInd w:val="0"/>
        <w:rPr>
          <w:szCs w:val="20"/>
        </w:rPr>
      </w:pPr>
      <w:r w:rsidRPr="00380091">
        <w:rPr>
          <w:rStyle w:val="EndnoteReference"/>
          <w:szCs w:val="20"/>
          <w:vertAlign w:val="baseline"/>
        </w:rPr>
        <w:endnoteRef/>
      </w:r>
      <w:r>
        <w:rPr>
          <w:szCs w:val="20"/>
        </w:rPr>
        <w:t>.</w:t>
      </w:r>
      <w:r w:rsidRPr="00380091">
        <w:rPr>
          <w:szCs w:val="20"/>
        </w:rPr>
        <w:t xml:space="preserve"> </w:t>
      </w:r>
      <w:r w:rsidRPr="00380091">
        <w:rPr>
          <w:rFonts w:eastAsiaTheme="minorEastAsia" w:cs="Calibri"/>
          <w:color w:val="000000"/>
          <w:szCs w:val="20"/>
        </w:rPr>
        <w:t>Fortnum D, Grennan K, Ludlow M. Dialysis Consumer Perspectives Survey Two: Complete dataset report. Kidney Health Australia. Available at www.kidney.org.au; 2015</w:t>
      </w:r>
      <w:r w:rsidRPr="00380091">
        <w:rPr>
          <w:rFonts w:ascii="MS Gothic" w:eastAsia="MS Gothic" w:hAnsi="MS Gothic" w:cs="MS Gothic" w:hint="eastAsia"/>
          <w:color w:val="000000"/>
          <w:szCs w:val="20"/>
        </w:rPr>
        <w:t> </w:t>
      </w:r>
    </w:p>
  </w:endnote>
  <w:endnote w:id="91">
    <w:p w14:paraId="5F9E0710" w14:textId="4B10E079" w:rsidR="00DB5DE6" w:rsidRPr="00380091" w:rsidRDefault="00DB5DE6" w:rsidP="00720C5D">
      <w:pPr>
        <w:pStyle w:val="EndnoteText"/>
        <w:rPr>
          <w:lang w:val="en-US"/>
        </w:rPr>
      </w:pPr>
      <w:r w:rsidRPr="00380091">
        <w:rPr>
          <w:rStyle w:val="EndnoteReference"/>
          <w:vertAlign w:val="baseline"/>
        </w:rPr>
        <w:endnoteRef/>
      </w:r>
      <w:r>
        <w:t>.</w:t>
      </w:r>
      <w:r w:rsidRPr="00380091">
        <w:t xml:space="preserve"> </w:t>
      </w:r>
      <w:r w:rsidRPr="00380091">
        <w:rPr>
          <w:rFonts w:cs="Times"/>
          <w:color w:val="323232"/>
        </w:rPr>
        <w:t>ANZDATA Registry. The 38th Annual ANZDATA Report. Australia and New Zealand Dialysis and Transplant Registry, Adelaide, Australia. Available at: http://www.anzdata.org.au; 2016.</w:t>
      </w:r>
    </w:p>
  </w:endnote>
  <w:endnote w:id="92">
    <w:p w14:paraId="0EA95F14" w14:textId="61806742" w:rsidR="00DB5DE6" w:rsidRPr="00380091" w:rsidRDefault="00DB5DE6" w:rsidP="00720C5D">
      <w:pPr>
        <w:pStyle w:val="EndnoteText"/>
        <w:rPr>
          <w:lang w:val="en-US"/>
        </w:rPr>
      </w:pPr>
      <w:r w:rsidRPr="00380091">
        <w:rPr>
          <w:rStyle w:val="EndnoteReference"/>
          <w:vertAlign w:val="baseline"/>
        </w:rPr>
        <w:endnoteRef/>
      </w:r>
      <w:r>
        <w:t>.</w:t>
      </w:r>
      <w:r w:rsidRPr="00380091">
        <w:t xml:space="preserve"> </w:t>
      </w:r>
      <w:r w:rsidRPr="00380091">
        <w:rPr>
          <w:rFonts w:cs="Times"/>
          <w:color w:val="323232"/>
        </w:rPr>
        <w:t>United States Renal Data System. Annual Data Report: Atlas of Chronic Kidney Disease in the United States. 2015</w:t>
      </w:r>
    </w:p>
  </w:endnote>
  <w:endnote w:id="93">
    <w:p w14:paraId="5C73F8D2" w14:textId="16063EFF" w:rsidR="00DB5DE6" w:rsidRPr="00380091" w:rsidRDefault="00DB5DE6" w:rsidP="00720C5D">
      <w:pPr>
        <w:widowControl w:val="0"/>
        <w:tabs>
          <w:tab w:val="left" w:pos="0"/>
          <w:tab w:val="left" w:pos="720"/>
        </w:tabs>
        <w:autoSpaceDE w:val="0"/>
        <w:autoSpaceDN w:val="0"/>
        <w:adjustRightInd w:val="0"/>
        <w:rPr>
          <w:rFonts w:eastAsiaTheme="minorEastAsia" w:cs="Calibri"/>
          <w:color w:val="000000"/>
          <w:szCs w:val="20"/>
        </w:rPr>
      </w:pPr>
      <w:r w:rsidRPr="00380091">
        <w:rPr>
          <w:rStyle w:val="EndnoteReference"/>
          <w:szCs w:val="20"/>
          <w:vertAlign w:val="baseline"/>
        </w:rPr>
        <w:endnoteRef/>
      </w:r>
      <w:r>
        <w:rPr>
          <w:szCs w:val="20"/>
        </w:rPr>
        <w:t>.</w:t>
      </w:r>
      <w:r w:rsidRPr="00380091">
        <w:rPr>
          <w:szCs w:val="20"/>
        </w:rPr>
        <w:t xml:space="preserve"> </w:t>
      </w:r>
      <w:r w:rsidRPr="00380091">
        <w:rPr>
          <w:rFonts w:eastAsiaTheme="minorEastAsia" w:cs="Calibri"/>
          <w:color w:val="000000"/>
          <w:szCs w:val="20"/>
        </w:rPr>
        <w:t>ANZDATA Registry. The 38th Annual ANZDATA Report. Australia and New Zealand Dialysis and Transplant Registry, Adelaide, Australia. Available at: http://www.anzdata.org.au; 2016.)</w:t>
      </w:r>
    </w:p>
  </w:endnote>
  <w:endnote w:id="94">
    <w:p w14:paraId="18D653A4" w14:textId="08AB8552" w:rsidR="00DB5DE6" w:rsidRPr="00380091" w:rsidRDefault="00DB5DE6" w:rsidP="00720C5D">
      <w:pPr>
        <w:pStyle w:val="Default"/>
        <w:rPr>
          <w:rFonts w:asciiTheme="minorHAnsi" w:eastAsiaTheme="minorHAnsi" w:hAnsiTheme="minorHAnsi"/>
          <w:sz w:val="20"/>
          <w:szCs w:val="20"/>
        </w:rPr>
      </w:pPr>
      <w:r w:rsidRPr="00380091">
        <w:rPr>
          <w:rStyle w:val="EndnoteReference"/>
          <w:szCs w:val="20"/>
          <w:vertAlign w:val="baseline"/>
        </w:rPr>
        <w:endnoteRef/>
      </w:r>
      <w:r>
        <w:rPr>
          <w:rFonts w:asciiTheme="minorHAnsi" w:hAnsiTheme="minorHAnsi"/>
          <w:sz w:val="20"/>
          <w:szCs w:val="20"/>
        </w:rPr>
        <w:t>.</w:t>
      </w:r>
      <w:r w:rsidRPr="00380091">
        <w:rPr>
          <w:rFonts w:asciiTheme="minorHAnsi" w:hAnsiTheme="minorHAnsi"/>
          <w:sz w:val="20"/>
          <w:szCs w:val="20"/>
        </w:rPr>
        <w:t xml:space="preserve"> Australian Institute of Health and Welfare. Rural, Regional and Remote Health: a Study on Mortality (Summary of Findings). Canberra, Australia: AIHW, 2003. AIHWcat. no. PHE 49 (Rural Health Series no. 3) </w:t>
      </w:r>
    </w:p>
  </w:endnote>
  <w:endnote w:id="95">
    <w:p w14:paraId="2920A5C7" w14:textId="3726559C" w:rsidR="00DB5DE6" w:rsidRPr="00380091" w:rsidRDefault="00DB5DE6" w:rsidP="00720C5D">
      <w:pPr>
        <w:pStyle w:val="NormalWeb"/>
        <w:spacing w:before="0" w:beforeAutospacing="0" w:after="0" w:afterAutospacing="0"/>
        <w:rPr>
          <w:rFonts w:asciiTheme="minorHAnsi" w:eastAsiaTheme="minorHAnsi" w:hAnsiTheme="minorHAnsi"/>
        </w:rPr>
      </w:pPr>
      <w:r w:rsidRPr="00380091">
        <w:rPr>
          <w:rStyle w:val="EndnoteReference"/>
          <w:vertAlign w:val="baseline"/>
        </w:rPr>
        <w:endnoteRef/>
      </w:r>
      <w:r>
        <w:rPr>
          <w:rFonts w:asciiTheme="minorHAnsi" w:hAnsiTheme="minorHAnsi" w:cs="Calibri"/>
          <w:color w:val="000000"/>
        </w:rPr>
        <w:t xml:space="preserve">. </w:t>
      </w:r>
      <w:r w:rsidRPr="00380091">
        <w:rPr>
          <w:rFonts w:asciiTheme="minorHAnsi" w:hAnsiTheme="minorHAnsi" w:cs="Calibri"/>
          <w:color w:val="000000"/>
        </w:rPr>
        <w:t>Australian Institute of Health and Welfare 2013. Chronic kidney disease: regional variation in Australia. Cat. no. PHE 172. Canberra: AIHW. Available at https://www.aihw.gov.au/getmedia/832efa35-2b80-4fdf-9308-3a87db47c64b/15100.pdf.aspx?inline=true</w:t>
      </w:r>
    </w:p>
  </w:endnote>
  <w:endnote w:id="96">
    <w:p w14:paraId="25AC79B1" w14:textId="54AF0BB3" w:rsidR="00DB5DE6" w:rsidRPr="00380091" w:rsidRDefault="00DB5DE6" w:rsidP="00720C5D">
      <w:pPr>
        <w:autoSpaceDE w:val="0"/>
        <w:autoSpaceDN w:val="0"/>
        <w:adjustRightInd w:val="0"/>
        <w:rPr>
          <w:rFonts w:cs="Calibri"/>
          <w:color w:val="000000"/>
          <w:szCs w:val="20"/>
        </w:rPr>
      </w:pPr>
      <w:r w:rsidRPr="00380091">
        <w:rPr>
          <w:rStyle w:val="EndnoteReference"/>
          <w:szCs w:val="20"/>
          <w:vertAlign w:val="baseline"/>
        </w:rPr>
        <w:endnoteRef/>
      </w:r>
      <w:r>
        <w:rPr>
          <w:szCs w:val="20"/>
        </w:rPr>
        <w:t>.</w:t>
      </w:r>
      <w:r w:rsidRPr="00380091">
        <w:rPr>
          <w:szCs w:val="20"/>
        </w:rPr>
        <w:t xml:space="preserve"> </w:t>
      </w:r>
      <w:r w:rsidRPr="00380091">
        <w:rPr>
          <w:rFonts w:cs="Calibri"/>
          <w:color w:val="000000"/>
          <w:szCs w:val="20"/>
        </w:rPr>
        <w:t xml:space="preserve">Clark RA, Eckert KA, Stewart S et al. Rural and urban differentials in primary care management of chronic heart failure: new data from the CASE study. Med J Aust 2007; 186: 441–445 </w:t>
      </w:r>
    </w:p>
  </w:endnote>
  <w:endnote w:id="97">
    <w:p w14:paraId="5E2B6A15" w14:textId="5A60BD8C"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color w:val="000000"/>
        </w:rPr>
        <w:t>Ewald DP, Eisman JA, Ewald BD et al. Population rates of bone densitometry use in Australia, 2001–2005, by sex and rural versus urban location. Med J Aust 2009; 190: 126–128</w:t>
      </w:r>
    </w:p>
  </w:endnote>
  <w:endnote w:id="98">
    <w:p w14:paraId="57128804" w14:textId="4C5496CD"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color w:val="000000"/>
        </w:rPr>
        <w:t>Read SJ, Levy J. Differences in stroke care practices between regional and metropolitan hospitals. Intern Med J 2005; 35: 447–450.</w:t>
      </w:r>
    </w:p>
  </w:endnote>
  <w:endnote w:id="99">
    <w:p w14:paraId="6AE691D6" w14:textId="642A0260" w:rsidR="00DB5DE6" w:rsidRPr="00380091" w:rsidRDefault="00DB5DE6" w:rsidP="00720C5D">
      <w:pPr>
        <w:pStyle w:val="Default"/>
        <w:rPr>
          <w:rFonts w:asciiTheme="minorHAnsi" w:hAnsiTheme="minorHAnsi"/>
          <w:sz w:val="20"/>
          <w:szCs w:val="20"/>
        </w:rPr>
      </w:pPr>
      <w:r w:rsidRPr="00380091">
        <w:rPr>
          <w:rStyle w:val="EndnoteReference"/>
          <w:szCs w:val="20"/>
          <w:vertAlign w:val="baseline"/>
        </w:rPr>
        <w:endnoteRef/>
      </w:r>
      <w:r>
        <w:rPr>
          <w:rFonts w:asciiTheme="minorHAnsi" w:hAnsiTheme="minorHAnsi"/>
          <w:sz w:val="20"/>
          <w:szCs w:val="20"/>
        </w:rPr>
        <w:t>.</w:t>
      </w:r>
      <w:r w:rsidRPr="00380091">
        <w:rPr>
          <w:rFonts w:asciiTheme="minorHAnsi" w:hAnsiTheme="minorHAnsi"/>
          <w:sz w:val="20"/>
          <w:szCs w:val="20"/>
        </w:rPr>
        <w:t xml:space="preserve"> Ng JQ, Hall SE, Holman CD et al. Inequalities in rural health care: differences in surgical intervention between metropolitan and rural Western Australia. ANZ J Surg 2005; 75: 265–269 </w:t>
      </w:r>
    </w:p>
  </w:endnote>
  <w:endnote w:id="100">
    <w:p w14:paraId="7EA70B01" w14:textId="3AA9F6CA"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color w:val="000000"/>
        </w:rPr>
        <w:t>Clark RA, Driscoll A, Nottage J et al. Inequitable provision of optimal services for patients with chronic heart failure: a national geo-mapping study. Med J Aust 2007; 186: 169–173</w:t>
      </w:r>
    </w:p>
  </w:endnote>
  <w:endnote w:id="101">
    <w:p w14:paraId="16CAC16D" w14:textId="256D7C06" w:rsidR="00DB5DE6" w:rsidRPr="00380091" w:rsidRDefault="00DB5DE6" w:rsidP="00720C5D">
      <w:pPr>
        <w:autoSpaceDE w:val="0"/>
        <w:autoSpaceDN w:val="0"/>
        <w:adjustRightInd w:val="0"/>
        <w:rPr>
          <w:rFonts w:cs="Calibri"/>
          <w:szCs w:val="20"/>
        </w:rPr>
      </w:pPr>
      <w:r w:rsidRPr="00380091">
        <w:rPr>
          <w:rStyle w:val="EndnoteReference"/>
          <w:szCs w:val="20"/>
          <w:vertAlign w:val="baseline"/>
        </w:rPr>
        <w:endnoteRef/>
      </w:r>
      <w:r>
        <w:rPr>
          <w:szCs w:val="20"/>
        </w:rPr>
        <w:t>.</w:t>
      </w:r>
      <w:r w:rsidRPr="00380091">
        <w:rPr>
          <w:szCs w:val="20"/>
        </w:rPr>
        <w:t xml:space="preserve"> </w:t>
      </w:r>
      <w:r w:rsidRPr="00380091">
        <w:rPr>
          <w:rFonts w:cs="Calibri"/>
          <w:color w:val="000000"/>
          <w:szCs w:val="20"/>
        </w:rPr>
        <w:t xml:space="preserve">ANZDATA Registry. The 38th Annual </w:t>
      </w:r>
      <w:r w:rsidRPr="00380091">
        <w:rPr>
          <w:rFonts w:cs="Calibri"/>
          <w:szCs w:val="20"/>
        </w:rPr>
        <w:t xml:space="preserve">ANZDATA Report. Australia and New Zealand Dialysis and Transplant </w:t>
      </w:r>
      <w:r w:rsidRPr="00380091">
        <w:rPr>
          <w:rFonts w:cs="Calibri"/>
        </w:rPr>
        <w:t>Registry, Adelaide, Australia. Available at: http://www.anzdata.org.au; 2016</w:t>
      </w:r>
      <w:r w:rsidRPr="00380091">
        <w:t>.</w:t>
      </w:r>
    </w:p>
  </w:endnote>
  <w:endnote w:id="102">
    <w:p w14:paraId="114C3127" w14:textId="743BC772" w:rsidR="00DB5DE6" w:rsidRPr="00380091" w:rsidRDefault="00DB5DE6" w:rsidP="00720C5D">
      <w:pPr>
        <w:pStyle w:val="EndnoteText"/>
      </w:pPr>
      <w:r w:rsidRPr="00380091">
        <w:rPr>
          <w:rStyle w:val="EndnoteReference"/>
          <w:vertAlign w:val="baseline"/>
        </w:rPr>
        <w:endnoteRef/>
      </w:r>
      <w:r>
        <w:t>.</w:t>
      </w:r>
      <w:r w:rsidRPr="00380091">
        <w:t xml:space="preserve"> https://kidney.org.au/cms_uploads/docs/kidney-health-australia---budget-submission-2018---regional-and-remote-dialysis-education-and-support.pdf</w:t>
      </w:r>
    </w:p>
  </w:endnote>
  <w:endnote w:id="103">
    <w:p w14:paraId="199BEB1D" w14:textId="345F5561" w:rsidR="00DB5DE6" w:rsidRPr="00380091" w:rsidRDefault="00DB5DE6" w:rsidP="00720C5D">
      <w:pPr>
        <w:pStyle w:val="EndnoteText"/>
        <w:rPr>
          <w:rFonts w:cs="MyriadPro-Regular"/>
        </w:rPr>
      </w:pPr>
      <w:r w:rsidRPr="00380091">
        <w:rPr>
          <w:rStyle w:val="EndnoteReference"/>
          <w:vertAlign w:val="baseline"/>
        </w:rPr>
        <w:endnoteRef/>
      </w:r>
      <w:r>
        <w:t>.</w:t>
      </w:r>
      <w:r w:rsidRPr="00380091">
        <w:t xml:space="preserve"> </w:t>
      </w:r>
      <w:r w:rsidRPr="00380091">
        <w:rPr>
          <w:rFonts w:cs="MyriadPro-Regular"/>
        </w:rPr>
        <w:t>Barraclough, Katherine A., et al. "Residential location and kidney transplant outcomes in indigenous compared with nonindigenous Australians." Transplantation 100.10 (2016): 2168-2176.</w:t>
      </w:r>
    </w:p>
  </w:endnote>
  <w:endnote w:id="104">
    <w:p w14:paraId="3C8C3BB4" w14:textId="485B328B"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MyriadPro-Regular"/>
        </w:rPr>
        <w:t>Rucker D, Hemmelgarn BR, Lin M, et al. Quality of care and mortality are worse in chronic kidney disease patients living in remote areas. Kidney Int. 2011;79:210–217.</w:t>
      </w:r>
    </w:p>
  </w:endnote>
  <w:endnote w:id="105">
    <w:p w14:paraId="0B8A0F8C" w14:textId="6DAEE332"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MyriadPro-Regular"/>
        </w:rPr>
        <w:t>Andrew, Narissa, et al. "Telehealth model of care for routine follow up of renal transplant recipients in a tertiary centre: A case study." Journal of telemedicine and telecare (2018): 1357633X18807834.</w:t>
      </w:r>
    </w:p>
  </w:endnote>
  <w:endnote w:id="106">
    <w:p w14:paraId="166A7634" w14:textId="694EFA29"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MyriadPro-Regular"/>
        </w:rPr>
        <w:t>Trnka, Peter, et al. "A retrospective review of telehealth services for children referred to a paediatric nephrologist." BMC nephrology 16.1 (2015): 125.</w:t>
      </w:r>
    </w:p>
  </w:endnote>
  <w:endnote w:id="107">
    <w:p w14:paraId="1676B2F4" w14:textId="15DFE09F"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MyriadPro-Regular"/>
        </w:rPr>
        <w:t>ANZDATA Registry. The 38th Annual ANZDATA Report. Australia and New Zealand Dialysis and Transplant Registry, Adelaide, Australia. Available at: http://www.anzdata.org.au; 2016</w:t>
      </w:r>
    </w:p>
  </w:endnote>
  <w:endnote w:id="108">
    <w:p w14:paraId="1342B60F" w14:textId="48B8F28D" w:rsidR="00DB5DE6" w:rsidRPr="00380091" w:rsidRDefault="00DB5DE6" w:rsidP="00720C5D">
      <w:pPr>
        <w:autoSpaceDE w:val="0"/>
        <w:autoSpaceDN w:val="0"/>
        <w:adjustRightInd w:val="0"/>
        <w:rPr>
          <w:rFonts w:cs="Calibri"/>
          <w:color w:val="000000"/>
          <w:szCs w:val="20"/>
        </w:rPr>
      </w:pPr>
      <w:r w:rsidRPr="00380091">
        <w:rPr>
          <w:rStyle w:val="EndnoteReference"/>
          <w:szCs w:val="20"/>
          <w:vertAlign w:val="baseline"/>
        </w:rPr>
        <w:endnoteRef/>
      </w:r>
      <w:r>
        <w:rPr>
          <w:szCs w:val="20"/>
        </w:rPr>
        <w:t>.</w:t>
      </w:r>
      <w:r w:rsidRPr="00380091">
        <w:rPr>
          <w:szCs w:val="20"/>
        </w:rPr>
        <w:t xml:space="preserve"> </w:t>
      </w:r>
      <w:r w:rsidRPr="00380091">
        <w:rPr>
          <w:rFonts w:cs="Calibri"/>
          <w:color w:val="000000"/>
          <w:szCs w:val="20"/>
        </w:rPr>
        <w:t xml:space="preserve">Stothers L, Gourlay W and Liu W, 2005, </w:t>
      </w:r>
      <w:r w:rsidRPr="00380091">
        <w:rPr>
          <w:rFonts w:cs="Calibri"/>
          <w:i/>
          <w:iCs/>
          <w:color w:val="000000"/>
          <w:szCs w:val="20"/>
        </w:rPr>
        <w:t xml:space="preserve">Attitudes and predictive factors for live kidney donation: A </w:t>
      </w:r>
    </w:p>
    <w:p w14:paraId="02693A80" w14:textId="5A2622DE" w:rsidR="00DB5DE6" w:rsidRPr="00380091" w:rsidRDefault="00DB5DE6" w:rsidP="00720C5D">
      <w:pPr>
        <w:pStyle w:val="ListParagraph"/>
        <w:autoSpaceDE w:val="0"/>
        <w:autoSpaceDN w:val="0"/>
        <w:adjustRightInd w:val="0"/>
        <w:rPr>
          <w:rFonts w:cs="Calibri"/>
          <w:color w:val="000000"/>
          <w:szCs w:val="20"/>
        </w:rPr>
      </w:pPr>
      <w:r w:rsidRPr="00380091">
        <w:rPr>
          <w:rFonts w:cs="Calibri"/>
          <w:i/>
          <w:iCs/>
          <w:color w:val="000000"/>
          <w:szCs w:val="20"/>
        </w:rPr>
        <w:t>comparison of live kidney donors versus nondonors</w:t>
      </w:r>
      <w:r w:rsidRPr="00380091">
        <w:rPr>
          <w:rFonts w:cs="Calibri"/>
          <w:color w:val="000000"/>
          <w:szCs w:val="20"/>
        </w:rPr>
        <w:t xml:space="preserve">, Kidney International; 67: 1105‐1111. </w:t>
      </w:r>
    </w:p>
  </w:endnote>
  <w:endnote w:id="109">
    <w:p w14:paraId="43E5D166" w14:textId="7A3DED4D"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color w:val="000000"/>
        </w:rPr>
        <w:t xml:space="preserve">Sickand M, Cuerden M, Klarenbach S, Ojo A, Parikh C, Boudville N and Garg A, 2009, </w:t>
      </w:r>
      <w:r w:rsidRPr="00380091">
        <w:rPr>
          <w:rFonts w:cs="Calibri"/>
          <w:i/>
          <w:iCs/>
          <w:color w:val="000000"/>
        </w:rPr>
        <w:t>Reimbursing Live Organ Donors for Incurred Non‐Medical Expenses: A Global Perspective on Policies and Programs</w:t>
      </w:r>
      <w:r w:rsidRPr="00380091">
        <w:rPr>
          <w:rFonts w:cs="Calibri"/>
          <w:color w:val="000000"/>
        </w:rPr>
        <w:t xml:space="preserve">, American Journal of Transplantation; 9: 2825‐2836.  </w:t>
      </w:r>
    </w:p>
  </w:endnote>
  <w:endnote w:id="110">
    <w:p w14:paraId="44F5C4FE" w14:textId="34C59A42" w:rsidR="00DB5DE6" w:rsidRPr="00380091" w:rsidRDefault="00DB5DE6" w:rsidP="00720C5D">
      <w:pPr>
        <w:pStyle w:val="EndnoteText"/>
        <w:rPr>
          <w:rFonts w:cs="MyriadPro-Regular"/>
        </w:rPr>
      </w:pPr>
      <w:r w:rsidRPr="00380091">
        <w:rPr>
          <w:rStyle w:val="EndnoteReference"/>
          <w:vertAlign w:val="baseline"/>
        </w:rPr>
        <w:endnoteRef/>
      </w:r>
      <w:r>
        <w:t>.</w:t>
      </w:r>
      <w:r w:rsidRPr="00380091">
        <w:t xml:space="preserve"> </w:t>
      </w:r>
      <w:r w:rsidRPr="00380091">
        <w:rPr>
          <w:rFonts w:cs="MyriadPro-Regular"/>
        </w:rPr>
        <w:t>McDonald SP, Russ GR. Survival of recipients of cadaveric kidney transplants compared with those receiving dialysis treatment in Australia and New Zealand, 1991e2001. Nephrol Dial Transplant 2002; 17: 2212-2219.</w:t>
      </w:r>
    </w:p>
  </w:endnote>
  <w:endnote w:id="111">
    <w:p w14:paraId="767179D9" w14:textId="1BBBB669"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MyriadPro-Regular"/>
        </w:rPr>
        <w:t xml:space="preserve">Organ and Tissue Authority.Progressing Australian organ and tissue donation and transplantation to 2022 The 2018–19 to 2021–22 strategy. Available at </w:t>
      </w:r>
      <w:hyperlink r:id="rId6" w:history="1">
        <w:r w:rsidRPr="00380091">
          <w:rPr>
            <w:rFonts w:cs="MyriadPro-Regular"/>
          </w:rPr>
          <w:t>https://donatelife.gov.au/sites/default/files/ota_strategic_plan_2018-2022.pdf</w:t>
        </w:r>
      </w:hyperlink>
    </w:p>
  </w:endnote>
  <w:endnote w:id="112">
    <w:p w14:paraId="3A0EF87F" w14:textId="0B51AB38" w:rsidR="00DB5DE6" w:rsidRPr="00380091" w:rsidRDefault="00DB5DE6" w:rsidP="00720C5D">
      <w:pPr>
        <w:pStyle w:val="EndnoteText"/>
        <w:rPr>
          <w:rFonts w:cs="MyriadPro-Regular"/>
        </w:rPr>
      </w:pPr>
      <w:r w:rsidRPr="00380091">
        <w:rPr>
          <w:rStyle w:val="EndnoteReference"/>
          <w:vertAlign w:val="baseline"/>
        </w:rPr>
        <w:endnoteRef/>
      </w:r>
      <w:r>
        <w:t>.</w:t>
      </w:r>
      <w:r w:rsidRPr="00380091">
        <w:t xml:space="preserve"> </w:t>
      </w:r>
      <w:r w:rsidRPr="00380091">
        <w:rPr>
          <w:rFonts w:cs="MyriadPro-Regular"/>
        </w:rPr>
        <w:t>Chapman, Jeremy R., and John Kanellis. "Kidney donation and transplantation in Australia: more than a supply and demand equation." The Medical Journal of Australia 209.6 (2018): 242-243.</w:t>
      </w:r>
    </w:p>
  </w:endnote>
  <w:endnote w:id="113">
    <w:p w14:paraId="32E878FC" w14:textId="57224B59"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MyriadPro-Regular"/>
        </w:rPr>
        <w:t>Khanal, Namrata, et al. "Disparity of access to kidney transplantation by Indigenous and non‐Indigenous Australians." Medical Journal of Australia 209.6 (2018): 261-266.</w:t>
      </w:r>
    </w:p>
  </w:endnote>
  <w:endnote w:id="114">
    <w:p w14:paraId="74FE937C" w14:textId="59B18486"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MyriadPro-Regular"/>
        </w:rPr>
        <w:t>Barraclough, Katherine A., et al. "Residential location and kidney transplant outcomes in indigenous compared with nonindigenous Australians." Transplantation 100.10 (2016): 2168-2176.</w:t>
      </w:r>
    </w:p>
  </w:endnote>
  <w:endnote w:id="115">
    <w:p w14:paraId="6ECE29A2" w14:textId="0A35F7CD" w:rsidR="00DB5DE6" w:rsidRPr="00380091" w:rsidRDefault="00DB5DE6" w:rsidP="00720C5D">
      <w:pPr>
        <w:pStyle w:val="CommentText"/>
      </w:pPr>
      <w:r w:rsidRPr="00380091">
        <w:rPr>
          <w:rStyle w:val="EndnoteReference"/>
          <w:vertAlign w:val="baseline"/>
        </w:rPr>
        <w:endnoteRef/>
      </w:r>
      <w:r>
        <w:t>.</w:t>
      </w:r>
      <w:r w:rsidRPr="00380091">
        <w:t xml:space="preserve"> </w:t>
      </w:r>
      <w:r w:rsidRPr="00380091">
        <w:rPr>
          <w:rFonts w:cs="Calibri"/>
          <w:color w:val="000000"/>
        </w:rPr>
        <w:t xml:space="preserve">Australian Bureau of Statistics, National Health Measures Survey: 2011-12. Available at </w:t>
      </w:r>
      <w:r w:rsidRPr="00380091">
        <w:rPr>
          <w:rFonts w:cs="MyriadPro-Regular"/>
        </w:rPr>
        <w:t>http://www.abs.gov.au/AUSSTATS/abs@.nsf/Lookup/4364.0.55.001Main+Features100012014</w:t>
      </w:r>
      <w:r w:rsidRPr="00380091">
        <w:rPr>
          <w:rFonts w:cs="Calibri"/>
          <w:color w:val="000000"/>
        </w:rPr>
        <w:t>-15?OpenDocument</w:t>
      </w:r>
    </w:p>
  </w:endnote>
  <w:endnote w:id="116">
    <w:p w14:paraId="737EB646" w14:textId="53703542"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MyriadPro-Regular"/>
        </w:rPr>
        <w:t>ANZDATA Registry. The 38th Annual ANZDATA Report. Australia and New Zealand Dialysis and Transplant Registry, Adelaide, Australia. Available at: http://www.anzdata.org.au; 2016</w:t>
      </w:r>
    </w:p>
  </w:endnote>
  <w:endnote w:id="117">
    <w:p w14:paraId="7CD2CC2D" w14:textId="12B81140" w:rsidR="00DB5DE6" w:rsidRPr="00380091" w:rsidRDefault="00DB5DE6" w:rsidP="00720C5D">
      <w:pPr>
        <w:autoSpaceDE w:val="0"/>
        <w:autoSpaceDN w:val="0"/>
        <w:adjustRightInd w:val="0"/>
        <w:rPr>
          <w:rFonts w:cs="Calibri"/>
          <w:color w:val="000000"/>
          <w:szCs w:val="20"/>
        </w:rPr>
      </w:pPr>
      <w:r w:rsidRPr="00380091">
        <w:rPr>
          <w:rStyle w:val="EndnoteReference"/>
          <w:szCs w:val="20"/>
          <w:vertAlign w:val="baseline"/>
        </w:rPr>
        <w:endnoteRef/>
      </w:r>
      <w:r>
        <w:rPr>
          <w:szCs w:val="20"/>
        </w:rPr>
        <w:t>.</w:t>
      </w:r>
      <w:r w:rsidRPr="00380091">
        <w:rPr>
          <w:szCs w:val="20"/>
        </w:rPr>
        <w:t xml:space="preserve"> </w:t>
      </w:r>
      <w:r w:rsidRPr="00380091">
        <w:rPr>
          <w:rFonts w:cs="Calibri"/>
          <w:color w:val="000000"/>
          <w:szCs w:val="20"/>
        </w:rPr>
        <w:t xml:space="preserve">Wong LH, Chan FW, Wong FY, Wong EL, Huen KF, Yeoh EK, et al. Transition care for adolescents and families with chronic illness. J Adolesc Health. 2010;47:540–6. </w:t>
      </w:r>
    </w:p>
  </w:endnote>
  <w:endnote w:id="118">
    <w:p w14:paraId="4930E13C" w14:textId="3A7A89C9"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color w:val="000000"/>
        </w:rPr>
        <w:t>McQuillan et al. Benefits of a transfer clinic in adolescent and young adult kidney transplant patients Canadian Journal of Kidney Health and Disease (2015) 2:45</w:t>
      </w:r>
    </w:p>
  </w:endnote>
  <w:endnote w:id="119">
    <w:p w14:paraId="14AF54F6" w14:textId="0A04AD14"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color w:val="000000"/>
        </w:rPr>
        <w:t>Dobbels F, Ruppar T, De Geest S, Decorte A, Van Damme-Lombaerts R, Fine RN. Adherence to the immunosuppressive regimen in pediatric kidney transplant recipients: a systematic review. Pediatr Transplant. 2010;14:603–13.</w:t>
      </w:r>
    </w:p>
  </w:endnote>
  <w:endnote w:id="120">
    <w:p w14:paraId="7D4A4F85" w14:textId="70708F8F"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color w:val="000000"/>
        </w:rPr>
        <w:t>Dobbels F, Van Damme-Lombaert R, Vanhaecke J, De Geest S. Growing pains: non-adherence with the immunosuppressive regimen in adolescent transplant recipients. Pediatr Transplant. 2005;9:381–90.</w:t>
      </w:r>
    </w:p>
  </w:endnote>
  <w:endnote w:id="121">
    <w:p w14:paraId="33D3C741" w14:textId="2940631A"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color w:val="000000"/>
        </w:rPr>
        <w:t>Levine MH, Reese PP, Wood A, Baluarte JH, Huverserian A, Naji A, et al. Inferior allograft outcomes in adolescent recipients of renal transplants from ideal deceased donors. Ann Surg. 2012;255:556–64.</w:t>
      </w:r>
    </w:p>
  </w:endnote>
  <w:endnote w:id="122">
    <w:p w14:paraId="18483A49" w14:textId="2626A38E"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color w:val="000000"/>
        </w:rPr>
        <w:t>Harden PN, et al. Bridging the gap: An integrated pediatric to adult service for young adults with kidney failure. BMJ 2012: 344: 3718.</w:t>
      </w:r>
    </w:p>
  </w:endnote>
  <w:endnote w:id="123">
    <w:p w14:paraId="109B24A6" w14:textId="335D4086"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Arial"/>
          <w:color w:val="222222"/>
          <w:shd w:val="clear" w:color="auto" w:fill="FFFFFF"/>
        </w:rPr>
        <w:t>Morton, Rachael L., et al. "Impact of CKD on household income." </w:t>
      </w:r>
      <w:r w:rsidRPr="00380091">
        <w:rPr>
          <w:rFonts w:cs="Arial"/>
          <w:i/>
          <w:iCs/>
          <w:color w:val="222222"/>
          <w:shd w:val="clear" w:color="auto" w:fill="FFFFFF"/>
        </w:rPr>
        <w:t>Kidney international reports</w:t>
      </w:r>
      <w:r w:rsidRPr="00380091">
        <w:rPr>
          <w:rFonts w:cs="Arial"/>
          <w:color w:val="222222"/>
          <w:shd w:val="clear" w:color="auto" w:fill="FFFFFF"/>
        </w:rPr>
        <w:t> 3.3 (2018): 610-618.</w:t>
      </w:r>
    </w:p>
  </w:endnote>
  <w:endnote w:id="124">
    <w:p w14:paraId="0616145C" w14:textId="1B812887" w:rsidR="00DB5DE6" w:rsidRPr="00BD644E" w:rsidRDefault="00DB5DE6" w:rsidP="00720C5D">
      <w:pPr>
        <w:pStyle w:val="EndnoteText"/>
      </w:pPr>
      <w:r w:rsidRPr="00380091">
        <w:rPr>
          <w:rStyle w:val="EndnoteReference"/>
          <w:vertAlign w:val="baseline"/>
        </w:rPr>
        <w:endnoteRef/>
      </w:r>
      <w:r>
        <w:t>.</w:t>
      </w:r>
      <w:r w:rsidRPr="00380091">
        <w:t xml:space="preserve"> </w:t>
      </w:r>
      <w:r w:rsidRPr="00380091">
        <w:rPr>
          <w:rFonts w:cs="Arial"/>
          <w:color w:val="222222"/>
          <w:shd w:val="clear" w:color="auto" w:fill="FFFFFF"/>
        </w:rPr>
        <w:t>Essue, Beverley M., et al. "How are patients managing with the co</w:t>
      </w:r>
      <w:r w:rsidRPr="00BD644E">
        <w:rPr>
          <w:rFonts w:cs="Arial"/>
          <w:color w:val="222222"/>
          <w:shd w:val="clear" w:color="auto" w:fill="FFFFFF"/>
        </w:rPr>
        <w:t>sts of care for chronic kidney disease in Australia? A cross-sectional study." </w:t>
      </w:r>
      <w:r w:rsidRPr="00BD644E">
        <w:rPr>
          <w:rFonts w:cs="Arial"/>
          <w:i/>
          <w:iCs/>
          <w:color w:val="222222"/>
          <w:shd w:val="clear" w:color="auto" w:fill="FFFFFF"/>
        </w:rPr>
        <w:t>BMC nephrology</w:t>
      </w:r>
      <w:r w:rsidRPr="00BD644E">
        <w:rPr>
          <w:rFonts w:cs="Arial"/>
          <w:color w:val="222222"/>
          <w:shd w:val="clear" w:color="auto" w:fill="FFFFFF"/>
        </w:rPr>
        <w:t> 14.1 (2013): 5.</w:t>
      </w:r>
    </w:p>
  </w:endnote>
  <w:endnote w:id="125">
    <w:p w14:paraId="648D5434" w14:textId="30BCCF24" w:rsidR="00DB5DE6" w:rsidRPr="00380091" w:rsidRDefault="00DB5DE6" w:rsidP="00720C5D">
      <w:pPr>
        <w:pStyle w:val="CommentText"/>
      </w:pPr>
      <w:r w:rsidRPr="00380091">
        <w:rPr>
          <w:rStyle w:val="EndnoteReference"/>
          <w:vertAlign w:val="baseline"/>
        </w:rPr>
        <w:endnoteRef/>
      </w:r>
      <w:r>
        <w:t>.</w:t>
      </w:r>
      <w:r w:rsidRPr="00380091">
        <w:t xml:space="preserve"> </w:t>
      </w:r>
      <w:r w:rsidRPr="00380091">
        <w:rPr>
          <w:rFonts w:cs="Arial"/>
          <w:color w:val="222222"/>
          <w:shd w:val="clear" w:color="auto" w:fill="FFFFFF"/>
        </w:rPr>
        <w:t>Kidney Health Australia, Jan 2012, A Model for Home Dialysis, Australia. Available at: https://kidney.org.au/cms_uploads/docs/a-model-for-home-dialysis-2012-kha-web.pdf</w:t>
      </w:r>
    </w:p>
  </w:endnote>
  <w:endnote w:id="126">
    <w:p w14:paraId="2C095A63" w14:textId="637F967B"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color w:val="000000"/>
        </w:rPr>
        <w:t>Cass A et al. The Economic Impact of End Stage Kidney Disease in Australia: projects to 2020. Published 2010. Available at http://www.kidney.org.au/LinkClick.aspx?fileticket=vave4WFH73U%3d&amp;tabid=635&amp;mid=1837</w:t>
      </w:r>
      <w:r w:rsidRPr="00380091">
        <w:t xml:space="preserve">  </w:t>
      </w:r>
    </w:p>
  </w:endnote>
  <w:endnote w:id="127">
    <w:p w14:paraId="5751C7FB" w14:textId="526FA0F6" w:rsidR="00DB5DE6" w:rsidRPr="00380091" w:rsidRDefault="00DB5DE6" w:rsidP="00720C5D">
      <w:pPr>
        <w:pStyle w:val="EndnoteText"/>
        <w:rPr>
          <w:lang w:val="en-US"/>
        </w:rPr>
      </w:pPr>
      <w:r w:rsidRPr="00380091">
        <w:rPr>
          <w:rStyle w:val="EndnoteReference"/>
          <w:vertAlign w:val="baseline"/>
        </w:rPr>
        <w:endnoteRef/>
      </w:r>
      <w:r>
        <w:t>.</w:t>
      </w:r>
      <w:r w:rsidRPr="00380091">
        <w:t xml:space="preserve"> Deloitte Access Economics Indicative costings for actions relating to the National Strategic Action Plan commissioned by Kidney Health Australia 2019.</w:t>
      </w:r>
    </w:p>
  </w:endnote>
  <w:endnote w:id="128">
    <w:p w14:paraId="3033887F" w14:textId="3480F624" w:rsidR="00DB5DE6" w:rsidRPr="00380091" w:rsidRDefault="00DB5DE6" w:rsidP="00720C5D">
      <w:pPr>
        <w:autoSpaceDE w:val="0"/>
        <w:autoSpaceDN w:val="0"/>
        <w:adjustRightInd w:val="0"/>
        <w:rPr>
          <w:rFonts w:cs="Calibri"/>
          <w:color w:val="000000"/>
          <w:szCs w:val="20"/>
        </w:rPr>
      </w:pPr>
      <w:r w:rsidRPr="00380091">
        <w:rPr>
          <w:rStyle w:val="EndnoteReference"/>
          <w:szCs w:val="20"/>
          <w:vertAlign w:val="baseline"/>
        </w:rPr>
        <w:endnoteRef/>
      </w:r>
      <w:r>
        <w:rPr>
          <w:szCs w:val="20"/>
        </w:rPr>
        <w:t>.</w:t>
      </w:r>
      <w:r w:rsidRPr="00380091">
        <w:rPr>
          <w:szCs w:val="20"/>
        </w:rPr>
        <w:t xml:space="preserve"> </w:t>
      </w:r>
      <w:r w:rsidRPr="00380091">
        <w:rPr>
          <w:rFonts w:cs="Calibri"/>
          <w:color w:val="000000"/>
          <w:szCs w:val="20"/>
        </w:rPr>
        <w:t xml:space="preserve">Kidney Health Australia 2010 Consumer Perspectives on Dialysis and Dialysis Transport Survey, National Results and Recommendations, Kidney Health Australia, 2007. </w:t>
      </w:r>
    </w:p>
  </w:endnote>
  <w:endnote w:id="129">
    <w:p w14:paraId="43ADA926" w14:textId="1F7EEE10" w:rsidR="00DB5DE6" w:rsidRPr="00380091" w:rsidRDefault="00DB5DE6" w:rsidP="00720C5D">
      <w:pPr>
        <w:pStyle w:val="EndnoteText"/>
      </w:pPr>
      <w:r w:rsidRPr="00380091">
        <w:rPr>
          <w:rStyle w:val="EndnoteReference"/>
          <w:vertAlign w:val="baseline"/>
        </w:rPr>
        <w:endnoteRef/>
      </w:r>
      <w:r>
        <w:t>.h</w:t>
      </w:r>
      <w:r w:rsidRPr="00380091">
        <w:t xml:space="preserve">ttp://www.wacountry.health.wa.gov.au/fileadmin/sections/pats/WACHS_G_PATS_GuideForPatientsAndCarers.pdf  </w:t>
      </w:r>
    </w:p>
  </w:endnote>
  <w:endnote w:id="130">
    <w:p w14:paraId="69FC91E8" w14:textId="26B6EEAC" w:rsidR="00DB5DE6" w:rsidRPr="00380091" w:rsidRDefault="00DB5DE6" w:rsidP="00720C5D">
      <w:pPr>
        <w:pStyle w:val="EndnoteText"/>
        <w:rPr>
          <w:lang w:val="en-US"/>
        </w:rPr>
      </w:pPr>
      <w:r w:rsidRPr="00380091">
        <w:rPr>
          <w:rStyle w:val="EndnoteReference"/>
          <w:vertAlign w:val="baseline"/>
        </w:rPr>
        <w:endnoteRef/>
      </w:r>
      <w:r>
        <w:t>.</w:t>
      </w:r>
      <w:r w:rsidRPr="00380091">
        <w:t xml:space="preserve"> </w:t>
      </w:r>
      <w:r w:rsidRPr="00380091">
        <w:rPr>
          <w:rFonts w:cs="Calibri"/>
        </w:rPr>
        <w:t>Abdel-Kader, Khaled, Mark L. Unruh, and Steven D. Weisbord. "Symptom burden, depression, and quality of life in chronic and end-stage kidney disease." Clinical Journal of the American Society of Nephrology 4.6 (2009): 1057-1064.</w:t>
      </w:r>
    </w:p>
  </w:endnote>
  <w:endnote w:id="131">
    <w:p w14:paraId="470C745C" w14:textId="24031E87" w:rsidR="00DB5DE6" w:rsidRPr="00380091" w:rsidRDefault="00DB5DE6" w:rsidP="00720C5D">
      <w:pPr>
        <w:pStyle w:val="EndnoteText"/>
      </w:pPr>
      <w:r w:rsidRPr="00380091">
        <w:rPr>
          <w:rStyle w:val="EndnoteReference"/>
          <w:vertAlign w:val="baseline"/>
        </w:rPr>
        <w:endnoteRef/>
      </w:r>
      <w:r>
        <w:t>.</w:t>
      </w:r>
      <w:r w:rsidRPr="00380091">
        <w:t xml:space="preserve"> A. Untas, J. Thumma, N. Rascle et al., “The associations of social support and other psychosocial factors with mortality and quality of life in the dialysis outcomes and practice patterns study,” Clinical Journal of the American Society of Nephrology, vol. 6, no. 1, pp. 142–152, 2011.</w:t>
      </w:r>
    </w:p>
  </w:endnote>
  <w:endnote w:id="132">
    <w:p w14:paraId="43D8D50C" w14:textId="30D2DA07"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color w:val="3E3D40"/>
          <w:shd w:val="clear" w:color="auto" w:fill="FFFFFF"/>
        </w:rPr>
        <w:t>Theofilou, P. (2011). Quality of life in patients undergoing hemodialysis or peritoneal dialysis treatment. </w:t>
      </w:r>
      <w:r w:rsidRPr="00380091">
        <w:rPr>
          <w:i/>
          <w:iCs/>
          <w:color w:val="3E3D40"/>
          <w:shd w:val="clear" w:color="auto" w:fill="FFFFFF"/>
        </w:rPr>
        <w:t>J. Clin. Med. Res.</w:t>
      </w:r>
      <w:r w:rsidRPr="00380091">
        <w:rPr>
          <w:color w:val="3E3D40"/>
          <w:shd w:val="clear" w:color="auto" w:fill="FFFFFF"/>
        </w:rPr>
        <w:t> 3, 132–138. doi: 10.4021/jocmr552w</w:t>
      </w:r>
    </w:p>
  </w:endnote>
  <w:endnote w:id="133">
    <w:p w14:paraId="04D4C3DA" w14:textId="3B22603D"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Arial"/>
          <w:color w:val="222222"/>
          <w:shd w:val="clear" w:color="auto" w:fill="FFFFFF"/>
        </w:rPr>
        <w:t>Avramovic, Marina, and Vladisav Stefanovic. "Health</w:t>
      </w:r>
      <w:r w:rsidRPr="00380091">
        <w:rPr>
          <w:rFonts w:cs="Cambria Math"/>
          <w:color w:val="222222"/>
          <w:shd w:val="clear" w:color="auto" w:fill="FFFFFF"/>
        </w:rPr>
        <w:t>‐</w:t>
      </w:r>
      <w:r w:rsidRPr="00380091">
        <w:rPr>
          <w:rFonts w:cs="Arial"/>
          <w:color w:val="222222"/>
          <w:shd w:val="clear" w:color="auto" w:fill="FFFFFF"/>
        </w:rPr>
        <w:t>Related Quality of Life in Different Stages of Renal Failure." </w:t>
      </w:r>
      <w:r w:rsidRPr="00380091">
        <w:rPr>
          <w:rFonts w:cs="Arial"/>
          <w:i/>
          <w:iCs/>
          <w:color w:val="222222"/>
          <w:shd w:val="clear" w:color="auto" w:fill="FFFFFF"/>
        </w:rPr>
        <w:t>Artificial organs</w:t>
      </w:r>
      <w:r w:rsidRPr="00380091">
        <w:rPr>
          <w:rFonts w:cs="Arial"/>
          <w:color w:val="222222"/>
          <w:shd w:val="clear" w:color="auto" w:fill="FFFFFF"/>
        </w:rPr>
        <w:t> 36.7 (2012): 581-589.</w:t>
      </w:r>
    </w:p>
  </w:endnote>
  <w:endnote w:id="134">
    <w:p w14:paraId="716A2EED" w14:textId="2C7261E5"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color w:val="3E3D40"/>
          <w:shd w:val="clear" w:color="auto" w:fill="FFFFFF"/>
        </w:rPr>
        <w:t>Lee, Y. J., Kim, M. S., Cho, S., and Kim, S. R. (2013). Association of depression and anxiety with reduced quality of life in patients with predialysis chronic kidney disease. </w:t>
      </w:r>
      <w:r w:rsidRPr="00380091">
        <w:rPr>
          <w:i/>
          <w:iCs/>
          <w:color w:val="3E3D40"/>
          <w:shd w:val="clear" w:color="auto" w:fill="FFFFFF"/>
        </w:rPr>
        <w:t>Int. J. Clin. Pract.</w:t>
      </w:r>
      <w:r w:rsidRPr="00380091">
        <w:rPr>
          <w:color w:val="3E3D40"/>
          <w:shd w:val="clear" w:color="auto" w:fill="FFFFFF"/>
        </w:rPr>
        <w:t> 67, 363–368. doi: 10.1111/ijcp.12020</w:t>
      </w:r>
    </w:p>
  </w:endnote>
  <w:endnote w:id="135">
    <w:p w14:paraId="119724CC" w14:textId="1ABF0012"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Arial"/>
          <w:color w:val="222222"/>
          <w:shd w:val="clear" w:color="auto" w:fill="FFFFFF"/>
        </w:rPr>
        <w:t>Hedayati, S. Susan, et al. "Association between major depressive episodes in patients with chronic kidney disease and initiation of dialysis, hospitalization, or death." </w:t>
      </w:r>
      <w:r w:rsidRPr="00380091">
        <w:rPr>
          <w:rFonts w:cs="Arial"/>
          <w:i/>
          <w:iCs/>
          <w:color w:val="222222"/>
          <w:shd w:val="clear" w:color="auto" w:fill="FFFFFF"/>
        </w:rPr>
        <w:t>Jama</w:t>
      </w:r>
      <w:r w:rsidRPr="00380091">
        <w:rPr>
          <w:rFonts w:cs="Arial"/>
          <w:color w:val="222222"/>
          <w:shd w:val="clear" w:color="auto" w:fill="FFFFFF"/>
        </w:rPr>
        <w:t>303.19 (2010): 1946-1953</w:t>
      </w:r>
    </w:p>
  </w:endnote>
  <w:endnote w:id="136">
    <w:p w14:paraId="6E6B72C2" w14:textId="525179EB" w:rsidR="00DB5DE6" w:rsidRPr="00380091" w:rsidRDefault="00DB5DE6" w:rsidP="00720C5D">
      <w:pPr>
        <w:pStyle w:val="EndnoteText"/>
      </w:pPr>
      <w:r w:rsidRPr="00380091">
        <w:rPr>
          <w:rStyle w:val="EndnoteReference"/>
          <w:vertAlign w:val="baseline"/>
        </w:rPr>
        <w:endnoteRef/>
      </w:r>
      <w:r>
        <w:t>.</w:t>
      </w:r>
      <w:r w:rsidRPr="00380091">
        <w:t xml:space="preserve"> Lacson, E. Jr., Li, N. C., Guerra-Dean, S., Lazarus, M., Hakim, R., and Finkelstein, F. O. (2012). Depressive symptoms associate with high mortality risk and dialysis withdrawal in incident hemodialysis patients. Nephrol. Dial. Transplant. 27, 2921–2928. doi: 10.1093/ndt/gfr778</w:t>
      </w:r>
    </w:p>
  </w:endnote>
  <w:endnote w:id="137">
    <w:p w14:paraId="2B1E75B6" w14:textId="05DEE059"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Arial"/>
          <w:color w:val="222222"/>
          <w:shd w:val="clear" w:color="auto" w:fill="FFFFFF"/>
        </w:rPr>
        <w:t>Pascoe, Michaela C., et al. "Psychosocial interventions for depressive and anxiety symptoms in individuals with chronic kidney disease: systematic review and meta-analysis." </w:t>
      </w:r>
      <w:r w:rsidRPr="00380091">
        <w:rPr>
          <w:rFonts w:cs="Arial"/>
          <w:i/>
          <w:iCs/>
          <w:color w:val="222222"/>
          <w:shd w:val="clear" w:color="auto" w:fill="FFFFFF"/>
        </w:rPr>
        <w:t>Frontiers in psychology</w:t>
      </w:r>
      <w:r w:rsidRPr="00380091">
        <w:rPr>
          <w:rFonts w:cs="Arial"/>
          <w:color w:val="222222"/>
          <w:shd w:val="clear" w:color="auto" w:fill="FFFFFF"/>
        </w:rPr>
        <w:t> 8 (2017): 992.</w:t>
      </w:r>
    </w:p>
  </w:endnote>
  <w:endnote w:id="138">
    <w:p w14:paraId="11622525" w14:textId="161384EB"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Arial"/>
          <w:color w:val="222222"/>
          <w:shd w:val="clear" w:color="auto" w:fill="FFFFFF"/>
        </w:rPr>
        <w:t>Chi, Nai-Ching, and George Demiris. "A systematic review of telehealth tools and interventions to support family caregivers." </w:t>
      </w:r>
      <w:r w:rsidRPr="00380091">
        <w:rPr>
          <w:rFonts w:cs="Arial"/>
          <w:i/>
          <w:iCs/>
          <w:color w:val="222222"/>
          <w:shd w:val="clear" w:color="auto" w:fill="FFFFFF"/>
        </w:rPr>
        <w:t>Journal of telemedicine and telecare</w:t>
      </w:r>
      <w:r w:rsidRPr="00380091">
        <w:rPr>
          <w:rFonts w:cs="Arial"/>
          <w:color w:val="222222"/>
          <w:shd w:val="clear" w:color="auto" w:fill="FFFFFF"/>
        </w:rPr>
        <w:t> 21.1 (2015): 37-44.</w:t>
      </w:r>
    </w:p>
  </w:endnote>
  <w:endnote w:id="139">
    <w:p w14:paraId="7D37AE57" w14:textId="3BE6889B"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Arial"/>
          <w:color w:val="222222"/>
          <w:shd w:val="clear" w:color="auto" w:fill="FFFFFF"/>
        </w:rPr>
        <w:t>Blakeman, Tom, et al. "Effect of information and telephone-guided access to community support for people with chronic kidney disease: randomised controlled trial." </w:t>
      </w:r>
      <w:r w:rsidRPr="00380091">
        <w:rPr>
          <w:rFonts w:cs="Arial"/>
          <w:i/>
          <w:iCs/>
          <w:color w:val="222222"/>
          <w:shd w:val="clear" w:color="auto" w:fill="FFFFFF"/>
        </w:rPr>
        <w:t>PLoS One</w:t>
      </w:r>
      <w:r w:rsidRPr="00380091">
        <w:rPr>
          <w:rFonts w:cs="Arial"/>
          <w:color w:val="222222"/>
          <w:shd w:val="clear" w:color="auto" w:fill="FFFFFF"/>
        </w:rPr>
        <w:t> 9.10 (2014): e109135.</w:t>
      </w:r>
    </w:p>
  </w:endnote>
  <w:endnote w:id="140">
    <w:p w14:paraId="6CC3C8E3" w14:textId="0D7E288E" w:rsidR="00DB5DE6" w:rsidRPr="00380091" w:rsidRDefault="00DB5DE6" w:rsidP="00720C5D">
      <w:pPr>
        <w:pStyle w:val="NormalWeb"/>
        <w:spacing w:before="0" w:beforeAutospacing="0" w:after="0" w:afterAutospacing="0"/>
        <w:contextualSpacing/>
        <w:rPr>
          <w:rFonts w:asciiTheme="minorHAnsi" w:hAnsiTheme="minorHAnsi" w:cs="Calibri"/>
          <w:color w:val="000000"/>
        </w:rPr>
      </w:pPr>
      <w:r w:rsidRPr="00380091">
        <w:rPr>
          <w:rStyle w:val="EndnoteReference"/>
          <w:vertAlign w:val="baseline"/>
        </w:rPr>
        <w:endnoteRef/>
      </w:r>
      <w:r>
        <w:rPr>
          <w:rFonts w:asciiTheme="minorHAnsi" w:hAnsiTheme="minorHAnsi"/>
        </w:rPr>
        <w:t>.</w:t>
      </w:r>
      <w:r w:rsidRPr="00380091">
        <w:rPr>
          <w:rFonts w:asciiTheme="minorHAnsi" w:hAnsiTheme="minorHAnsi"/>
        </w:rPr>
        <w:t xml:space="preserve"> </w:t>
      </w:r>
      <w:r w:rsidRPr="00380091">
        <w:rPr>
          <w:rFonts w:asciiTheme="minorHAnsi" w:hAnsiTheme="minorHAnsi" w:cs="Arial"/>
          <w:color w:val="222222"/>
          <w:shd w:val="clear" w:color="auto" w:fill="FFFFFF"/>
        </w:rPr>
        <w:t>Nicholas, David B., et al. "Evaluation of an online peer support network for adolescents with chronic kidney disease." </w:t>
      </w:r>
      <w:r w:rsidRPr="00380091">
        <w:rPr>
          <w:rFonts w:asciiTheme="minorHAnsi" w:hAnsiTheme="minorHAnsi" w:cs="Arial"/>
          <w:i/>
          <w:iCs/>
          <w:color w:val="222222"/>
          <w:shd w:val="clear" w:color="auto" w:fill="FFFFFF"/>
        </w:rPr>
        <w:t>Journal of Technology in Human Services</w:t>
      </w:r>
      <w:r w:rsidRPr="00380091">
        <w:rPr>
          <w:rFonts w:asciiTheme="minorHAnsi" w:hAnsiTheme="minorHAnsi" w:cs="Arial"/>
          <w:color w:val="222222"/>
          <w:shd w:val="clear" w:color="auto" w:fill="FFFFFF"/>
        </w:rPr>
        <w:t> 27.1 (2009): 23-33.</w:t>
      </w:r>
    </w:p>
  </w:endnote>
  <w:endnote w:id="141">
    <w:p w14:paraId="67AED3CA" w14:textId="2A54AD03"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Arial"/>
          <w:color w:val="222222"/>
          <w:shd w:val="clear" w:color="auto" w:fill="FFFFFF"/>
        </w:rPr>
        <w:t>Hughes, Jane, Eleri Wood, and Gaynor Smith. "Exploring kidney patients’ experiences of receiving individual peer support." </w:t>
      </w:r>
      <w:r w:rsidRPr="00380091">
        <w:rPr>
          <w:rFonts w:cs="Arial"/>
          <w:i/>
          <w:iCs/>
          <w:color w:val="222222"/>
          <w:shd w:val="clear" w:color="auto" w:fill="FFFFFF"/>
        </w:rPr>
        <w:t>Health Expectations</w:t>
      </w:r>
      <w:r w:rsidRPr="00380091">
        <w:rPr>
          <w:rFonts w:cs="Arial"/>
          <w:color w:val="222222"/>
          <w:shd w:val="clear" w:color="auto" w:fill="FFFFFF"/>
        </w:rPr>
        <w:t> 12.4 (2009): 396-406.</w:t>
      </w:r>
    </w:p>
  </w:endnote>
  <w:endnote w:id="142">
    <w:p w14:paraId="20D15B0A" w14:textId="464D9B89"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color w:val="000000"/>
        </w:rPr>
        <w:t>ANZDATA Registry. 38th Report, chapter 12: Indigenous people and end stage kidney disease. Australia and New Zealand Dialysis and Transplant Registry, Adelaide, Australia. 2016. Retrieved [18th Feb 2018] Available from URL: http://www.anzdata.org.au</w:t>
      </w:r>
    </w:p>
  </w:endnote>
  <w:endnote w:id="143">
    <w:p w14:paraId="7A22A89F" w14:textId="7D76815C" w:rsidR="00DB5DE6" w:rsidRPr="00380091" w:rsidRDefault="00DB5DE6" w:rsidP="00720C5D">
      <w:pPr>
        <w:pStyle w:val="EndnoteText"/>
      </w:pPr>
      <w:r w:rsidRPr="00380091">
        <w:rPr>
          <w:rStyle w:val="EndnoteReference"/>
          <w:vertAlign w:val="baseline"/>
        </w:rPr>
        <w:endnoteRef/>
      </w:r>
      <w:r>
        <w:t>.</w:t>
      </w:r>
      <w:r w:rsidRPr="00380091">
        <w:t xml:space="preserve"> AIHW. (2015). The health and welfare of Australia's Aboriginal and Torres Strait Islander peoples. Canberra, Australia: Australian Institute of Health and Welfare. Retrieved from https://www.aihw.gov.au/reports/indigenous-health-welfare/indigenous-health-welfare2015/contents/table-of-contents</w:t>
      </w:r>
    </w:p>
  </w:endnote>
  <w:endnote w:id="144">
    <w:p w14:paraId="63F79D45" w14:textId="381E4CD6" w:rsidR="00DB5DE6" w:rsidRPr="00380091" w:rsidRDefault="00DB5DE6" w:rsidP="00720C5D">
      <w:pPr>
        <w:pStyle w:val="EndnoteText"/>
      </w:pPr>
      <w:r w:rsidRPr="00380091">
        <w:rPr>
          <w:rStyle w:val="EndnoteReference"/>
          <w:vertAlign w:val="baseline"/>
        </w:rPr>
        <w:endnoteRef/>
      </w:r>
      <w:r>
        <w:t>.</w:t>
      </w:r>
      <w:r w:rsidRPr="00380091">
        <w:t xml:space="preserve"> AIHW. (2014). Mortality and life expectancy of Indigenous Australians 2008 to 2012. Canberra, Australia: Australian Institute of Health and Welfare. Retrieved from https://www.aihw.gov.au/reports/indigenous-australians/mortality-life-expectancy-2008- 2012/contents/summary</w:t>
      </w:r>
    </w:p>
  </w:endnote>
  <w:endnote w:id="145">
    <w:p w14:paraId="04B909F6" w14:textId="335AA951"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Calibri"/>
        </w:rPr>
        <w:t>ANZDATA Registry. The 41st Annual ANZDATA Report. Australia and New Zealand Dialysis and Transplant Registry, Adelaide, Australia. Retrieved from: http://www.anzdata.org.au/v1/report_2018.html</w:t>
      </w:r>
    </w:p>
  </w:endnote>
  <w:endnote w:id="146">
    <w:p w14:paraId="2FF16D76" w14:textId="06CE4C88" w:rsidR="00DB5DE6" w:rsidRPr="00380091" w:rsidRDefault="00DB5DE6" w:rsidP="00720C5D">
      <w:pPr>
        <w:pStyle w:val="EndnoteText"/>
      </w:pPr>
      <w:r w:rsidRPr="00380091">
        <w:rPr>
          <w:rStyle w:val="EndnoteReference"/>
          <w:vertAlign w:val="baseline"/>
        </w:rPr>
        <w:endnoteRef/>
      </w:r>
      <w:r>
        <w:t>.</w:t>
      </w:r>
      <w:r w:rsidRPr="00380091">
        <w:t xml:space="preserve"> https://kidney.org.au/cms_uploads/docs/kidney-health-australia---indigenous-kidney-health-program-budget-submission.pdf</w:t>
      </w:r>
    </w:p>
  </w:endnote>
  <w:endnote w:id="147">
    <w:p w14:paraId="6D73F3A7" w14:textId="162439E9" w:rsidR="00DB5DE6" w:rsidRPr="00380091" w:rsidRDefault="00DB5DE6" w:rsidP="00720C5D">
      <w:pPr>
        <w:pStyle w:val="EndnoteText"/>
      </w:pPr>
      <w:r w:rsidRPr="00380091">
        <w:rPr>
          <w:rStyle w:val="EndnoteReference"/>
          <w:vertAlign w:val="baseline"/>
        </w:rPr>
        <w:endnoteRef/>
      </w:r>
      <w:r>
        <w:t>.</w:t>
      </w:r>
      <w:r w:rsidRPr="00380091">
        <w:t xml:space="preserve"> Stumpers S, Thomson N 2013. Review of kidney disease and urologic disorders among Aboriginal and Torres Strait Is lander people. Australian Aboriginal and Torres Strait Islander HealthInfoNet. Retrieved from https://healthinfonet.ecu.edu.au/uploads/docs/kidney-review-2013.pdf</w:t>
      </w:r>
    </w:p>
  </w:endnote>
  <w:endnote w:id="148">
    <w:p w14:paraId="6B1B51E4" w14:textId="4FAF60DF" w:rsidR="00DB5DE6" w:rsidRPr="00380091" w:rsidRDefault="00DB5DE6" w:rsidP="00720C5D">
      <w:pPr>
        <w:pStyle w:val="EndnoteText"/>
        <w:rPr>
          <w:lang w:val="en-US"/>
        </w:rPr>
      </w:pPr>
      <w:r w:rsidRPr="00380091">
        <w:rPr>
          <w:rStyle w:val="EndnoteReference"/>
          <w:vertAlign w:val="baseline"/>
        </w:rPr>
        <w:endnoteRef/>
      </w:r>
      <w:r>
        <w:t>.</w:t>
      </w:r>
      <w:r w:rsidRPr="00380091">
        <w:t xml:space="preserve"> (</w:t>
      </w:r>
      <w:hyperlink r:id="rId7" w:history="1">
        <w:r w:rsidRPr="00380091">
          <w:t>https://www.aihw.gov.au/reports/chronic-kidney-disease/chronic-kidney-disease-compendium/contents/deaths-from-chronic-kidney-disease</w:t>
        </w:r>
      </w:hyperlink>
    </w:p>
  </w:endnote>
  <w:endnote w:id="149">
    <w:p w14:paraId="263C79B3" w14:textId="060A2EBB" w:rsidR="00DB5DE6" w:rsidRPr="00380091" w:rsidRDefault="00DB5DE6" w:rsidP="00720C5D">
      <w:pPr>
        <w:pStyle w:val="Default"/>
        <w:rPr>
          <w:rFonts w:asciiTheme="minorHAnsi" w:hAnsiTheme="minorHAnsi" w:cs="Times"/>
          <w:color w:val="35393A"/>
          <w:sz w:val="20"/>
          <w:szCs w:val="20"/>
        </w:rPr>
      </w:pPr>
      <w:r w:rsidRPr="00380091">
        <w:rPr>
          <w:rStyle w:val="EndnoteReference"/>
          <w:szCs w:val="20"/>
          <w:vertAlign w:val="baseline"/>
        </w:rPr>
        <w:endnoteRef/>
      </w:r>
      <w:r>
        <w:rPr>
          <w:rFonts w:asciiTheme="minorHAnsi" w:hAnsiTheme="minorHAnsi"/>
          <w:sz w:val="20"/>
          <w:szCs w:val="20"/>
        </w:rPr>
        <w:t>.</w:t>
      </w:r>
      <w:r w:rsidRPr="00380091">
        <w:rPr>
          <w:rFonts w:asciiTheme="minorHAnsi" w:hAnsiTheme="minorHAnsi"/>
          <w:sz w:val="20"/>
          <w:szCs w:val="20"/>
        </w:rPr>
        <w:t xml:space="preserve"> </w:t>
      </w:r>
      <w:r w:rsidRPr="00380091">
        <w:rPr>
          <w:rFonts w:asciiTheme="minorHAnsi" w:eastAsiaTheme="minorHAnsi" w:hAnsiTheme="minorHAnsi" w:cstheme="minorBidi"/>
          <w:color w:val="auto"/>
          <w:sz w:val="20"/>
          <w:szCs w:val="20"/>
        </w:rPr>
        <w:t>https://canceraustralia.gov.au/sites/default/files/publications/cancer-research-australia-overview-funding-cancer-research-projects-and-research-programs-australia/pdf/ca_audit_report_final.pdf</w:t>
      </w:r>
    </w:p>
  </w:endnote>
  <w:endnote w:id="150">
    <w:p w14:paraId="79159679" w14:textId="1E5034E6" w:rsidR="00DB5DE6" w:rsidRPr="00380091" w:rsidRDefault="00DB5DE6" w:rsidP="00720C5D">
      <w:pPr>
        <w:pStyle w:val="EndnoteText"/>
      </w:pPr>
      <w:r w:rsidRPr="00380091">
        <w:rPr>
          <w:rStyle w:val="EndnoteReference"/>
          <w:vertAlign w:val="baseline"/>
        </w:rPr>
        <w:endnoteRef/>
      </w:r>
      <w:r>
        <w:t xml:space="preserve">. </w:t>
      </w:r>
      <w:r w:rsidRPr="00380091">
        <w:t>https://www.aihw.gov.au/reports/cancer/breast-cancer-in-australia-an-overview/contents/table-of-contents</w:t>
      </w:r>
    </w:p>
  </w:endnote>
  <w:endnote w:id="151">
    <w:p w14:paraId="4C3AA6FA" w14:textId="77777777" w:rsidR="00DB5DE6" w:rsidRPr="00380091" w:rsidRDefault="00DB5DE6" w:rsidP="00720C5D">
      <w:pPr>
        <w:pStyle w:val="Default"/>
        <w:rPr>
          <w:rFonts w:asciiTheme="minorHAnsi" w:hAnsiTheme="minorHAnsi" w:cs="Times"/>
          <w:color w:val="35393A"/>
          <w:sz w:val="20"/>
          <w:szCs w:val="20"/>
        </w:rPr>
      </w:pPr>
      <w:r w:rsidRPr="00380091">
        <w:rPr>
          <w:rStyle w:val="EndnoteReference"/>
          <w:szCs w:val="20"/>
          <w:vertAlign w:val="baseline"/>
        </w:rPr>
        <w:endnoteRef/>
      </w:r>
      <w:r w:rsidRPr="00380091">
        <w:rPr>
          <w:rFonts w:asciiTheme="minorHAnsi" w:hAnsiTheme="minorHAnsi"/>
          <w:sz w:val="20"/>
          <w:szCs w:val="20"/>
        </w:rPr>
        <w:t xml:space="preserve"> </w:t>
      </w:r>
      <w:hyperlink r:id="rId8" w:history="1">
        <w:r w:rsidRPr="00380091">
          <w:rPr>
            <w:rFonts w:asciiTheme="minorHAnsi" w:eastAsiaTheme="minorHAnsi" w:hAnsiTheme="minorHAnsi" w:cstheme="minorBidi"/>
            <w:color w:val="auto"/>
            <w:sz w:val="20"/>
            <w:szCs w:val="20"/>
          </w:rPr>
          <w:t>https://www.aihw.gov.au/reports/cancer/prostate-cancer-in-australia/contents/summary</w:t>
        </w:r>
      </w:hyperlink>
    </w:p>
  </w:endnote>
  <w:endnote w:id="152">
    <w:p w14:paraId="46865A7F" w14:textId="6987EB06"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Arial"/>
          <w:color w:val="222222"/>
          <w:shd w:val="clear" w:color="auto" w:fill="FFFFFF"/>
        </w:rPr>
        <w:t>Miller, Caroline L., et al. "Integrating consumer engagement in health and medical research–an Australian framework." </w:t>
      </w:r>
      <w:r w:rsidRPr="00380091">
        <w:rPr>
          <w:rFonts w:cs="Arial"/>
          <w:i/>
          <w:iCs/>
          <w:color w:val="222222"/>
          <w:shd w:val="clear" w:color="auto" w:fill="FFFFFF"/>
        </w:rPr>
        <w:t>Health research policy and systems</w:t>
      </w:r>
      <w:r w:rsidRPr="00380091">
        <w:rPr>
          <w:rFonts w:cs="Arial"/>
          <w:color w:val="222222"/>
          <w:shd w:val="clear" w:color="auto" w:fill="FFFFFF"/>
        </w:rPr>
        <w:t> 15.1 (2017): 9.</w:t>
      </w:r>
    </w:p>
  </w:endnote>
  <w:endnote w:id="153">
    <w:p w14:paraId="5D001B84" w14:textId="77288BCB"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color w:val="333333"/>
          <w:shd w:val="clear" w:color="auto" w:fill="FFFFFF"/>
        </w:rPr>
        <w:t>Commonwealth of Australia. Strategic Review of Health and Medical Research in Australia – Better Health Through Research. Canberra: Australian Government; 2013.</w:t>
      </w:r>
    </w:p>
  </w:endnote>
  <w:endnote w:id="154">
    <w:p w14:paraId="37342CB5" w14:textId="027C572A" w:rsidR="00DB5DE6" w:rsidRPr="00380091" w:rsidRDefault="00DB5DE6" w:rsidP="00720C5D">
      <w:pPr>
        <w:pStyle w:val="EndnoteText"/>
      </w:pPr>
      <w:r w:rsidRPr="00380091">
        <w:rPr>
          <w:rStyle w:val="EndnoteReference"/>
          <w:vertAlign w:val="baseline"/>
        </w:rPr>
        <w:endnoteRef/>
      </w:r>
      <w:r>
        <w:t>.</w:t>
      </w:r>
      <w:r w:rsidRPr="00380091">
        <w:t xml:space="preserve"> </w:t>
      </w:r>
      <w:hyperlink r:id="rId9" w:history="1">
        <w:r w:rsidRPr="00380091">
          <w:rPr>
            <w:color w:val="333333"/>
            <w:shd w:val="clear" w:color="auto" w:fill="FFFFFF"/>
          </w:rPr>
          <w:t>https://www.cansolveckd.ca/about/</w:t>
        </w:r>
      </w:hyperlink>
    </w:p>
  </w:endnote>
  <w:endnote w:id="155">
    <w:p w14:paraId="4A914EBC" w14:textId="64574198" w:rsidR="00DB5DE6" w:rsidRPr="00380091" w:rsidRDefault="00DB5DE6" w:rsidP="00720C5D">
      <w:pPr>
        <w:pStyle w:val="EndnoteText"/>
        <w:rPr>
          <w:lang w:val="en-US"/>
        </w:rPr>
      </w:pPr>
      <w:r w:rsidRPr="00380091">
        <w:rPr>
          <w:rStyle w:val="EndnoteReference"/>
          <w:vertAlign w:val="baseline"/>
        </w:rPr>
        <w:endnoteRef/>
      </w:r>
      <w:r>
        <w:t>.</w:t>
      </w:r>
      <w:r w:rsidRPr="00380091">
        <w:t xml:space="preserve"> </w:t>
      </w:r>
      <w:r w:rsidRPr="00380091">
        <w:rPr>
          <w:rFonts w:cs="Arial"/>
          <w:color w:val="222222"/>
          <w:shd w:val="clear" w:color="auto" w:fill="FFFFFF"/>
        </w:rPr>
        <w:t>Kidney Health Australia. 2014. Exploring research priorities in chronic kidney disease. Summary Report. Available at: https://kidney.org.au/cms_uploads/docs/ckd-priorities-workshop-summary-report-14-04-14.pdf</w:t>
      </w:r>
    </w:p>
  </w:endnote>
  <w:endnote w:id="156">
    <w:p w14:paraId="3931BFC6" w14:textId="2025C730" w:rsidR="00DB5DE6" w:rsidRPr="00380091" w:rsidRDefault="00DB5DE6" w:rsidP="00720C5D">
      <w:pPr>
        <w:pStyle w:val="EndnoteText"/>
      </w:pPr>
      <w:r w:rsidRPr="00380091">
        <w:rPr>
          <w:rStyle w:val="EndnoteReference"/>
          <w:vertAlign w:val="baseline"/>
        </w:rPr>
        <w:endnoteRef/>
      </w:r>
      <w:r>
        <w:t>.</w:t>
      </w:r>
      <w:r w:rsidRPr="00380091">
        <w:t xml:space="preserve"> </w:t>
      </w:r>
      <w:r w:rsidRPr="00380091">
        <w:rPr>
          <w:rFonts w:cs="Arial"/>
          <w:color w:val="222222"/>
          <w:shd w:val="clear" w:color="auto" w:fill="FFFFFF"/>
        </w:rPr>
        <w:t>Gutman, Talia, et al. "Principles and strategies for involving patients in research in chronic kidney disease: report from national workshops." Nephrology Dialysis Transplantation(2019).</w:t>
      </w:r>
    </w:p>
  </w:endnote>
  <w:endnote w:id="157">
    <w:p w14:paraId="03602120" w14:textId="6B9DCF47" w:rsidR="00DB5DE6" w:rsidRPr="00380091" w:rsidRDefault="00DB5DE6" w:rsidP="00720C5D">
      <w:pPr>
        <w:pStyle w:val="EndnoteText"/>
        <w:rPr>
          <w:lang w:val="en-US"/>
        </w:rPr>
      </w:pPr>
      <w:r w:rsidRPr="00380091">
        <w:rPr>
          <w:rStyle w:val="EndnoteReference"/>
          <w:vertAlign w:val="baseline"/>
        </w:rPr>
        <w:endnoteRef/>
      </w:r>
      <w:r>
        <w:t>.</w:t>
      </w:r>
      <w:r w:rsidRPr="00380091">
        <w:t xml:space="preserve"> </w:t>
      </w:r>
      <w:r w:rsidRPr="00380091">
        <w:rPr>
          <w:rFonts w:cs="Calibri"/>
          <w:lang w:val="en-US"/>
        </w:rPr>
        <w:t>L</w:t>
      </w:r>
      <w:r w:rsidRPr="00380091">
        <w:t xml:space="preserve">iu, Frank Xiaoqing, et al. "A global overview of renal registries: a systematic review." BMC nephrology 16.1 (2015): 31).  </w:t>
      </w:r>
    </w:p>
  </w:endnote>
  <w:endnote w:id="158">
    <w:p w14:paraId="7EC5B7A0" w14:textId="173872EE" w:rsidR="00DB5DE6" w:rsidRPr="00380091" w:rsidRDefault="00DB5DE6" w:rsidP="00720C5D">
      <w:pPr>
        <w:pStyle w:val="EndnoteText"/>
        <w:rPr>
          <w:lang w:val="en-US"/>
        </w:rPr>
      </w:pPr>
      <w:r w:rsidRPr="00380091">
        <w:rPr>
          <w:rStyle w:val="EndnoteReference"/>
          <w:vertAlign w:val="baseline"/>
        </w:rPr>
        <w:endnoteRef/>
      </w:r>
      <w:r>
        <w:t>.</w:t>
      </w:r>
      <w:r w:rsidRPr="00380091">
        <w:t xml:space="preserve"> </w:t>
      </w:r>
      <w:r w:rsidRPr="00380091">
        <w:rPr>
          <w:rFonts w:cs="Arial"/>
          <w:color w:val="222222"/>
          <w:shd w:val="clear" w:color="auto" w:fill="FFFFFF"/>
        </w:rPr>
        <w:t>ANZDATA Registry. The 41st Annual ANZDATA Report. Australia and New Zealand Dialysis and Transplant Registry, Adelaide, Australia. Retrieved from: http://www.anzdata.org.au/v1/report_2018.html</w:t>
      </w:r>
    </w:p>
  </w:endnote>
  <w:endnote w:id="159">
    <w:p w14:paraId="45E1716E" w14:textId="1621514B" w:rsidR="00DB5DE6" w:rsidRPr="00380091" w:rsidRDefault="00DB5DE6" w:rsidP="00720C5D">
      <w:pPr>
        <w:widowControl w:val="0"/>
        <w:autoSpaceDE w:val="0"/>
        <w:autoSpaceDN w:val="0"/>
        <w:adjustRightInd w:val="0"/>
        <w:rPr>
          <w:rFonts w:cs="Calibri"/>
          <w:szCs w:val="20"/>
          <w:lang w:val="en-US"/>
        </w:rPr>
      </w:pPr>
      <w:r w:rsidRPr="00380091">
        <w:rPr>
          <w:rStyle w:val="EndnoteReference"/>
          <w:szCs w:val="20"/>
          <w:vertAlign w:val="baseline"/>
        </w:rPr>
        <w:endnoteRef/>
      </w:r>
      <w:r>
        <w:rPr>
          <w:szCs w:val="20"/>
        </w:rPr>
        <w:t>.</w:t>
      </w:r>
      <w:r w:rsidRPr="00380091">
        <w:rPr>
          <w:szCs w:val="20"/>
        </w:rPr>
        <w:t xml:space="preserve"> Wyld, M. L., et al. "Pregnancy outcomes for kidney transplant recipients." American Journal of Transplantation 13.12 (2013): 3173-3182.</w:t>
      </w:r>
    </w:p>
  </w:endnote>
  <w:endnote w:id="160">
    <w:p w14:paraId="6A67C098" w14:textId="130085FF" w:rsidR="00DB5DE6" w:rsidRPr="00380091" w:rsidRDefault="00DB5DE6" w:rsidP="00720C5D">
      <w:pPr>
        <w:rPr>
          <w:szCs w:val="20"/>
          <w:lang w:val="en-US"/>
        </w:rPr>
      </w:pPr>
      <w:r w:rsidRPr="00380091">
        <w:rPr>
          <w:rStyle w:val="EndnoteReference"/>
          <w:szCs w:val="20"/>
          <w:vertAlign w:val="baseline"/>
        </w:rPr>
        <w:endnoteRef/>
      </w:r>
      <w:r>
        <w:rPr>
          <w:szCs w:val="20"/>
        </w:rPr>
        <w:t>.</w:t>
      </w:r>
      <w:r w:rsidRPr="00380091">
        <w:rPr>
          <w:szCs w:val="20"/>
        </w:rPr>
        <w:t xml:space="preserve"> McDonald, Stephen P., and Jonathan C. Craig. "Long-term survival of children with end-stage renal disease." New England Journal of Medicine 350.26 (2004): 2654-2662.</w:t>
      </w:r>
    </w:p>
  </w:endnote>
  <w:endnote w:id="161">
    <w:p w14:paraId="717C9350" w14:textId="3C729665" w:rsidR="00DB5DE6" w:rsidRPr="00380091" w:rsidRDefault="00DB5DE6" w:rsidP="00720C5D">
      <w:pPr>
        <w:widowControl w:val="0"/>
        <w:autoSpaceDE w:val="0"/>
        <w:autoSpaceDN w:val="0"/>
        <w:adjustRightInd w:val="0"/>
        <w:rPr>
          <w:rFonts w:cs="Calibri"/>
          <w:szCs w:val="20"/>
          <w:lang w:val="en-US"/>
        </w:rPr>
      </w:pPr>
      <w:r w:rsidRPr="00380091">
        <w:rPr>
          <w:rStyle w:val="EndnoteReference"/>
          <w:szCs w:val="20"/>
          <w:vertAlign w:val="baseline"/>
        </w:rPr>
        <w:endnoteRef/>
      </w:r>
      <w:r>
        <w:rPr>
          <w:szCs w:val="20"/>
        </w:rPr>
        <w:t>.</w:t>
      </w:r>
      <w:r w:rsidRPr="00380091">
        <w:rPr>
          <w:szCs w:val="20"/>
        </w:rPr>
        <w:t xml:space="preserve"> Briganti, Esther M., et al. "Risk of renal allograft loss from recurrent glomerulonephritis." New England Journal of Medicine 347.2 (2002): 103-109.</w:t>
      </w:r>
    </w:p>
  </w:endnote>
  <w:endnote w:id="162">
    <w:p w14:paraId="6A00CB96" w14:textId="09DE9E7B" w:rsidR="00DB5DE6" w:rsidRPr="00380091" w:rsidRDefault="00DB5DE6" w:rsidP="00720C5D">
      <w:pPr>
        <w:widowControl w:val="0"/>
        <w:autoSpaceDE w:val="0"/>
        <w:autoSpaceDN w:val="0"/>
        <w:adjustRightInd w:val="0"/>
        <w:rPr>
          <w:rFonts w:cs="Calibri"/>
          <w:szCs w:val="20"/>
          <w:lang w:val="en-US"/>
        </w:rPr>
      </w:pPr>
      <w:r w:rsidRPr="00380091">
        <w:rPr>
          <w:rStyle w:val="EndnoteReference"/>
          <w:szCs w:val="20"/>
          <w:vertAlign w:val="baseline"/>
        </w:rPr>
        <w:endnoteRef/>
      </w:r>
      <w:r>
        <w:rPr>
          <w:szCs w:val="20"/>
        </w:rPr>
        <w:t>.</w:t>
      </w:r>
      <w:r w:rsidRPr="00380091">
        <w:rPr>
          <w:szCs w:val="20"/>
        </w:rPr>
        <w:t xml:space="preserve"> Au, Eric H., et al. "Overall and Site-Specific Cancer Mortality in Patients on Dialysis and after Kidney Transplant." Journal of the American Society of Nephrology 30.3 (2019): 471-480.</w:t>
      </w:r>
    </w:p>
  </w:endnote>
  <w:endnote w:id="163">
    <w:p w14:paraId="11FBE427" w14:textId="63C14E1D" w:rsidR="00DB5DE6" w:rsidRPr="00380091" w:rsidRDefault="00DB5DE6" w:rsidP="00720C5D">
      <w:pPr>
        <w:pStyle w:val="EndnoteText"/>
        <w:rPr>
          <w:lang w:val="en-US"/>
        </w:rPr>
      </w:pPr>
      <w:r w:rsidRPr="00380091">
        <w:rPr>
          <w:rStyle w:val="EndnoteReference"/>
          <w:vertAlign w:val="baseline"/>
        </w:rPr>
        <w:endnoteRef/>
      </w:r>
      <w:r>
        <w:t>.</w:t>
      </w:r>
      <w:r w:rsidRPr="00380091">
        <w:t xml:space="preserve"> Khanal, Namrata, et al. "Disparity of access to kidney transplantation by Indigenous and non‐Indigenous Australians." Medical Journal of Australia 209.6 (2018): 261-266.</w:t>
      </w:r>
    </w:p>
  </w:endnote>
  <w:endnote w:id="164">
    <w:p w14:paraId="6A9C6BB4" w14:textId="137DFF8C" w:rsidR="00DB5DE6" w:rsidRPr="00380091" w:rsidRDefault="00DB5DE6" w:rsidP="00720C5D">
      <w:pPr>
        <w:pStyle w:val="EndnoteText"/>
      </w:pPr>
      <w:r w:rsidRPr="00380091">
        <w:rPr>
          <w:rStyle w:val="EndnoteReference"/>
          <w:vertAlign w:val="baseline"/>
        </w:rPr>
        <w:endnoteRef/>
      </w:r>
      <w:r>
        <w:t>.</w:t>
      </w:r>
      <w:r w:rsidRPr="00380091">
        <w:t xml:space="preserve"> TSANZ report reference</w:t>
      </w:r>
    </w:p>
  </w:endnote>
  <w:endnote w:id="165">
    <w:p w14:paraId="1FF8048C" w14:textId="01D996E2" w:rsidR="00DB5DE6" w:rsidRPr="00380091" w:rsidRDefault="00DB5DE6" w:rsidP="00720C5D">
      <w:pPr>
        <w:pStyle w:val="EndnoteText"/>
      </w:pPr>
      <w:r w:rsidRPr="00380091">
        <w:rPr>
          <w:rStyle w:val="EndnoteReference"/>
          <w:vertAlign w:val="baseline"/>
        </w:rPr>
        <w:endnoteRef/>
      </w:r>
      <w:r>
        <w:t>.</w:t>
      </w:r>
      <w:r w:rsidRPr="00380091">
        <w:t xml:space="preserve"> Venuthurupalli, Sree K., et al. "CKD screening and surveillance in Australia: past, present, and future." Kidney international reports 3.1 (2018): 36-46.</w:t>
      </w:r>
    </w:p>
  </w:endnote>
  <w:endnote w:id="166">
    <w:p w14:paraId="2DBFE49E" w14:textId="758EC99E" w:rsidR="00DB5DE6" w:rsidRPr="00380091" w:rsidRDefault="00DB5DE6" w:rsidP="00720C5D">
      <w:pPr>
        <w:rPr>
          <w:rFonts w:cstheme="minorHAnsi"/>
          <w:bCs/>
          <w:szCs w:val="20"/>
          <w:lang w:val="en-US"/>
        </w:rPr>
      </w:pPr>
      <w:r w:rsidRPr="00380091">
        <w:rPr>
          <w:rStyle w:val="EndnoteReference"/>
          <w:szCs w:val="20"/>
          <w:vertAlign w:val="baseline"/>
        </w:rPr>
        <w:endnoteRef/>
      </w:r>
      <w:r>
        <w:rPr>
          <w:szCs w:val="20"/>
        </w:rPr>
        <w:t>.</w:t>
      </w:r>
      <w:r w:rsidRPr="00380091">
        <w:rPr>
          <w:szCs w:val="20"/>
        </w:rPr>
        <w:t xml:space="preserve"> CKD.QLG registry. Available at </w:t>
      </w:r>
      <w:hyperlink r:id="rId10" w:history="1">
        <w:r w:rsidRPr="00380091">
          <w:rPr>
            <w:szCs w:val="20"/>
          </w:rPr>
          <w:t>https://cre-ckd.centre.uq.edu.au/CKD.QLD</w:t>
        </w:r>
      </w:hyperlink>
    </w:p>
  </w:endnote>
  <w:endnote w:id="167">
    <w:p w14:paraId="7905B302" w14:textId="075F7EC4" w:rsidR="00DB5DE6" w:rsidRPr="00380091" w:rsidRDefault="00DB5DE6" w:rsidP="00720C5D">
      <w:pPr>
        <w:pStyle w:val="EndnoteText"/>
        <w:rPr>
          <w:lang w:val="en-US"/>
        </w:rPr>
      </w:pPr>
      <w:r w:rsidRPr="00380091">
        <w:rPr>
          <w:rStyle w:val="EndnoteReference"/>
          <w:vertAlign w:val="baseline"/>
        </w:rPr>
        <w:endnoteRef/>
      </w:r>
      <w:r>
        <w:t>.</w:t>
      </w:r>
      <w:r w:rsidRPr="00380091">
        <w:t xml:space="preserve"> Venuthurupalli, Sree K., et al. "CKD screening and surveillance in Australia: past, present, and future." Kidney international reports 3.1 (2018): 36-46.</w:t>
      </w:r>
    </w:p>
  </w:endnote>
  <w:endnote w:id="168">
    <w:p w14:paraId="3F8330FE" w14:textId="25D42D0C" w:rsidR="00DB5DE6" w:rsidRPr="00380091" w:rsidRDefault="00DB5DE6" w:rsidP="00720C5D">
      <w:pPr>
        <w:pStyle w:val="EndnoteText"/>
      </w:pPr>
      <w:r w:rsidRPr="00380091">
        <w:rPr>
          <w:rStyle w:val="EndnoteReference"/>
          <w:vertAlign w:val="baseline"/>
        </w:rPr>
        <w:endnoteRef/>
      </w:r>
      <w:r w:rsidRPr="00380091">
        <w:t xml:space="preserve"> Australian Bureaus of Statistics. Australian health survey. Available </w:t>
      </w:r>
      <w:r>
        <w:t xml:space="preserve"> </w:t>
      </w:r>
      <w:r w:rsidRPr="00380091">
        <w:t>at: </w:t>
      </w:r>
      <w:hyperlink r:id="rId11" w:tgtFrame="_blank" w:history="1">
        <w:r w:rsidRPr="00380091">
          <w:t>http://www.abs.gov.au/australianhealthsurvey</w:t>
        </w:r>
      </w:hyperlink>
      <w:r w:rsidRPr="00380091">
        <w:t>.</w:t>
      </w:r>
      <w:r w:rsidRPr="00380091">
        <w:rPr>
          <w:rFonts w:cs="Arial"/>
          <w:color w:val="505050"/>
          <w:shd w:val="clear" w:color="auto" w:fill="FFFFFF"/>
        </w:rPr>
        <w:t xml:space="preserve"> </w:t>
      </w:r>
    </w:p>
  </w:endnote>
  <w:endnote w:id="169">
    <w:p w14:paraId="1C16FF7F" w14:textId="57D0FBFA" w:rsidR="00DB5DE6" w:rsidRPr="00380091" w:rsidRDefault="00DB5DE6" w:rsidP="00720C5D">
      <w:pPr>
        <w:pStyle w:val="EndnoteText"/>
      </w:pPr>
      <w:r w:rsidRPr="00380091">
        <w:rPr>
          <w:rStyle w:val="EndnoteReference"/>
          <w:vertAlign w:val="baseline"/>
        </w:rPr>
        <w:endnoteRef/>
      </w:r>
      <w:r>
        <w:t xml:space="preserve">. </w:t>
      </w:r>
      <w:r w:rsidRPr="00380091">
        <w:t>Cochrane Australia. Australia’s next generation evidence ecosystem. Maximising the value of research for better health.  Federal Budget Submission 2018-2019. Retrieved from: https://australia.cochrane.org/sites/australia.cochrane.org/files/public/uploads/LivingEvidence/cochrane_australia_federal_budget_submission_2018-19_1.pdf</w:t>
      </w:r>
    </w:p>
    <w:p w14:paraId="2E4F00F6" w14:textId="77777777" w:rsidR="00DB5DE6" w:rsidRPr="00380091" w:rsidRDefault="00DB5DE6" w:rsidP="00720C5D">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Italic">
    <w:panose1 w:val="00000000000000000000"/>
    <w:charset w:val="00"/>
    <w:family w:val="swiss"/>
    <w:notTrueType/>
    <w:pitch w:val="default"/>
    <w:sig w:usb0="00000003" w:usb1="00000000" w:usb2="00000000" w:usb3="00000000" w:csb0="00000001" w:csb1="00000000"/>
  </w:font>
  <w:font w:name="AdelleSans">
    <w:altName w:val="Cambria"/>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Optima">
    <w:altName w:val="Calibri"/>
    <w:charset w:val="00"/>
    <w:family w:val="auto"/>
    <w:pitch w:val="variable"/>
    <w:sig w:usb0="00000003" w:usb1="00000000" w:usb2="00000000" w:usb3="00000000" w:csb0="00000001" w:csb1="00000000"/>
  </w:font>
  <w:font w:name="MyriadPro-Regular">
    <w:altName w:val="Cambria"/>
    <w:panose1 w:val="00000000000000000000"/>
    <w:charset w:val="00"/>
    <w:family w:val="swiss"/>
    <w:notTrueType/>
    <w:pitch w:val="default"/>
    <w:sig w:usb0="00000003" w:usb1="00000000" w:usb2="00000000" w:usb3="00000000" w:csb0="00000001" w:csb1="00000000"/>
  </w:font>
  <w:font w:name="AdvOT8eb9eec2.B">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dvOT7bedbc7e">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242B" w14:textId="77777777" w:rsidR="00DB5DE6" w:rsidRDefault="00DB5DE6" w:rsidP="00342D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B6BB0" w14:textId="77777777" w:rsidR="00DB5DE6" w:rsidRDefault="00DB5DE6" w:rsidP="00342D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484E" w14:textId="77777777" w:rsidR="00DB5DE6" w:rsidRPr="00FD0BD0" w:rsidRDefault="00DB5DE6" w:rsidP="00342DBC">
    <w:pPr>
      <w:pStyle w:val="Footer"/>
      <w:framePr w:wrap="around" w:vAnchor="text" w:hAnchor="margin" w:xAlign="right" w:y="1"/>
      <w:rPr>
        <w:rStyle w:val="PageNumber"/>
        <w:sz w:val="16"/>
        <w:szCs w:val="16"/>
      </w:rPr>
    </w:pPr>
    <w:r w:rsidRPr="00FD0BD0">
      <w:rPr>
        <w:rStyle w:val="PageNumber"/>
        <w:sz w:val="16"/>
        <w:szCs w:val="16"/>
      </w:rPr>
      <w:fldChar w:fldCharType="begin"/>
    </w:r>
    <w:r w:rsidRPr="00FD0BD0">
      <w:rPr>
        <w:rStyle w:val="PageNumber"/>
        <w:sz w:val="16"/>
        <w:szCs w:val="16"/>
      </w:rPr>
      <w:instrText xml:space="preserve">PAGE  </w:instrText>
    </w:r>
    <w:r w:rsidRPr="00FD0BD0">
      <w:rPr>
        <w:rStyle w:val="PageNumber"/>
        <w:sz w:val="16"/>
        <w:szCs w:val="16"/>
      </w:rPr>
      <w:fldChar w:fldCharType="separate"/>
    </w:r>
    <w:r>
      <w:rPr>
        <w:rStyle w:val="PageNumber"/>
        <w:noProof/>
        <w:sz w:val="16"/>
        <w:szCs w:val="16"/>
      </w:rPr>
      <w:t>2</w:t>
    </w:r>
    <w:r w:rsidRPr="00FD0BD0">
      <w:rPr>
        <w:rStyle w:val="PageNumber"/>
        <w:sz w:val="16"/>
        <w:szCs w:val="16"/>
      </w:rPr>
      <w:fldChar w:fldCharType="end"/>
    </w:r>
  </w:p>
  <w:p w14:paraId="4E7F95F6" w14:textId="2F51E8D0" w:rsidR="00DB5DE6" w:rsidRPr="00FD0BD0" w:rsidRDefault="00DB5DE6" w:rsidP="00FD0BD0">
    <w:pPr>
      <w:pStyle w:val="Footer"/>
      <w:ind w:right="360"/>
      <w:jc w:val="right"/>
      <w:rPr>
        <w:sz w:val="16"/>
        <w:szCs w:val="16"/>
      </w:rPr>
    </w:pPr>
    <w:r w:rsidRPr="00FD0BD0">
      <w:rPr>
        <w:sz w:val="16"/>
        <w:szCs w:val="16"/>
      </w:rPr>
      <w:t>Evidence Document: A compendium to the National Strategic Action Plan for Kidney Disease</w:t>
    </w:r>
    <w:r>
      <w:rPr>
        <w:sz w:val="16"/>
        <w:szCs w:val="16"/>
      </w:rPr>
      <w:t xml:space="preserve"> </w:t>
    </w:r>
    <w:r w:rsidRPr="00FD0B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44331" w14:textId="77777777" w:rsidR="00DB5DE6" w:rsidRDefault="00DB5DE6" w:rsidP="00FB0D33">
      <w:r>
        <w:separator/>
      </w:r>
    </w:p>
  </w:footnote>
  <w:footnote w:type="continuationSeparator" w:id="0">
    <w:p w14:paraId="64BE54F3" w14:textId="77777777" w:rsidR="00DB5DE6" w:rsidRDefault="00DB5DE6" w:rsidP="00FB0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769A1A"/>
    <w:lvl w:ilvl="0">
      <w:start w:val="1"/>
      <w:numFmt w:val="bullet"/>
      <w:pStyle w:val="ListBullet"/>
      <w:lvlText w:val=""/>
      <w:lvlJc w:val="left"/>
      <w:pPr>
        <w:tabs>
          <w:tab w:val="num" w:pos="360"/>
        </w:tabs>
        <w:ind w:left="360" w:hanging="360"/>
      </w:pPr>
      <w:rPr>
        <w:rFonts w:ascii="Symbol" w:hAnsi="Symbol" w:hint="default"/>
        <w:vertAlign w:val="baseline"/>
      </w:rPr>
    </w:lvl>
  </w:abstractNum>
  <w:abstractNum w:abstractNumId="1" w15:restartNumberingAfterBreak="0">
    <w:nsid w:val="00000001"/>
    <w:multiLevelType w:val="hybridMultilevel"/>
    <w:tmpl w:val="E6E2F16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23B1"/>
    <w:multiLevelType w:val="hybridMultilevel"/>
    <w:tmpl w:val="6FBACD00"/>
    <w:lvl w:ilvl="0" w:tplc="3050E450">
      <w:start w:val="1"/>
      <w:numFmt w:val="decimal"/>
      <w:lvlText w:val="%1."/>
      <w:lvlJc w:val="left"/>
      <w:pPr>
        <w:ind w:left="397" w:hanging="397"/>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524C3"/>
    <w:multiLevelType w:val="hybridMultilevel"/>
    <w:tmpl w:val="057851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08562A"/>
    <w:multiLevelType w:val="hybridMultilevel"/>
    <w:tmpl w:val="A6241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6D76B5"/>
    <w:multiLevelType w:val="hybridMultilevel"/>
    <w:tmpl w:val="B9C66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D74415"/>
    <w:multiLevelType w:val="hybridMultilevel"/>
    <w:tmpl w:val="704CA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D22E37"/>
    <w:multiLevelType w:val="hybridMultilevel"/>
    <w:tmpl w:val="857ED14E"/>
    <w:lvl w:ilvl="0" w:tplc="DDD84D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B6529"/>
    <w:multiLevelType w:val="hybridMultilevel"/>
    <w:tmpl w:val="3684BA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603AA5"/>
    <w:multiLevelType w:val="hybridMultilevel"/>
    <w:tmpl w:val="F99EB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CD17DC"/>
    <w:multiLevelType w:val="hybridMultilevel"/>
    <w:tmpl w:val="1A383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B25E37"/>
    <w:multiLevelType w:val="hybridMultilevel"/>
    <w:tmpl w:val="3F7C02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1D94548"/>
    <w:multiLevelType w:val="hybridMultilevel"/>
    <w:tmpl w:val="4808C2B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814462"/>
    <w:multiLevelType w:val="hybridMultilevel"/>
    <w:tmpl w:val="53A0B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0631CB"/>
    <w:multiLevelType w:val="hybridMultilevel"/>
    <w:tmpl w:val="C9B48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243BB3"/>
    <w:multiLevelType w:val="hybridMultilevel"/>
    <w:tmpl w:val="24E020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9C2A41"/>
    <w:multiLevelType w:val="hybridMultilevel"/>
    <w:tmpl w:val="53C40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5660BC"/>
    <w:multiLevelType w:val="hybridMultilevel"/>
    <w:tmpl w:val="8FFC3D46"/>
    <w:lvl w:ilvl="0" w:tplc="2ACEA6D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F41BB9"/>
    <w:multiLevelType w:val="hybridMultilevel"/>
    <w:tmpl w:val="70643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852BDB"/>
    <w:multiLevelType w:val="hybridMultilevel"/>
    <w:tmpl w:val="79DA0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7277559"/>
    <w:multiLevelType w:val="hybridMultilevel"/>
    <w:tmpl w:val="625CE1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CA0"/>
    <w:multiLevelType w:val="hybridMultilevel"/>
    <w:tmpl w:val="8E9A1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97041F"/>
    <w:multiLevelType w:val="hybridMultilevel"/>
    <w:tmpl w:val="79C61762"/>
    <w:lvl w:ilvl="0" w:tplc="2ACEA6DA">
      <w:start w:val="2"/>
      <w:numFmt w:val="bullet"/>
      <w:lvlText w:val="-"/>
      <w:lvlJc w:val="left"/>
      <w:pPr>
        <w:ind w:left="720" w:hanging="360"/>
      </w:pPr>
      <w:rPr>
        <w:rFonts w:ascii="Calibri" w:eastAsiaTheme="minorHAnsi" w:hAnsi="Calibri"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3E6C4B"/>
    <w:multiLevelType w:val="hybridMultilevel"/>
    <w:tmpl w:val="71B83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BA7679"/>
    <w:multiLevelType w:val="hybridMultilevel"/>
    <w:tmpl w:val="95DE12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7076669"/>
    <w:multiLevelType w:val="hybridMultilevel"/>
    <w:tmpl w:val="186C70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8C5164"/>
    <w:multiLevelType w:val="hybridMultilevel"/>
    <w:tmpl w:val="53EE5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C50C2A"/>
    <w:multiLevelType w:val="hybridMultilevel"/>
    <w:tmpl w:val="AF447186"/>
    <w:lvl w:ilvl="0" w:tplc="2ACEA6D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C3504"/>
    <w:multiLevelType w:val="hybridMultilevel"/>
    <w:tmpl w:val="15803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532681"/>
    <w:multiLevelType w:val="hybridMultilevel"/>
    <w:tmpl w:val="C0E0CC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135AA6"/>
    <w:multiLevelType w:val="hybridMultilevel"/>
    <w:tmpl w:val="D7E8776C"/>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76F75"/>
    <w:multiLevelType w:val="hybridMultilevel"/>
    <w:tmpl w:val="3014C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20"/>
  </w:num>
  <w:num w:numId="4">
    <w:abstractNumId w:val="14"/>
  </w:num>
  <w:num w:numId="5">
    <w:abstractNumId w:val="9"/>
  </w:num>
  <w:num w:numId="6">
    <w:abstractNumId w:val="24"/>
  </w:num>
  <w:num w:numId="7">
    <w:abstractNumId w:val="19"/>
  </w:num>
  <w:num w:numId="8">
    <w:abstractNumId w:val="10"/>
  </w:num>
  <w:num w:numId="9">
    <w:abstractNumId w:val="3"/>
  </w:num>
  <w:num w:numId="10">
    <w:abstractNumId w:val="31"/>
  </w:num>
  <w:num w:numId="11">
    <w:abstractNumId w:val="8"/>
  </w:num>
  <w:num w:numId="12">
    <w:abstractNumId w:val="18"/>
  </w:num>
  <w:num w:numId="13">
    <w:abstractNumId w:val="21"/>
  </w:num>
  <w:num w:numId="14">
    <w:abstractNumId w:val="6"/>
  </w:num>
  <w:num w:numId="15">
    <w:abstractNumId w:val="5"/>
  </w:num>
  <w:num w:numId="16">
    <w:abstractNumId w:val="13"/>
  </w:num>
  <w:num w:numId="17">
    <w:abstractNumId w:val="4"/>
  </w:num>
  <w:num w:numId="18">
    <w:abstractNumId w:val="11"/>
  </w:num>
  <w:num w:numId="19">
    <w:abstractNumId w:val="25"/>
  </w:num>
  <w:num w:numId="20">
    <w:abstractNumId w:val="30"/>
  </w:num>
  <w:num w:numId="21">
    <w:abstractNumId w:val="16"/>
  </w:num>
  <w:num w:numId="22">
    <w:abstractNumId w:val="23"/>
  </w:num>
  <w:num w:numId="23">
    <w:abstractNumId w:val="28"/>
  </w:num>
  <w:num w:numId="24">
    <w:abstractNumId w:val="7"/>
  </w:num>
  <w:num w:numId="25">
    <w:abstractNumId w:val="26"/>
  </w:num>
  <w:num w:numId="26">
    <w:abstractNumId w:val="29"/>
  </w:num>
  <w:num w:numId="27">
    <w:abstractNumId w:val="12"/>
  </w:num>
  <w:num w:numId="28">
    <w:abstractNumId w:val="0"/>
  </w:num>
  <w:num w:numId="29">
    <w:abstractNumId w:val="22"/>
  </w:num>
  <w:num w:numId="30">
    <w:abstractNumId w:val="27"/>
  </w:num>
  <w:num w:numId="31">
    <w:abstractNumId w:val="17"/>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97"/>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5A"/>
    <w:rsid w:val="0000762A"/>
    <w:rsid w:val="00017FF0"/>
    <w:rsid w:val="00025567"/>
    <w:rsid w:val="0004236E"/>
    <w:rsid w:val="00043144"/>
    <w:rsid w:val="000433AB"/>
    <w:rsid w:val="00046E56"/>
    <w:rsid w:val="00057DA7"/>
    <w:rsid w:val="00063292"/>
    <w:rsid w:val="000639C3"/>
    <w:rsid w:val="0006752D"/>
    <w:rsid w:val="0007124E"/>
    <w:rsid w:val="0007535A"/>
    <w:rsid w:val="000778C7"/>
    <w:rsid w:val="00077D97"/>
    <w:rsid w:val="0009249D"/>
    <w:rsid w:val="000945FB"/>
    <w:rsid w:val="00095565"/>
    <w:rsid w:val="0009606B"/>
    <w:rsid w:val="00097AB0"/>
    <w:rsid w:val="000A0633"/>
    <w:rsid w:val="000A1278"/>
    <w:rsid w:val="000A353A"/>
    <w:rsid w:val="000A6F18"/>
    <w:rsid w:val="000B5521"/>
    <w:rsid w:val="000C3D6B"/>
    <w:rsid w:val="000C6028"/>
    <w:rsid w:val="000D68B3"/>
    <w:rsid w:val="000D6FA5"/>
    <w:rsid w:val="000E6D8D"/>
    <w:rsid w:val="000F064C"/>
    <w:rsid w:val="00101E41"/>
    <w:rsid w:val="00102833"/>
    <w:rsid w:val="0010298A"/>
    <w:rsid w:val="00103943"/>
    <w:rsid w:val="00105BA9"/>
    <w:rsid w:val="001069B7"/>
    <w:rsid w:val="00111734"/>
    <w:rsid w:val="001118C8"/>
    <w:rsid w:val="00113073"/>
    <w:rsid w:val="00121D6A"/>
    <w:rsid w:val="001221CE"/>
    <w:rsid w:val="00123E29"/>
    <w:rsid w:val="001277CA"/>
    <w:rsid w:val="00131803"/>
    <w:rsid w:val="0013311F"/>
    <w:rsid w:val="0013601D"/>
    <w:rsid w:val="00136F1A"/>
    <w:rsid w:val="001412CB"/>
    <w:rsid w:val="00142C67"/>
    <w:rsid w:val="00143113"/>
    <w:rsid w:val="00143D70"/>
    <w:rsid w:val="00144A6D"/>
    <w:rsid w:val="00145652"/>
    <w:rsid w:val="00150DC8"/>
    <w:rsid w:val="00152B2D"/>
    <w:rsid w:val="0015777A"/>
    <w:rsid w:val="00161A08"/>
    <w:rsid w:val="00165F9E"/>
    <w:rsid w:val="00170855"/>
    <w:rsid w:val="00171265"/>
    <w:rsid w:val="001737A2"/>
    <w:rsid w:val="00181605"/>
    <w:rsid w:val="00182B9C"/>
    <w:rsid w:val="001845A7"/>
    <w:rsid w:val="00184B9D"/>
    <w:rsid w:val="001963E7"/>
    <w:rsid w:val="001A11B1"/>
    <w:rsid w:val="001B118D"/>
    <w:rsid w:val="001B35B1"/>
    <w:rsid w:val="001B4CF4"/>
    <w:rsid w:val="001B7325"/>
    <w:rsid w:val="001C287D"/>
    <w:rsid w:val="001C3A42"/>
    <w:rsid w:val="001D0E5A"/>
    <w:rsid w:val="001D1844"/>
    <w:rsid w:val="001D6CAC"/>
    <w:rsid w:val="001D7F09"/>
    <w:rsid w:val="001F49F4"/>
    <w:rsid w:val="001F5C8B"/>
    <w:rsid w:val="001F6A98"/>
    <w:rsid w:val="001F6CE0"/>
    <w:rsid w:val="002041EF"/>
    <w:rsid w:val="002074F3"/>
    <w:rsid w:val="00216F00"/>
    <w:rsid w:val="00220A38"/>
    <w:rsid w:val="0022176E"/>
    <w:rsid w:val="002241B9"/>
    <w:rsid w:val="002328FB"/>
    <w:rsid w:val="00235D37"/>
    <w:rsid w:val="00243814"/>
    <w:rsid w:val="00244BF0"/>
    <w:rsid w:val="00246945"/>
    <w:rsid w:val="00251B01"/>
    <w:rsid w:val="002523E0"/>
    <w:rsid w:val="00257583"/>
    <w:rsid w:val="00261FB7"/>
    <w:rsid w:val="002643E1"/>
    <w:rsid w:val="00271FF9"/>
    <w:rsid w:val="00276E6B"/>
    <w:rsid w:val="0028048F"/>
    <w:rsid w:val="00281262"/>
    <w:rsid w:val="00283E43"/>
    <w:rsid w:val="00285071"/>
    <w:rsid w:val="00290DF8"/>
    <w:rsid w:val="00296CFF"/>
    <w:rsid w:val="002A5E63"/>
    <w:rsid w:val="002A5F8B"/>
    <w:rsid w:val="002C7915"/>
    <w:rsid w:val="002C7E31"/>
    <w:rsid w:val="002D1661"/>
    <w:rsid w:val="002E0497"/>
    <w:rsid w:val="002E07BE"/>
    <w:rsid w:val="002E37B0"/>
    <w:rsid w:val="002E4DE3"/>
    <w:rsid w:val="002F34C3"/>
    <w:rsid w:val="00300262"/>
    <w:rsid w:val="00301EAE"/>
    <w:rsid w:val="00303AA8"/>
    <w:rsid w:val="003211F0"/>
    <w:rsid w:val="00324483"/>
    <w:rsid w:val="0034007C"/>
    <w:rsid w:val="00342DBC"/>
    <w:rsid w:val="00344B47"/>
    <w:rsid w:val="00353A39"/>
    <w:rsid w:val="0036108D"/>
    <w:rsid w:val="00365846"/>
    <w:rsid w:val="00377C11"/>
    <w:rsid w:val="00380091"/>
    <w:rsid w:val="003853FB"/>
    <w:rsid w:val="00391DF8"/>
    <w:rsid w:val="003A0C35"/>
    <w:rsid w:val="003D0079"/>
    <w:rsid w:val="003D19AF"/>
    <w:rsid w:val="003D3824"/>
    <w:rsid w:val="003E6C6D"/>
    <w:rsid w:val="003F15DD"/>
    <w:rsid w:val="003F3A3A"/>
    <w:rsid w:val="003F684A"/>
    <w:rsid w:val="0040510A"/>
    <w:rsid w:val="00411840"/>
    <w:rsid w:val="00412F5F"/>
    <w:rsid w:val="00413B93"/>
    <w:rsid w:val="00413E9E"/>
    <w:rsid w:val="00413F0C"/>
    <w:rsid w:val="004215BB"/>
    <w:rsid w:val="0042240F"/>
    <w:rsid w:val="00432790"/>
    <w:rsid w:val="004337FF"/>
    <w:rsid w:val="00435F73"/>
    <w:rsid w:val="004446FD"/>
    <w:rsid w:val="0045546C"/>
    <w:rsid w:val="004554A9"/>
    <w:rsid w:val="00463EAC"/>
    <w:rsid w:val="00477378"/>
    <w:rsid w:val="00482C48"/>
    <w:rsid w:val="00483198"/>
    <w:rsid w:val="00483284"/>
    <w:rsid w:val="004840E3"/>
    <w:rsid w:val="00486D6F"/>
    <w:rsid w:val="00492DFB"/>
    <w:rsid w:val="004960CB"/>
    <w:rsid w:val="00496D51"/>
    <w:rsid w:val="004B1EC6"/>
    <w:rsid w:val="004B44DD"/>
    <w:rsid w:val="004C06BF"/>
    <w:rsid w:val="004C5EA4"/>
    <w:rsid w:val="004C673A"/>
    <w:rsid w:val="004C7D79"/>
    <w:rsid w:val="004D10E7"/>
    <w:rsid w:val="004D3529"/>
    <w:rsid w:val="004E2C14"/>
    <w:rsid w:val="004E2DC9"/>
    <w:rsid w:val="004F1345"/>
    <w:rsid w:val="004F36C5"/>
    <w:rsid w:val="004F60C5"/>
    <w:rsid w:val="00512926"/>
    <w:rsid w:val="00512AE5"/>
    <w:rsid w:val="0051518B"/>
    <w:rsid w:val="00515E95"/>
    <w:rsid w:val="00523C9B"/>
    <w:rsid w:val="005445C3"/>
    <w:rsid w:val="00557114"/>
    <w:rsid w:val="0056163D"/>
    <w:rsid w:val="0056560C"/>
    <w:rsid w:val="00566172"/>
    <w:rsid w:val="00581B01"/>
    <w:rsid w:val="00582AAF"/>
    <w:rsid w:val="00583F1F"/>
    <w:rsid w:val="00593A6F"/>
    <w:rsid w:val="005A4522"/>
    <w:rsid w:val="005B50A8"/>
    <w:rsid w:val="005B6A70"/>
    <w:rsid w:val="005B7DBA"/>
    <w:rsid w:val="005C157E"/>
    <w:rsid w:val="005D020A"/>
    <w:rsid w:val="005D2783"/>
    <w:rsid w:val="005E6FA1"/>
    <w:rsid w:val="005F370C"/>
    <w:rsid w:val="005F5BD3"/>
    <w:rsid w:val="005F5FA5"/>
    <w:rsid w:val="005F7115"/>
    <w:rsid w:val="006044E4"/>
    <w:rsid w:val="0060748F"/>
    <w:rsid w:val="00624B78"/>
    <w:rsid w:val="00626085"/>
    <w:rsid w:val="00631201"/>
    <w:rsid w:val="00633166"/>
    <w:rsid w:val="0063580E"/>
    <w:rsid w:val="00641405"/>
    <w:rsid w:val="006433D6"/>
    <w:rsid w:val="00645464"/>
    <w:rsid w:val="00646CB4"/>
    <w:rsid w:val="00654DF3"/>
    <w:rsid w:val="0066347E"/>
    <w:rsid w:val="00676C04"/>
    <w:rsid w:val="006868BD"/>
    <w:rsid w:val="006B1D9F"/>
    <w:rsid w:val="006B2905"/>
    <w:rsid w:val="006D1199"/>
    <w:rsid w:val="006D15A4"/>
    <w:rsid w:val="006D4B80"/>
    <w:rsid w:val="006E03C1"/>
    <w:rsid w:val="00703FB5"/>
    <w:rsid w:val="00711E80"/>
    <w:rsid w:val="007177A6"/>
    <w:rsid w:val="00717FD8"/>
    <w:rsid w:val="0072052D"/>
    <w:rsid w:val="00720C5D"/>
    <w:rsid w:val="00722F0B"/>
    <w:rsid w:val="00725B8E"/>
    <w:rsid w:val="00725BBB"/>
    <w:rsid w:val="007301AE"/>
    <w:rsid w:val="007342DA"/>
    <w:rsid w:val="00735AF3"/>
    <w:rsid w:val="00736732"/>
    <w:rsid w:val="00740181"/>
    <w:rsid w:val="0074312C"/>
    <w:rsid w:val="00743873"/>
    <w:rsid w:val="007453EB"/>
    <w:rsid w:val="007515B1"/>
    <w:rsid w:val="00753F5E"/>
    <w:rsid w:val="0075461C"/>
    <w:rsid w:val="0076225F"/>
    <w:rsid w:val="00762720"/>
    <w:rsid w:val="00770180"/>
    <w:rsid w:val="00773F51"/>
    <w:rsid w:val="007746C3"/>
    <w:rsid w:val="00781C79"/>
    <w:rsid w:val="007823C4"/>
    <w:rsid w:val="00784CCE"/>
    <w:rsid w:val="00792A6D"/>
    <w:rsid w:val="007A4CFE"/>
    <w:rsid w:val="007A563F"/>
    <w:rsid w:val="007A690E"/>
    <w:rsid w:val="007B0D52"/>
    <w:rsid w:val="007B5558"/>
    <w:rsid w:val="007B6D89"/>
    <w:rsid w:val="007C1818"/>
    <w:rsid w:val="007D4E67"/>
    <w:rsid w:val="007E25FA"/>
    <w:rsid w:val="007E7B94"/>
    <w:rsid w:val="007F6FE4"/>
    <w:rsid w:val="00815FF6"/>
    <w:rsid w:val="0082027F"/>
    <w:rsid w:val="008215E6"/>
    <w:rsid w:val="00822252"/>
    <w:rsid w:val="0082439B"/>
    <w:rsid w:val="008252AE"/>
    <w:rsid w:val="00834BD6"/>
    <w:rsid w:val="00834CA9"/>
    <w:rsid w:val="00836E10"/>
    <w:rsid w:val="008372B5"/>
    <w:rsid w:val="00841536"/>
    <w:rsid w:val="00842C2A"/>
    <w:rsid w:val="00847ABE"/>
    <w:rsid w:val="00871910"/>
    <w:rsid w:val="00872752"/>
    <w:rsid w:val="00880BE1"/>
    <w:rsid w:val="00882453"/>
    <w:rsid w:val="00882B26"/>
    <w:rsid w:val="00894F66"/>
    <w:rsid w:val="008A1F7B"/>
    <w:rsid w:val="008B06D3"/>
    <w:rsid w:val="008B2A6D"/>
    <w:rsid w:val="008B4AFD"/>
    <w:rsid w:val="008C3FEF"/>
    <w:rsid w:val="008D54B4"/>
    <w:rsid w:val="008D7A97"/>
    <w:rsid w:val="008E648F"/>
    <w:rsid w:val="008F02CB"/>
    <w:rsid w:val="008F7D98"/>
    <w:rsid w:val="0090366C"/>
    <w:rsid w:val="00905EC9"/>
    <w:rsid w:val="00907AA0"/>
    <w:rsid w:val="0092665A"/>
    <w:rsid w:val="00941A78"/>
    <w:rsid w:val="0094286B"/>
    <w:rsid w:val="009478F0"/>
    <w:rsid w:val="00951A46"/>
    <w:rsid w:val="00952CDD"/>
    <w:rsid w:val="00954571"/>
    <w:rsid w:val="00955BA1"/>
    <w:rsid w:val="009571A7"/>
    <w:rsid w:val="00960337"/>
    <w:rsid w:val="009659D1"/>
    <w:rsid w:val="00966FED"/>
    <w:rsid w:val="00975A25"/>
    <w:rsid w:val="00976C8D"/>
    <w:rsid w:val="00985D71"/>
    <w:rsid w:val="009864DA"/>
    <w:rsid w:val="009A05B5"/>
    <w:rsid w:val="009A21CF"/>
    <w:rsid w:val="009A56EB"/>
    <w:rsid w:val="009A7122"/>
    <w:rsid w:val="009B0861"/>
    <w:rsid w:val="009B658F"/>
    <w:rsid w:val="009B683A"/>
    <w:rsid w:val="009C06AB"/>
    <w:rsid w:val="009C22AA"/>
    <w:rsid w:val="009D2C72"/>
    <w:rsid w:val="009D5CB3"/>
    <w:rsid w:val="009E253F"/>
    <w:rsid w:val="009F150C"/>
    <w:rsid w:val="009F674A"/>
    <w:rsid w:val="00A01B2C"/>
    <w:rsid w:val="00A0239F"/>
    <w:rsid w:val="00A116D4"/>
    <w:rsid w:val="00A118F6"/>
    <w:rsid w:val="00A22298"/>
    <w:rsid w:val="00A23B43"/>
    <w:rsid w:val="00A25881"/>
    <w:rsid w:val="00A26216"/>
    <w:rsid w:val="00A31DAD"/>
    <w:rsid w:val="00A33A86"/>
    <w:rsid w:val="00A3671E"/>
    <w:rsid w:val="00A41031"/>
    <w:rsid w:val="00A42B8A"/>
    <w:rsid w:val="00A43797"/>
    <w:rsid w:val="00A459FE"/>
    <w:rsid w:val="00A4601A"/>
    <w:rsid w:val="00A4615F"/>
    <w:rsid w:val="00A51E12"/>
    <w:rsid w:val="00A6414F"/>
    <w:rsid w:val="00A737BB"/>
    <w:rsid w:val="00A737DF"/>
    <w:rsid w:val="00A770F6"/>
    <w:rsid w:val="00A8034B"/>
    <w:rsid w:val="00AA1AF5"/>
    <w:rsid w:val="00AA35C7"/>
    <w:rsid w:val="00AA551F"/>
    <w:rsid w:val="00AA6F3E"/>
    <w:rsid w:val="00AB2F9B"/>
    <w:rsid w:val="00AB6F71"/>
    <w:rsid w:val="00AD1265"/>
    <w:rsid w:val="00AD3617"/>
    <w:rsid w:val="00AD6942"/>
    <w:rsid w:val="00AE2E9A"/>
    <w:rsid w:val="00AF178F"/>
    <w:rsid w:val="00AF706A"/>
    <w:rsid w:val="00B00DF0"/>
    <w:rsid w:val="00B0140A"/>
    <w:rsid w:val="00B019B2"/>
    <w:rsid w:val="00B021B1"/>
    <w:rsid w:val="00B20886"/>
    <w:rsid w:val="00B23F07"/>
    <w:rsid w:val="00B31B00"/>
    <w:rsid w:val="00B31EC5"/>
    <w:rsid w:val="00B34DB4"/>
    <w:rsid w:val="00B426FF"/>
    <w:rsid w:val="00B4429C"/>
    <w:rsid w:val="00B5237E"/>
    <w:rsid w:val="00B56845"/>
    <w:rsid w:val="00B61770"/>
    <w:rsid w:val="00B720BA"/>
    <w:rsid w:val="00B75D50"/>
    <w:rsid w:val="00B7626E"/>
    <w:rsid w:val="00B961F1"/>
    <w:rsid w:val="00BA086B"/>
    <w:rsid w:val="00BA47C6"/>
    <w:rsid w:val="00BA603A"/>
    <w:rsid w:val="00BA7AC8"/>
    <w:rsid w:val="00BB0903"/>
    <w:rsid w:val="00BB0BA3"/>
    <w:rsid w:val="00BB242B"/>
    <w:rsid w:val="00BB3E12"/>
    <w:rsid w:val="00BB4197"/>
    <w:rsid w:val="00BB5E1F"/>
    <w:rsid w:val="00BB7A59"/>
    <w:rsid w:val="00BD55ED"/>
    <w:rsid w:val="00BD644E"/>
    <w:rsid w:val="00BE42C0"/>
    <w:rsid w:val="00BE505F"/>
    <w:rsid w:val="00BF012F"/>
    <w:rsid w:val="00BF1497"/>
    <w:rsid w:val="00BF7247"/>
    <w:rsid w:val="00BF751B"/>
    <w:rsid w:val="00C02293"/>
    <w:rsid w:val="00C1552D"/>
    <w:rsid w:val="00C171AA"/>
    <w:rsid w:val="00C215A1"/>
    <w:rsid w:val="00C22139"/>
    <w:rsid w:val="00C222CE"/>
    <w:rsid w:val="00C35F77"/>
    <w:rsid w:val="00C43171"/>
    <w:rsid w:val="00C67734"/>
    <w:rsid w:val="00C714E1"/>
    <w:rsid w:val="00C73444"/>
    <w:rsid w:val="00C73AFD"/>
    <w:rsid w:val="00C83424"/>
    <w:rsid w:val="00C87FE9"/>
    <w:rsid w:val="00C92231"/>
    <w:rsid w:val="00C9352E"/>
    <w:rsid w:val="00C95A35"/>
    <w:rsid w:val="00C96DAF"/>
    <w:rsid w:val="00C96E3A"/>
    <w:rsid w:val="00CA3489"/>
    <w:rsid w:val="00CB3932"/>
    <w:rsid w:val="00CB7AF8"/>
    <w:rsid w:val="00CC30CA"/>
    <w:rsid w:val="00CC52C6"/>
    <w:rsid w:val="00CD2235"/>
    <w:rsid w:val="00CD263F"/>
    <w:rsid w:val="00CD3E6A"/>
    <w:rsid w:val="00CD49D9"/>
    <w:rsid w:val="00CD7E14"/>
    <w:rsid w:val="00CF285F"/>
    <w:rsid w:val="00D120F5"/>
    <w:rsid w:val="00D437E5"/>
    <w:rsid w:val="00D474A4"/>
    <w:rsid w:val="00D619A2"/>
    <w:rsid w:val="00D62FCA"/>
    <w:rsid w:val="00D653F0"/>
    <w:rsid w:val="00D700D5"/>
    <w:rsid w:val="00D76415"/>
    <w:rsid w:val="00D818CF"/>
    <w:rsid w:val="00D81BC1"/>
    <w:rsid w:val="00D81D71"/>
    <w:rsid w:val="00D85CA0"/>
    <w:rsid w:val="00D90BDE"/>
    <w:rsid w:val="00D919A9"/>
    <w:rsid w:val="00D94CB1"/>
    <w:rsid w:val="00DA108B"/>
    <w:rsid w:val="00DA6879"/>
    <w:rsid w:val="00DB09B7"/>
    <w:rsid w:val="00DB58F8"/>
    <w:rsid w:val="00DB5DE6"/>
    <w:rsid w:val="00DD3FA4"/>
    <w:rsid w:val="00DE00ED"/>
    <w:rsid w:val="00DE5EB8"/>
    <w:rsid w:val="00DE6FAA"/>
    <w:rsid w:val="00DF39D8"/>
    <w:rsid w:val="00E1003C"/>
    <w:rsid w:val="00E12840"/>
    <w:rsid w:val="00E206B9"/>
    <w:rsid w:val="00E212F6"/>
    <w:rsid w:val="00E226E3"/>
    <w:rsid w:val="00E34F6C"/>
    <w:rsid w:val="00E40835"/>
    <w:rsid w:val="00E453EF"/>
    <w:rsid w:val="00E457B9"/>
    <w:rsid w:val="00E65158"/>
    <w:rsid w:val="00E6746B"/>
    <w:rsid w:val="00E6775F"/>
    <w:rsid w:val="00E81651"/>
    <w:rsid w:val="00E81858"/>
    <w:rsid w:val="00E838EB"/>
    <w:rsid w:val="00E90506"/>
    <w:rsid w:val="00E94D19"/>
    <w:rsid w:val="00EA0054"/>
    <w:rsid w:val="00EC0859"/>
    <w:rsid w:val="00EC465F"/>
    <w:rsid w:val="00EC60B5"/>
    <w:rsid w:val="00EC7CC8"/>
    <w:rsid w:val="00ED08B6"/>
    <w:rsid w:val="00ED7509"/>
    <w:rsid w:val="00EE2DC7"/>
    <w:rsid w:val="00EE3126"/>
    <w:rsid w:val="00EE3A1B"/>
    <w:rsid w:val="00EF200A"/>
    <w:rsid w:val="00EF21E7"/>
    <w:rsid w:val="00EF507E"/>
    <w:rsid w:val="00EF68ED"/>
    <w:rsid w:val="00F01A27"/>
    <w:rsid w:val="00F06B4C"/>
    <w:rsid w:val="00F14CE6"/>
    <w:rsid w:val="00F15561"/>
    <w:rsid w:val="00F173C6"/>
    <w:rsid w:val="00F17E4F"/>
    <w:rsid w:val="00F23CFB"/>
    <w:rsid w:val="00F26055"/>
    <w:rsid w:val="00F301E3"/>
    <w:rsid w:val="00F37A83"/>
    <w:rsid w:val="00F37FAE"/>
    <w:rsid w:val="00F63D9F"/>
    <w:rsid w:val="00F66169"/>
    <w:rsid w:val="00F6681B"/>
    <w:rsid w:val="00F66C63"/>
    <w:rsid w:val="00F67D8B"/>
    <w:rsid w:val="00F733A4"/>
    <w:rsid w:val="00F73E35"/>
    <w:rsid w:val="00F74D9E"/>
    <w:rsid w:val="00F75316"/>
    <w:rsid w:val="00F75376"/>
    <w:rsid w:val="00F863F1"/>
    <w:rsid w:val="00F87D07"/>
    <w:rsid w:val="00FA0282"/>
    <w:rsid w:val="00FA754D"/>
    <w:rsid w:val="00FB0AF5"/>
    <w:rsid w:val="00FB0D33"/>
    <w:rsid w:val="00FB69AB"/>
    <w:rsid w:val="00FB7CC4"/>
    <w:rsid w:val="00FD0BD0"/>
    <w:rsid w:val="00FD2F4B"/>
    <w:rsid w:val="00FE0198"/>
    <w:rsid w:val="00FE7194"/>
    <w:rsid w:val="00FE7C21"/>
    <w:rsid w:val="00FF0819"/>
    <w:rsid w:val="00FF54C9"/>
    <w:rsid w:val="00FF63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F5C91"/>
  <w15:docId w15:val="{BEAF5C9A-4D3A-904F-BAA5-ED4DE726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0CA"/>
    <w:rPr>
      <w:sz w:val="20"/>
    </w:rPr>
  </w:style>
  <w:style w:type="paragraph" w:styleId="Heading1">
    <w:name w:val="heading 1"/>
    <w:basedOn w:val="Normal"/>
    <w:next w:val="Normal"/>
    <w:link w:val="Heading1Char"/>
    <w:uiPriority w:val="9"/>
    <w:qFormat/>
    <w:rsid w:val="00743873"/>
    <w:pPr>
      <w:keepNext/>
      <w:keepLines/>
      <w:spacing w:before="240"/>
      <w:outlineLvl w:val="0"/>
    </w:pPr>
    <w:rPr>
      <w:rFonts w:asciiTheme="majorHAnsi" w:eastAsiaTheme="majorEastAsia" w:hAnsiTheme="majorHAnsi" w:cstheme="majorBidi"/>
      <w:b/>
      <w:color w:val="FF0000"/>
      <w:sz w:val="40"/>
      <w:szCs w:val="32"/>
    </w:rPr>
  </w:style>
  <w:style w:type="paragraph" w:styleId="Heading2">
    <w:name w:val="heading 2"/>
    <w:basedOn w:val="Normal"/>
    <w:next w:val="Normal"/>
    <w:link w:val="Heading2Char"/>
    <w:uiPriority w:val="9"/>
    <w:unhideWhenUsed/>
    <w:qFormat/>
    <w:rsid w:val="00D94CB1"/>
    <w:pPr>
      <w:keepNext/>
      <w:keepLines/>
      <w:spacing w:before="40"/>
      <w:outlineLvl w:val="1"/>
    </w:pPr>
    <w:rPr>
      <w:rFonts w:asciiTheme="majorHAnsi" w:eastAsiaTheme="majorEastAsia" w:hAnsiTheme="majorHAnsi" w:cstheme="majorBidi"/>
      <w:b/>
      <w:color w:val="FF0000"/>
      <w:sz w:val="28"/>
      <w:szCs w:val="26"/>
    </w:rPr>
  </w:style>
  <w:style w:type="paragraph" w:styleId="Heading3">
    <w:name w:val="heading 3"/>
    <w:basedOn w:val="Normal"/>
    <w:next w:val="Normal"/>
    <w:link w:val="Heading3Char"/>
    <w:uiPriority w:val="9"/>
    <w:unhideWhenUsed/>
    <w:qFormat/>
    <w:rsid w:val="00D94CB1"/>
    <w:pPr>
      <w:keepNext/>
      <w:keepLines/>
      <w:spacing w:before="40"/>
      <w:outlineLvl w:val="2"/>
    </w:pPr>
    <w:rPr>
      <w:rFonts w:asciiTheme="majorHAnsi" w:eastAsiaTheme="majorEastAsia" w:hAnsiTheme="majorHAnsi" w:cstheme="majorBidi"/>
      <w:b/>
      <w:color w:val="FF0000"/>
      <w:sz w:val="22"/>
      <w:szCs w:val="24"/>
    </w:rPr>
  </w:style>
  <w:style w:type="paragraph" w:styleId="Heading4">
    <w:name w:val="heading 4"/>
    <w:basedOn w:val="Normal"/>
    <w:next w:val="Normal"/>
    <w:link w:val="Heading4Char"/>
    <w:uiPriority w:val="9"/>
    <w:unhideWhenUsed/>
    <w:qFormat/>
    <w:rsid w:val="002041EF"/>
    <w:pPr>
      <w:keepNext/>
      <w:keepLines/>
      <w:spacing w:before="4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873"/>
    <w:rPr>
      <w:rFonts w:asciiTheme="majorHAnsi" w:eastAsiaTheme="majorEastAsia" w:hAnsiTheme="majorHAnsi" w:cstheme="majorBidi"/>
      <w:b/>
      <w:color w:val="FF0000"/>
      <w:sz w:val="40"/>
      <w:szCs w:val="32"/>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1"/>
    <w:qFormat/>
    <w:rsid w:val="001737A2"/>
    <w:pPr>
      <w:ind w:left="397"/>
      <w:contextualSpacing/>
    </w:pPr>
    <w:rPr>
      <w:lang w:val="en-NZ"/>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1"/>
    <w:qFormat/>
    <w:rsid w:val="001737A2"/>
    <w:rPr>
      <w:sz w:val="20"/>
      <w:lang w:val="en-NZ"/>
    </w:rPr>
  </w:style>
  <w:style w:type="table" w:styleId="TableGrid">
    <w:name w:val="Table Grid"/>
    <w:basedOn w:val="TableNormal"/>
    <w:uiPriority w:val="59"/>
    <w:rsid w:val="00F15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94CB1"/>
    <w:rPr>
      <w:rFonts w:asciiTheme="majorHAnsi" w:eastAsiaTheme="majorEastAsia" w:hAnsiTheme="majorHAnsi" w:cstheme="majorBidi"/>
      <w:b/>
      <w:color w:val="FF0000"/>
      <w:sz w:val="28"/>
      <w:szCs w:val="26"/>
    </w:rPr>
  </w:style>
  <w:style w:type="paragraph" w:styleId="NormalWeb">
    <w:name w:val="Normal (Web)"/>
    <w:basedOn w:val="Normal"/>
    <w:uiPriority w:val="99"/>
    <w:unhideWhenUsed/>
    <w:rsid w:val="00FB0D33"/>
    <w:pPr>
      <w:spacing w:before="100" w:beforeAutospacing="1" w:after="100" w:afterAutospacing="1"/>
    </w:pPr>
    <w:rPr>
      <w:rFonts w:ascii="Times" w:eastAsiaTheme="minorEastAsia" w:hAnsi="Times" w:cs="Times New Roman"/>
      <w:szCs w:val="20"/>
    </w:rPr>
  </w:style>
  <w:style w:type="paragraph" w:styleId="FootnoteText">
    <w:name w:val="footnote text"/>
    <w:basedOn w:val="Normal"/>
    <w:link w:val="FootnoteTextChar"/>
    <w:uiPriority w:val="99"/>
    <w:unhideWhenUsed/>
    <w:rsid w:val="00FB0D33"/>
    <w:rPr>
      <w:rFonts w:eastAsiaTheme="minorEastAsia"/>
      <w:sz w:val="24"/>
      <w:szCs w:val="24"/>
      <w:lang w:val="en-US"/>
    </w:rPr>
  </w:style>
  <w:style w:type="character" w:customStyle="1" w:styleId="FootnoteTextChar">
    <w:name w:val="Footnote Text Char"/>
    <w:basedOn w:val="DefaultParagraphFont"/>
    <w:link w:val="FootnoteText"/>
    <w:uiPriority w:val="99"/>
    <w:rsid w:val="00FB0D33"/>
    <w:rPr>
      <w:rFonts w:eastAsiaTheme="minorEastAsia"/>
      <w:sz w:val="24"/>
      <w:szCs w:val="24"/>
      <w:lang w:val="en-US"/>
    </w:rPr>
  </w:style>
  <w:style w:type="character" w:styleId="FootnoteReference">
    <w:name w:val="footnote reference"/>
    <w:basedOn w:val="DefaultParagraphFont"/>
    <w:uiPriority w:val="99"/>
    <w:unhideWhenUsed/>
    <w:rsid w:val="00FB0D33"/>
    <w:rPr>
      <w:vertAlign w:val="superscript"/>
    </w:rPr>
  </w:style>
  <w:style w:type="character" w:customStyle="1" w:styleId="Heading3Char">
    <w:name w:val="Heading 3 Char"/>
    <w:basedOn w:val="DefaultParagraphFont"/>
    <w:link w:val="Heading3"/>
    <w:uiPriority w:val="9"/>
    <w:rsid w:val="00D94CB1"/>
    <w:rPr>
      <w:rFonts w:asciiTheme="majorHAnsi" w:eastAsiaTheme="majorEastAsia" w:hAnsiTheme="majorHAnsi" w:cstheme="majorBidi"/>
      <w:b/>
      <w:color w:val="FF0000"/>
      <w:szCs w:val="24"/>
    </w:rPr>
  </w:style>
  <w:style w:type="character" w:styleId="CommentReference">
    <w:name w:val="annotation reference"/>
    <w:basedOn w:val="DefaultParagraphFont"/>
    <w:uiPriority w:val="99"/>
    <w:semiHidden/>
    <w:unhideWhenUsed/>
    <w:rsid w:val="0090366C"/>
    <w:rPr>
      <w:sz w:val="16"/>
      <w:szCs w:val="16"/>
    </w:rPr>
  </w:style>
  <w:style w:type="paragraph" w:styleId="CommentText">
    <w:name w:val="annotation text"/>
    <w:basedOn w:val="Normal"/>
    <w:link w:val="CommentTextChar"/>
    <w:uiPriority w:val="99"/>
    <w:unhideWhenUsed/>
    <w:rsid w:val="0090366C"/>
    <w:rPr>
      <w:szCs w:val="20"/>
    </w:rPr>
  </w:style>
  <w:style w:type="character" w:customStyle="1" w:styleId="CommentTextChar">
    <w:name w:val="Comment Text Char"/>
    <w:basedOn w:val="DefaultParagraphFont"/>
    <w:link w:val="CommentText"/>
    <w:uiPriority w:val="99"/>
    <w:rsid w:val="0090366C"/>
    <w:rPr>
      <w:sz w:val="20"/>
      <w:szCs w:val="20"/>
    </w:rPr>
  </w:style>
  <w:style w:type="paragraph" w:customStyle="1" w:styleId="Default">
    <w:name w:val="Default"/>
    <w:rsid w:val="00D120F5"/>
    <w:pPr>
      <w:autoSpaceDE w:val="0"/>
      <w:autoSpaceDN w:val="0"/>
      <w:adjustRightInd w:val="0"/>
    </w:pPr>
    <w:rPr>
      <w:rFonts w:ascii="Calibri" w:eastAsiaTheme="minorEastAsia" w:hAnsi="Calibri" w:cs="Calibri"/>
      <w:color w:val="000000"/>
      <w:sz w:val="24"/>
      <w:szCs w:val="24"/>
    </w:rPr>
  </w:style>
  <w:style w:type="character" w:styleId="Emphasis">
    <w:name w:val="Emphasis"/>
    <w:basedOn w:val="DefaultParagraphFont"/>
    <w:uiPriority w:val="20"/>
    <w:qFormat/>
    <w:rsid w:val="001F6CE0"/>
    <w:rPr>
      <w:i/>
      <w:iCs/>
    </w:rPr>
  </w:style>
  <w:style w:type="character" w:customStyle="1" w:styleId="highwire-citation-authors">
    <w:name w:val="highwire-citation-authors"/>
    <w:basedOn w:val="DefaultParagraphFont"/>
    <w:rsid w:val="001F6CE0"/>
  </w:style>
  <w:style w:type="character" w:customStyle="1" w:styleId="highwire-citation-author">
    <w:name w:val="highwire-citation-author"/>
    <w:basedOn w:val="DefaultParagraphFont"/>
    <w:rsid w:val="001F6CE0"/>
  </w:style>
  <w:style w:type="character" w:customStyle="1" w:styleId="highwire-cite-metadata-journal">
    <w:name w:val="highwire-cite-metadata-journal"/>
    <w:basedOn w:val="DefaultParagraphFont"/>
    <w:rsid w:val="001F6CE0"/>
  </w:style>
  <w:style w:type="character" w:customStyle="1" w:styleId="highwire-cite-metadata-date">
    <w:name w:val="highwire-cite-metadata-date"/>
    <w:basedOn w:val="DefaultParagraphFont"/>
    <w:rsid w:val="001F6CE0"/>
  </w:style>
  <w:style w:type="character" w:customStyle="1" w:styleId="highwire-cite-metadata-volume">
    <w:name w:val="highwire-cite-metadata-volume"/>
    <w:basedOn w:val="DefaultParagraphFont"/>
    <w:rsid w:val="001F6CE0"/>
  </w:style>
  <w:style w:type="character" w:customStyle="1" w:styleId="highwire-cite-metadata-issue">
    <w:name w:val="highwire-cite-metadata-issue"/>
    <w:basedOn w:val="DefaultParagraphFont"/>
    <w:rsid w:val="001F6CE0"/>
  </w:style>
  <w:style w:type="character" w:customStyle="1" w:styleId="highwire-cite-metadata-pages">
    <w:name w:val="highwire-cite-metadata-pages"/>
    <w:basedOn w:val="DefaultParagraphFont"/>
    <w:rsid w:val="001F6CE0"/>
  </w:style>
  <w:style w:type="character" w:customStyle="1" w:styleId="highwire-cite-metadata-doi">
    <w:name w:val="highwire-cite-metadata-doi"/>
    <w:basedOn w:val="DefaultParagraphFont"/>
    <w:rsid w:val="001F6CE0"/>
  </w:style>
  <w:style w:type="character" w:styleId="Hyperlink">
    <w:name w:val="Hyperlink"/>
    <w:basedOn w:val="DefaultParagraphFont"/>
    <w:uiPriority w:val="99"/>
    <w:unhideWhenUsed/>
    <w:rsid w:val="001F6CE0"/>
    <w:rPr>
      <w:color w:val="0563C1" w:themeColor="hyperlink"/>
      <w:u w:val="single"/>
    </w:rPr>
  </w:style>
  <w:style w:type="character" w:customStyle="1" w:styleId="Heading4Char">
    <w:name w:val="Heading 4 Char"/>
    <w:basedOn w:val="DefaultParagraphFont"/>
    <w:link w:val="Heading4"/>
    <w:uiPriority w:val="9"/>
    <w:rsid w:val="002041EF"/>
    <w:rPr>
      <w:rFonts w:asciiTheme="majorHAnsi" w:eastAsiaTheme="majorEastAsia" w:hAnsiTheme="majorHAnsi" w:cstheme="majorBidi"/>
      <w:i/>
      <w:iCs/>
      <w:color w:val="2E74B5" w:themeColor="accent1" w:themeShade="BF"/>
      <w:lang w:val="en-US"/>
    </w:rPr>
  </w:style>
  <w:style w:type="paragraph" w:styleId="BalloonText">
    <w:name w:val="Balloon Text"/>
    <w:basedOn w:val="Normal"/>
    <w:link w:val="BalloonTextChar"/>
    <w:uiPriority w:val="99"/>
    <w:semiHidden/>
    <w:unhideWhenUsed/>
    <w:rsid w:val="00784C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4CCE"/>
    <w:rPr>
      <w:rFonts w:ascii="Lucida Grande" w:hAnsi="Lucida Grande" w:cs="Lucida Grande"/>
      <w:sz w:val="18"/>
      <w:szCs w:val="18"/>
    </w:rPr>
  </w:style>
  <w:style w:type="table" w:customStyle="1" w:styleId="GridTable5Dark-Accent51">
    <w:name w:val="Grid Table 5 Dark - Accent 51"/>
    <w:basedOn w:val="TableNormal"/>
    <w:uiPriority w:val="50"/>
    <w:rsid w:val="00582AA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Revision">
    <w:name w:val="Revision"/>
    <w:hidden/>
    <w:uiPriority w:val="99"/>
    <w:semiHidden/>
    <w:rsid w:val="00834CA9"/>
  </w:style>
  <w:style w:type="paragraph" w:styleId="EndnoteText">
    <w:name w:val="endnote text"/>
    <w:basedOn w:val="Normal"/>
    <w:link w:val="EndnoteTextChar"/>
    <w:uiPriority w:val="99"/>
    <w:unhideWhenUsed/>
    <w:rsid w:val="00E81858"/>
    <w:rPr>
      <w:szCs w:val="20"/>
    </w:rPr>
  </w:style>
  <w:style w:type="character" w:customStyle="1" w:styleId="EndnoteTextChar">
    <w:name w:val="Endnote Text Char"/>
    <w:basedOn w:val="DefaultParagraphFont"/>
    <w:link w:val="EndnoteText"/>
    <w:uiPriority w:val="99"/>
    <w:rsid w:val="00E81858"/>
    <w:rPr>
      <w:sz w:val="20"/>
      <w:szCs w:val="20"/>
    </w:rPr>
  </w:style>
  <w:style w:type="character" w:styleId="EndnoteReference">
    <w:name w:val="endnote reference"/>
    <w:basedOn w:val="DefaultParagraphFont"/>
    <w:uiPriority w:val="99"/>
    <w:unhideWhenUsed/>
    <w:rsid w:val="002C7915"/>
    <w:rPr>
      <w:rFonts w:asciiTheme="minorHAnsi" w:hAnsiTheme="minorHAnsi"/>
      <w:sz w:val="20"/>
      <w:vertAlign w:val="superscript"/>
    </w:rPr>
  </w:style>
  <w:style w:type="paragraph" w:styleId="TOCHeading">
    <w:name w:val="TOC Heading"/>
    <w:basedOn w:val="Heading1"/>
    <w:next w:val="Normal"/>
    <w:uiPriority w:val="39"/>
    <w:unhideWhenUsed/>
    <w:qFormat/>
    <w:rsid w:val="00DA108B"/>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DA108B"/>
    <w:pPr>
      <w:spacing w:before="120"/>
    </w:pPr>
    <w:rPr>
      <w:b/>
      <w:sz w:val="24"/>
      <w:szCs w:val="24"/>
    </w:rPr>
  </w:style>
  <w:style w:type="paragraph" w:styleId="TOC2">
    <w:name w:val="toc 2"/>
    <w:basedOn w:val="Normal"/>
    <w:next w:val="Normal"/>
    <w:autoRedefine/>
    <w:uiPriority w:val="39"/>
    <w:unhideWhenUsed/>
    <w:rsid w:val="00DA108B"/>
    <w:pPr>
      <w:ind w:left="220"/>
    </w:pPr>
    <w:rPr>
      <w:b/>
    </w:rPr>
  </w:style>
  <w:style w:type="paragraph" w:styleId="TOC3">
    <w:name w:val="toc 3"/>
    <w:basedOn w:val="Normal"/>
    <w:next w:val="Normal"/>
    <w:autoRedefine/>
    <w:uiPriority w:val="39"/>
    <w:unhideWhenUsed/>
    <w:rsid w:val="00DA108B"/>
    <w:pPr>
      <w:ind w:left="440"/>
    </w:pPr>
  </w:style>
  <w:style w:type="paragraph" w:styleId="TOC4">
    <w:name w:val="toc 4"/>
    <w:basedOn w:val="Normal"/>
    <w:next w:val="Normal"/>
    <w:autoRedefine/>
    <w:uiPriority w:val="39"/>
    <w:semiHidden/>
    <w:unhideWhenUsed/>
    <w:rsid w:val="00DA108B"/>
    <w:pPr>
      <w:ind w:left="660"/>
    </w:pPr>
    <w:rPr>
      <w:szCs w:val="20"/>
    </w:rPr>
  </w:style>
  <w:style w:type="paragraph" w:styleId="TOC5">
    <w:name w:val="toc 5"/>
    <w:basedOn w:val="Normal"/>
    <w:next w:val="Normal"/>
    <w:autoRedefine/>
    <w:uiPriority w:val="39"/>
    <w:semiHidden/>
    <w:unhideWhenUsed/>
    <w:rsid w:val="00DA108B"/>
    <w:pPr>
      <w:ind w:left="880"/>
    </w:pPr>
    <w:rPr>
      <w:szCs w:val="20"/>
    </w:rPr>
  </w:style>
  <w:style w:type="paragraph" w:styleId="TOC6">
    <w:name w:val="toc 6"/>
    <w:basedOn w:val="Normal"/>
    <w:next w:val="Normal"/>
    <w:autoRedefine/>
    <w:uiPriority w:val="39"/>
    <w:semiHidden/>
    <w:unhideWhenUsed/>
    <w:rsid w:val="00DA108B"/>
    <w:pPr>
      <w:ind w:left="1100"/>
    </w:pPr>
    <w:rPr>
      <w:szCs w:val="20"/>
    </w:rPr>
  </w:style>
  <w:style w:type="paragraph" w:styleId="TOC7">
    <w:name w:val="toc 7"/>
    <w:basedOn w:val="Normal"/>
    <w:next w:val="Normal"/>
    <w:autoRedefine/>
    <w:uiPriority w:val="39"/>
    <w:semiHidden/>
    <w:unhideWhenUsed/>
    <w:rsid w:val="00DA108B"/>
    <w:pPr>
      <w:ind w:left="1320"/>
    </w:pPr>
    <w:rPr>
      <w:szCs w:val="20"/>
    </w:rPr>
  </w:style>
  <w:style w:type="paragraph" w:styleId="TOC8">
    <w:name w:val="toc 8"/>
    <w:basedOn w:val="Normal"/>
    <w:next w:val="Normal"/>
    <w:autoRedefine/>
    <w:uiPriority w:val="39"/>
    <w:semiHidden/>
    <w:unhideWhenUsed/>
    <w:rsid w:val="00DA108B"/>
    <w:pPr>
      <w:ind w:left="1540"/>
    </w:pPr>
    <w:rPr>
      <w:szCs w:val="20"/>
    </w:rPr>
  </w:style>
  <w:style w:type="paragraph" w:styleId="TOC9">
    <w:name w:val="toc 9"/>
    <w:basedOn w:val="Normal"/>
    <w:next w:val="Normal"/>
    <w:autoRedefine/>
    <w:uiPriority w:val="39"/>
    <w:semiHidden/>
    <w:unhideWhenUsed/>
    <w:rsid w:val="00DA108B"/>
    <w:pPr>
      <w:ind w:left="1760"/>
    </w:pPr>
    <w:rPr>
      <w:szCs w:val="20"/>
    </w:rPr>
  </w:style>
  <w:style w:type="paragraph" w:styleId="CommentSubject">
    <w:name w:val="annotation subject"/>
    <w:basedOn w:val="CommentText"/>
    <w:next w:val="CommentText"/>
    <w:link w:val="CommentSubjectChar"/>
    <w:uiPriority w:val="99"/>
    <w:semiHidden/>
    <w:unhideWhenUsed/>
    <w:rsid w:val="0094286B"/>
    <w:rPr>
      <w:b/>
      <w:bCs/>
    </w:rPr>
  </w:style>
  <w:style w:type="character" w:customStyle="1" w:styleId="CommentSubjectChar">
    <w:name w:val="Comment Subject Char"/>
    <w:basedOn w:val="CommentTextChar"/>
    <w:link w:val="CommentSubject"/>
    <w:uiPriority w:val="99"/>
    <w:semiHidden/>
    <w:rsid w:val="0094286B"/>
    <w:rPr>
      <w:b/>
      <w:bCs/>
      <w:sz w:val="20"/>
      <w:szCs w:val="20"/>
    </w:rPr>
  </w:style>
  <w:style w:type="paragraph" w:styleId="Header">
    <w:name w:val="header"/>
    <w:basedOn w:val="Normal"/>
    <w:link w:val="HeaderChar"/>
    <w:uiPriority w:val="99"/>
    <w:unhideWhenUsed/>
    <w:rsid w:val="00C95A35"/>
    <w:pPr>
      <w:tabs>
        <w:tab w:val="center" w:pos="4513"/>
        <w:tab w:val="right" w:pos="9026"/>
      </w:tabs>
    </w:pPr>
  </w:style>
  <w:style w:type="character" w:customStyle="1" w:styleId="HeaderChar">
    <w:name w:val="Header Char"/>
    <w:basedOn w:val="DefaultParagraphFont"/>
    <w:link w:val="Header"/>
    <w:uiPriority w:val="99"/>
    <w:rsid w:val="00C95A35"/>
  </w:style>
  <w:style w:type="paragraph" w:styleId="Footer">
    <w:name w:val="footer"/>
    <w:basedOn w:val="Normal"/>
    <w:link w:val="FooterChar"/>
    <w:uiPriority w:val="99"/>
    <w:unhideWhenUsed/>
    <w:rsid w:val="00C95A35"/>
    <w:pPr>
      <w:tabs>
        <w:tab w:val="center" w:pos="4513"/>
        <w:tab w:val="right" w:pos="9026"/>
      </w:tabs>
    </w:pPr>
  </w:style>
  <w:style w:type="character" w:customStyle="1" w:styleId="FooterChar">
    <w:name w:val="Footer Char"/>
    <w:basedOn w:val="DefaultParagraphFont"/>
    <w:link w:val="Footer"/>
    <w:uiPriority w:val="99"/>
    <w:rsid w:val="00C95A35"/>
  </w:style>
  <w:style w:type="character" w:styleId="PageNumber">
    <w:name w:val="page number"/>
    <w:basedOn w:val="DefaultParagraphFont"/>
    <w:uiPriority w:val="99"/>
    <w:semiHidden/>
    <w:unhideWhenUsed/>
    <w:rsid w:val="00342DBC"/>
  </w:style>
  <w:style w:type="character" w:styleId="FollowedHyperlink">
    <w:name w:val="FollowedHyperlink"/>
    <w:basedOn w:val="DefaultParagraphFont"/>
    <w:uiPriority w:val="99"/>
    <w:semiHidden/>
    <w:unhideWhenUsed/>
    <w:rsid w:val="00B34DB4"/>
    <w:rPr>
      <w:color w:val="954F72" w:themeColor="followedHyperlink"/>
      <w:u w:val="single"/>
    </w:rPr>
  </w:style>
  <w:style w:type="character" w:customStyle="1" w:styleId="branded">
    <w:name w:val="branded"/>
    <w:basedOn w:val="DefaultParagraphFont"/>
    <w:rsid w:val="00985D71"/>
  </w:style>
  <w:style w:type="character" w:styleId="Strong">
    <w:name w:val="Strong"/>
    <w:basedOn w:val="DefaultParagraphFont"/>
    <w:uiPriority w:val="22"/>
    <w:qFormat/>
    <w:rsid w:val="00C714E1"/>
    <w:rPr>
      <w:b/>
      <w:bCs/>
    </w:rPr>
  </w:style>
  <w:style w:type="character" w:customStyle="1" w:styleId="TitleChar">
    <w:name w:val="Title Char"/>
    <w:basedOn w:val="DefaultParagraphFont"/>
    <w:link w:val="Title"/>
    <w:uiPriority w:val="10"/>
    <w:rsid w:val="00842C2A"/>
    <w:rPr>
      <w:rFonts w:ascii="Calibri" w:eastAsia="MS Gothic" w:hAnsi="Calibri" w:cs="Times New Roman"/>
      <w:spacing w:val="-10"/>
      <w:kern w:val="28"/>
      <w:sz w:val="56"/>
      <w:szCs w:val="56"/>
    </w:rPr>
  </w:style>
  <w:style w:type="paragraph" w:styleId="Title">
    <w:name w:val="Title"/>
    <w:basedOn w:val="Normal"/>
    <w:next w:val="Normal"/>
    <w:link w:val="TitleChar"/>
    <w:uiPriority w:val="10"/>
    <w:qFormat/>
    <w:rsid w:val="00842C2A"/>
    <w:pPr>
      <w:contextualSpacing/>
    </w:pPr>
    <w:rPr>
      <w:rFonts w:ascii="Calibri" w:eastAsia="MS Gothic" w:hAnsi="Calibri" w:cs="Times New Roman"/>
      <w:spacing w:val="-10"/>
      <w:kern w:val="28"/>
      <w:sz w:val="56"/>
      <w:szCs w:val="56"/>
    </w:rPr>
  </w:style>
  <w:style w:type="character" w:customStyle="1" w:styleId="TitleChar1">
    <w:name w:val="Title Char1"/>
    <w:basedOn w:val="DefaultParagraphFont"/>
    <w:uiPriority w:val="10"/>
    <w:rsid w:val="00842C2A"/>
    <w:rPr>
      <w:rFonts w:asciiTheme="majorHAnsi" w:eastAsiaTheme="majorEastAsia" w:hAnsiTheme="majorHAnsi" w:cstheme="majorBidi"/>
      <w:spacing w:val="-10"/>
      <w:kern w:val="28"/>
      <w:sz w:val="56"/>
      <w:szCs w:val="56"/>
    </w:rPr>
  </w:style>
  <w:style w:type="table" w:styleId="GridTable5Dark-Accent4">
    <w:name w:val="Grid Table 5 Dark Accent 4"/>
    <w:basedOn w:val="TableNormal"/>
    <w:uiPriority w:val="50"/>
    <w:rsid w:val="00CD7E14"/>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ListBullet">
    <w:name w:val="List Bullet"/>
    <w:basedOn w:val="Normal"/>
    <w:uiPriority w:val="99"/>
    <w:unhideWhenUsed/>
    <w:rsid w:val="00D94CB1"/>
    <w:pPr>
      <w:numPr>
        <w:numId w:val="28"/>
      </w:numPr>
      <w:contextualSpacing/>
    </w:pPr>
    <w:rPr>
      <w:szCs w:val="24"/>
    </w:rPr>
  </w:style>
  <w:style w:type="paragraph" w:customStyle="1" w:styleId="KidneyBodyBold">
    <w:name w:val="Kidney Body Bold"/>
    <w:basedOn w:val="Normal"/>
    <w:qFormat/>
    <w:rsid w:val="002E07BE"/>
    <w:pPr>
      <w:snapToGrid w:val="0"/>
      <w:spacing w:after="40"/>
      <w:ind w:right="96"/>
    </w:pPr>
    <w:rPr>
      <w:rFonts w:cstheme="minorHAnsi"/>
      <w:b/>
      <w:bCs/>
    </w:rPr>
  </w:style>
  <w:style w:type="table" w:styleId="GridTable4-Accent4">
    <w:name w:val="Grid Table 4 Accent 4"/>
    <w:basedOn w:val="TableNormal"/>
    <w:uiPriority w:val="49"/>
    <w:rsid w:val="00BD55E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
    <w:name w:val="Unresolved Mention1"/>
    <w:basedOn w:val="DefaultParagraphFont"/>
    <w:uiPriority w:val="99"/>
    <w:semiHidden/>
    <w:unhideWhenUsed/>
    <w:rsid w:val="00D81BC1"/>
    <w:rPr>
      <w:color w:val="605E5C"/>
      <w:shd w:val="clear" w:color="auto" w:fill="E1DFDD"/>
    </w:rPr>
  </w:style>
  <w:style w:type="table" w:styleId="GridTable4-Accent2">
    <w:name w:val="Grid Table 4 Accent 2"/>
    <w:basedOn w:val="TableNormal"/>
    <w:uiPriority w:val="49"/>
    <w:rsid w:val="00711E8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172">
      <w:bodyDiv w:val="1"/>
      <w:marLeft w:val="0"/>
      <w:marRight w:val="0"/>
      <w:marTop w:val="0"/>
      <w:marBottom w:val="0"/>
      <w:divBdr>
        <w:top w:val="none" w:sz="0" w:space="0" w:color="auto"/>
        <w:left w:val="none" w:sz="0" w:space="0" w:color="auto"/>
        <w:bottom w:val="none" w:sz="0" w:space="0" w:color="auto"/>
        <w:right w:val="none" w:sz="0" w:space="0" w:color="auto"/>
      </w:divBdr>
    </w:div>
    <w:div w:id="151483366">
      <w:bodyDiv w:val="1"/>
      <w:marLeft w:val="0"/>
      <w:marRight w:val="0"/>
      <w:marTop w:val="0"/>
      <w:marBottom w:val="0"/>
      <w:divBdr>
        <w:top w:val="none" w:sz="0" w:space="0" w:color="auto"/>
        <w:left w:val="none" w:sz="0" w:space="0" w:color="auto"/>
        <w:bottom w:val="none" w:sz="0" w:space="0" w:color="auto"/>
        <w:right w:val="none" w:sz="0" w:space="0" w:color="auto"/>
      </w:divBdr>
    </w:div>
    <w:div w:id="189076728">
      <w:bodyDiv w:val="1"/>
      <w:marLeft w:val="0"/>
      <w:marRight w:val="0"/>
      <w:marTop w:val="0"/>
      <w:marBottom w:val="0"/>
      <w:divBdr>
        <w:top w:val="none" w:sz="0" w:space="0" w:color="auto"/>
        <w:left w:val="none" w:sz="0" w:space="0" w:color="auto"/>
        <w:bottom w:val="none" w:sz="0" w:space="0" w:color="auto"/>
        <w:right w:val="none" w:sz="0" w:space="0" w:color="auto"/>
      </w:divBdr>
      <w:divsChild>
        <w:div w:id="1126578730">
          <w:marLeft w:val="0"/>
          <w:marRight w:val="0"/>
          <w:marTop w:val="0"/>
          <w:marBottom w:val="0"/>
          <w:divBdr>
            <w:top w:val="none" w:sz="0" w:space="0" w:color="auto"/>
            <w:left w:val="none" w:sz="0" w:space="0" w:color="auto"/>
            <w:bottom w:val="none" w:sz="0" w:space="0" w:color="auto"/>
            <w:right w:val="none" w:sz="0" w:space="0" w:color="auto"/>
          </w:divBdr>
          <w:divsChild>
            <w:div w:id="979073711">
              <w:marLeft w:val="0"/>
              <w:marRight w:val="0"/>
              <w:marTop w:val="0"/>
              <w:marBottom w:val="120"/>
              <w:divBdr>
                <w:top w:val="none" w:sz="0" w:space="0" w:color="auto"/>
                <w:left w:val="none" w:sz="0" w:space="0" w:color="auto"/>
                <w:bottom w:val="none" w:sz="0" w:space="0" w:color="auto"/>
                <w:right w:val="none" w:sz="0" w:space="0" w:color="auto"/>
              </w:divBdr>
            </w:div>
          </w:divsChild>
        </w:div>
        <w:div w:id="123039125">
          <w:marLeft w:val="0"/>
          <w:marRight w:val="0"/>
          <w:marTop w:val="120"/>
          <w:marBottom w:val="120"/>
          <w:divBdr>
            <w:top w:val="none" w:sz="0" w:space="0" w:color="auto"/>
            <w:left w:val="none" w:sz="0" w:space="0" w:color="auto"/>
            <w:bottom w:val="none" w:sz="0" w:space="0" w:color="auto"/>
            <w:right w:val="none" w:sz="0" w:space="0" w:color="auto"/>
          </w:divBdr>
        </w:div>
      </w:divsChild>
    </w:div>
    <w:div w:id="386341419">
      <w:bodyDiv w:val="1"/>
      <w:marLeft w:val="0"/>
      <w:marRight w:val="0"/>
      <w:marTop w:val="0"/>
      <w:marBottom w:val="0"/>
      <w:divBdr>
        <w:top w:val="none" w:sz="0" w:space="0" w:color="auto"/>
        <w:left w:val="none" w:sz="0" w:space="0" w:color="auto"/>
        <w:bottom w:val="none" w:sz="0" w:space="0" w:color="auto"/>
        <w:right w:val="none" w:sz="0" w:space="0" w:color="auto"/>
      </w:divBdr>
      <w:divsChild>
        <w:div w:id="35743647">
          <w:marLeft w:val="0"/>
          <w:marRight w:val="0"/>
          <w:marTop w:val="75"/>
          <w:marBottom w:val="0"/>
          <w:divBdr>
            <w:top w:val="none" w:sz="0" w:space="0" w:color="auto"/>
            <w:left w:val="none" w:sz="0" w:space="0" w:color="auto"/>
            <w:bottom w:val="none" w:sz="0" w:space="0" w:color="auto"/>
            <w:right w:val="none" w:sz="0" w:space="0" w:color="auto"/>
          </w:divBdr>
        </w:div>
        <w:div w:id="1862623966">
          <w:marLeft w:val="0"/>
          <w:marRight w:val="0"/>
          <w:marTop w:val="75"/>
          <w:marBottom w:val="300"/>
          <w:divBdr>
            <w:top w:val="none" w:sz="0" w:space="0" w:color="auto"/>
            <w:left w:val="none" w:sz="0" w:space="0" w:color="auto"/>
            <w:bottom w:val="none" w:sz="0" w:space="0" w:color="auto"/>
            <w:right w:val="none" w:sz="0" w:space="0" w:color="auto"/>
          </w:divBdr>
        </w:div>
      </w:divsChild>
    </w:div>
    <w:div w:id="591201642">
      <w:bodyDiv w:val="1"/>
      <w:marLeft w:val="0"/>
      <w:marRight w:val="0"/>
      <w:marTop w:val="0"/>
      <w:marBottom w:val="0"/>
      <w:divBdr>
        <w:top w:val="none" w:sz="0" w:space="0" w:color="auto"/>
        <w:left w:val="none" w:sz="0" w:space="0" w:color="auto"/>
        <w:bottom w:val="none" w:sz="0" w:space="0" w:color="auto"/>
        <w:right w:val="none" w:sz="0" w:space="0" w:color="auto"/>
      </w:divBdr>
      <w:divsChild>
        <w:div w:id="551582716">
          <w:marLeft w:val="0"/>
          <w:marRight w:val="0"/>
          <w:marTop w:val="0"/>
          <w:marBottom w:val="0"/>
          <w:divBdr>
            <w:top w:val="none" w:sz="0" w:space="0" w:color="auto"/>
            <w:left w:val="none" w:sz="0" w:space="0" w:color="auto"/>
            <w:bottom w:val="none" w:sz="0" w:space="0" w:color="auto"/>
            <w:right w:val="none" w:sz="0" w:space="0" w:color="auto"/>
          </w:divBdr>
          <w:divsChild>
            <w:div w:id="306279853">
              <w:marLeft w:val="0"/>
              <w:marRight w:val="0"/>
              <w:marTop w:val="0"/>
              <w:marBottom w:val="0"/>
              <w:divBdr>
                <w:top w:val="none" w:sz="0" w:space="0" w:color="auto"/>
                <w:left w:val="none" w:sz="0" w:space="0" w:color="auto"/>
                <w:bottom w:val="none" w:sz="0" w:space="0" w:color="auto"/>
                <w:right w:val="none" w:sz="0" w:space="0" w:color="auto"/>
              </w:divBdr>
              <w:divsChild>
                <w:div w:id="10403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239689">
      <w:bodyDiv w:val="1"/>
      <w:marLeft w:val="0"/>
      <w:marRight w:val="0"/>
      <w:marTop w:val="0"/>
      <w:marBottom w:val="0"/>
      <w:divBdr>
        <w:top w:val="none" w:sz="0" w:space="0" w:color="auto"/>
        <w:left w:val="none" w:sz="0" w:space="0" w:color="auto"/>
        <w:bottom w:val="none" w:sz="0" w:space="0" w:color="auto"/>
        <w:right w:val="none" w:sz="0" w:space="0" w:color="auto"/>
      </w:divBdr>
      <w:divsChild>
        <w:div w:id="863910277">
          <w:marLeft w:val="0"/>
          <w:marRight w:val="0"/>
          <w:marTop w:val="0"/>
          <w:marBottom w:val="0"/>
          <w:divBdr>
            <w:top w:val="none" w:sz="0" w:space="0" w:color="auto"/>
            <w:left w:val="none" w:sz="0" w:space="0" w:color="auto"/>
            <w:bottom w:val="none" w:sz="0" w:space="0" w:color="auto"/>
            <w:right w:val="none" w:sz="0" w:space="0" w:color="auto"/>
          </w:divBdr>
          <w:divsChild>
            <w:div w:id="503010725">
              <w:marLeft w:val="0"/>
              <w:marRight w:val="0"/>
              <w:marTop w:val="0"/>
              <w:marBottom w:val="0"/>
              <w:divBdr>
                <w:top w:val="none" w:sz="0" w:space="0" w:color="auto"/>
                <w:left w:val="none" w:sz="0" w:space="0" w:color="auto"/>
                <w:bottom w:val="none" w:sz="0" w:space="0" w:color="auto"/>
                <w:right w:val="none" w:sz="0" w:space="0" w:color="auto"/>
              </w:divBdr>
              <w:divsChild>
                <w:div w:id="12160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96581">
      <w:bodyDiv w:val="1"/>
      <w:marLeft w:val="0"/>
      <w:marRight w:val="0"/>
      <w:marTop w:val="0"/>
      <w:marBottom w:val="0"/>
      <w:divBdr>
        <w:top w:val="none" w:sz="0" w:space="0" w:color="auto"/>
        <w:left w:val="none" w:sz="0" w:space="0" w:color="auto"/>
        <w:bottom w:val="none" w:sz="0" w:space="0" w:color="auto"/>
        <w:right w:val="none" w:sz="0" w:space="0" w:color="auto"/>
      </w:divBdr>
    </w:div>
    <w:div w:id="830174884">
      <w:bodyDiv w:val="1"/>
      <w:marLeft w:val="0"/>
      <w:marRight w:val="0"/>
      <w:marTop w:val="0"/>
      <w:marBottom w:val="0"/>
      <w:divBdr>
        <w:top w:val="none" w:sz="0" w:space="0" w:color="auto"/>
        <w:left w:val="none" w:sz="0" w:space="0" w:color="auto"/>
        <w:bottom w:val="none" w:sz="0" w:space="0" w:color="auto"/>
        <w:right w:val="none" w:sz="0" w:space="0" w:color="auto"/>
      </w:divBdr>
      <w:divsChild>
        <w:div w:id="1833640300">
          <w:marLeft w:val="0"/>
          <w:marRight w:val="0"/>
          <w:marTop w:val="0"/>
          <w:marBottom w:val="0"/>
          <w:divBdr>
            <w:top w:val="none" w:sz="0" w:space="0" w:color="auto"/>
            <w:left w:val="none" w:sz="0" w:space="0" w:color="auto"/>
            <w:bottom w:val="none" w:sz="0" w:space="0" w:color="auto"/>
            <w:right w:val="none" w:sz="0" w:space="0" w:color="auto"/>
          </w:divBdr>
          <w:divsChild>
            <w:div w:id="818577159">
              <w:marLeft w:val="0"/>
              <w:marRight w:val="0"/>
              <w:marTop w:val="0"/>
              <w:marBottom w:val="0"/>
              <w:divBdr>
                <w:top w:val="none" w:sz="0" w:space="0" w:color="auto"/>
                <w:left w:val="none" w:sz="0" w:space="0" w:color="auto"/>
                <w:bottom w:val="none" w:sz="0" w:space="0" w:color="auto"/>
                <w:right w:val="none" w:sz="0" w:space="0" w:color="auto"/>
              </w:divBdr>
              <w:divsChild>
                <w:div w:id="6537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49156">
      <w:bodyDiv w:val="1"/>
      <w:marLeft w:val="0"/>
      <w:marRight w:val="0"/>
      <w:marTop w:val="0"/>
      <w:marBottom w:val="0"/>
      <w:divBdr>
        <w:top w:val="none" w:sz="0" w:space="0" w:color="auto"/>
        <w:left w:val="none" w:sz="0" w:space="0" w:color="auto"/>
        <w:bottom w:val="none" w:sz="0" w:space="0" w:color="auto"/>
        <w:right w:val="none" w:sz="0" w:space="0" w:color="auto"/>
      </w:divBdr>
    </w:div>
    <w:div w:id="887301005">
      <w:bodyDiv w:val="1"/>
      <w:marLeft w:val="0"/>
      <w:marRight w:val="0"/>
      <w:marTop w:val="0"/>
      <w:marBottom w:val="0"/>
      <w:divBdr>
        <w:top w:val="none" w:sz="0" w:space="0" w:color="auto"/>
        <w:left w:val="none" w:sz="0" w:space="0" w:color="auto"/>
        <w:bottom w:val="none" w:sz="0" w:space="0" w:color="auto"/>
        <w:right w:val="none" w:sz="0" w:space="0" w:color="auto"/>
      </w:divBdr>
    </w:div>
    <w:div w:id="977413423">
      <w:bodyDiv w:val="1"/>
      <w:marLeft w:val="0"/>
      <w:marRight w:val="0"/>
      <w:marTop w:val="0"/>
      <w:marBottom w:val="0"/>
      <w:divBdr>
        <w:top w:val="none" w:sz="0" w:space="0" w:color="auto"/>
        <w:left w:val="none" w:sz="0" w:space="0" w:color="auto"/>
        <w:bottom w:val="none" w:sz="0" w:space="0" w:color="auto"/>
        <w:right w:val="none" w:sz="0" w:space="0" w:color="auto"/>
      </w:divBdr>
      <w:divsChild>
        <w:div w:id="1564412763">
          <w:marLeft w:val="0"/>
          <w:marRight w:val="0"/>
          <w:marTop w:val="0"/>
          <w:marBottom w:val="0"/>
          <w:divBdr>
            <w:top w:val="none" w:sz="0" w:space="0" w:color="auto"/>
            <w:left w:val="none" w:sz="0" w:space="0" w:color="auto"/>
            <w:bottom w:val="none" w:sz="0" w:space="0" w:color="auto"/>
            <w:right w:val="none" w:sz="0" w:space="0" w:color="auto"/>
          </w:divBdr>
          <w:divsChild>
            <w:div w:id="1881166422">
              <w:marLeft w:val="0"/>
              <w:marRight w:val="0"/>
              <w:marTop w:val="0"/>
              <w:marBottom w:val="0"/>
              <w:divBdr>
                <w:top w:val="none" w:sz="0" w:space="0" w:color="auto"/>
                <w:left w:val="none" w:sz="0" w:space="0" w:color="auto"/>
                <w:bottom w:val="none" w:sz="0" w:space="0" w:color="auto"/>
                <w:right w:val="none" w:sz="0" w:space="0" w:color="auto"/>
              </w:divBdr>
              <w:divsChild>
                <w:div w:id="1234585411">
                  <w:marLeft w:val="0"/>
                  <w:marRight w:val="0"/>
                  <w:marTop w:val="0"/>
                  <w:marBottom w:val="0"/>
                  <w:divBdr>
                    <w:top w:val="none" w:sz="0" w:space="0" w:color="auto"/>
                    <w:left w:val="none" w:sz="0" w:space="0" w:color="auto"/>
                    <w:bottom w:val="none" w:sz="0" w:space="0" w:color="auto"/>
                    <w:right w:val="none" w:sz="0" w:space="0" w:color="auto"/>
                  </w:divBdr>
                  <w:divsChild>
                    <w:div w:id="3039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83258">
      <w:bodyDiv w:val="1"/>
      <w:marLeft w:val="0"/>
      <w:marRight w:val="0"/>
      <w:marTop w:val="0"/>
      <w:marBottom w:val="0"/>
      <w:divBdr>
        <w:top w:val="none" w:sz="0" w:space="0" w:color="auto"/>
        <w:left w:val="none" w:sz="0" w:space="0" w:color="auto"/>
        <w:bottom w:val="none" w:sz="0" w:space="0" w:color="auto"/>
        <w:right w:val="none" w:sz="0" w:space="0" w:color="auto"/>
      </w:divBdr>
    </w:div>
    <w:div w:id="1056008071">
      <w:bodyDiv w:val="1"/>
      <w:marLeft w:val="0"/>
      <w:marRight w:val="0"/>
      <w:marTop w:val="0"/>
      <w:marBottom w:val="0"/>
      <w:divBdr>
        <w:top w:val="none" w:sz="0" w:space="0" w:color="auto"/>
        <w:left w:val="none" w:sz="0" w:space="0" w:color="auto"/>
        <w:bottom w:val="none" w:sz="0" w:space="0" w:color="auto"/>
        <w:right w:val="none" w:sz="0" w:space="0" w:color="auto"/>
      </w:divBdr>
      <w:divsChild>
        <w:div w:id="342098148">
          <w:marLeft w:val="0"/>
          <w:marRight w:val="0"/>
          <w:marTop w:val="0"/>
          <w:marBottom w:val="0"/>
          <w:divBdr>
            <w:top w:val="none" w:sz="0" w:space="0" w:color="auto"/>
            <w:left w:val="none" w:sz="0" w:space="0" w:color="auto"/>
            <w:bottom w:val="none" w:sz="0" w:space="0" w:color="auto"/>
            <w:right w:val="none" w:sz="0" w:space="0" w:color="auto"/>
          </w:divBdr>
          <w:divsChild>
            <w:div w:id="347951070">
              <w:marLeft w:val="0"/>
              <w:marRight w:val="0"/>
              <w:marTop w:val="0"/>
              <w:marBottom w:val="0"/>
              <w:divBdr>
                <w:top w:val="none" w:sz="0" w:space="0" w:color="auto"/>
                <w:left w:val="none" w:sz="0" w:space="0" w:color="auto"/>
                <w:bottom w:val="none" w:sz="0" w:space="0" w:color="auto"/>
                <w:right w:val="none" w:sz="0" w:space="0" w:color="auto"/>
              </w:divBdr>
              <w:divsChild>
                <w:div w:id="63334321">
                  <w:marLeft w:val="0"/>
                  <w:marRight w:val="0"/>
                  <w:marTop w:val="0"/>
                  <w:marBottom w:val="0"/>
                  <w:divBdr>
                    <w:top w:val="none" w:sz="0" w:space="0" w:color="auto"/>
                    <w:left w:val="none" w:sz="0" w:space="0" w:color="auto"/>
                    <w:bottom w:val="none" w:sz="0" w:space="0" w:color="auto"/>
                    <w:right w:val="none" w:sz="0" w:space="0" w:color="auto"/>
                  </w:divBdr>
                  <w:divsChild>
                    <w:div w:id="19293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70016">
      <w:bodyDiv w:val="1"/>
      <w:marLeft w:val="0"/>
      <w:marRight w:val="0"/>
      <w:marTop w:val="0"/>
      <w:marBottom w:val="0"/>
      <w:divBdr>
        <w:top w:val="none" w:sz="0" w:space="0" w:color="auto"/>
        <w:left w:val="none" w:sz="0" w:space="0" w:color="auto"/>
        <w:bottom w:val="none" w:sz="0" w:space="0" w:color="auto"/>
        <w:right w:val="none" w:sz="0" w:space="0" w:color="auto"/>
      </w:divBdr>
      <w:divsChild>
        <w:div w:id="1426534775">
          <w:marLeft w:val="0"/>
          <w:marRight w:val="0"/>
          <w:marTop w:val="0"/>
          <w:marBottom w:val="0"/>
          <w:divBdr>
            <w:top w:val="none" w:sz="0" w:space="0" w:color="auto"/>
            <w:left w:val="none" w:sz="0" w:space="0" w:color="auto"/>
            <w:bottom w:val="none" w:sz="0" w:space="0" w:color="auto"/>
            <w:right w:val="none" w:sz="0" w:space="0" w:color="auto"/>
          </w:divBdr>
          <w:divsChild>
            <w:div w:id="151218265">
              <w:marLeft w:val="0"/>
              <w:marRight w:val="0"/>
              <w:marTop w:val="0"/>
              <w:marBottom w:val="0"/>
              <w:divBdr>
                <w:top w:val="none" w:sz="0" w:space="0" w:color="auto"/>
                <w:left w:val="none" w:sz="0" w:space="0" w:color="auto"/>
                <w:bottom w:val="none" w:sz="0" w:space="0" w:color="auto"/>
                <w:right w:val="none" w:sz="0" w:space="0" w:color="auto"/>
              </w:divBdr>
              <w:divsChild>
                <w:div w:id="1998070503">
                  <w:marLeft w:val="0"/>
                  <w:marRight w:val="0"/>
                  <w:marTop w:val="0"/>
                  <w:marBottom w:val="0"/>
                  <w:divBdr>
                    <w:top w:val="none" w:sz="0" w:space="0" w:color="auto"/>
                    <w:left w:val="none" w:sz="0" w:space="0" w:color="auto"/>
                    <w:bottom w:val="none" w:sz="0" w:space="0" w:color="auto"/>
                    <w:right w:val="none" w:sz="0" w:space="0" w:color="auto"/>
                  </w:divBdr>
                  <w:divsChild>
                    <w:div w:id="19639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723690">
          <w:marLeft w:val="0"/>
          <w:marRight w:val="0"/>
          <w:marTop w:val="0"/>
          <w:marBottom w:val="0"/>
          <w:divBdr>
            <w:top w:val="none" w:sz="0" w:space="0" w:color="auto"/>
            <w:left w:val="none" w:sz="0" w:space="0" w:color="auto"/>
            <w:bottom w:val="none" w:sz="0" w:space="0" w:color="auto"/>
            <w:right w:val="none" w:sz="0" w:space="0" w:color="auto"/>
          </w:divBdr>
        </w:div>
      </w:divsChild>
    </w:div>
    <w:div w:id="145007844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37">
          <w:marLeft w:val="0"/>
          <w:marRight w:val="0"/>
          <w:marTop w:val="0"/>
          <w:marBottom w:val="120"/>
          <w:divBdr>
            <w:top w:val="none" w:sz="0" w:space="0" w:color="auto"/>
            <w:left w:val="none" w:sz="0" w:space="0" w:color="auto"/>
            <w:bottom w:val="none" w:sz="0" w:space="0" w:color="auto"/>
            <w:right w:val="none" w:sz="0" w:space="0" w:color="auto"/>
          </w:divBdr>
        </w:div>
      </w:divsChild>
    </w:div>
    <w:div w:id="1462533140">
      <w:bodyDiv w:val="1"/>
      <w:marLeft w:val="0"/>
      <w:marRight w:val="0"/>
      <w:marTop w:val="0"/>
      <w:marBottom w:val="0"/>
      <w:divBdr>
        <w:top w:val="none" w:sz="0" w:space="0" w:color="auto"/>
        <w:left w:val="none" w:sz="0" w:space="0" w:color="auto"/>
        <w:bottom w:val="none" w:sz="0" w:space="0" w:color="auto"/>
        <w:right w:val="none" w:sz="0" w:space="0" w:color="auto"/>
      </w:divBdr>
      <w:divsChild>
        <w:div w:id="126896859">
          <w:marLeft w:val="0"/>
          <w:marRight w:val="0"/>
          <w:marTop w:val="0"/>
          <w:marBottom w:val="0"/>
          <w:divBdr>
            <w:top w:val="none" w:sz="0" w:space="0" w:color="auto"/>
            <w:left w:val="none" w:sz="0" w:space="0" w:color="auto"/>
            <w:bottom w:val="none" w:sz="0" w:space="0" w:color="auto"/>
            <w:right w:val="none" w:sz="0" w:space="0" w:color="auto"/>
          </w:divBdr>
          <w:divsChild>
            <w:div w:id="2141724554">
              <w:marLeft w:val="0"/>
              <w:marRight w:val="0"/>
              <w:marTop w:val="0"/>
              <w:marBottom w:val="0"/>
              <w:divBdr>
                <w:top w:val="none" w:sz="0" w:space="0" w:color="auto"/>
                <w:left w:val="none" w:sz="0" w:space="0" w:color="auto"/>
                <w:bottom w:val="none" w:sz="0" w:space="0" w:color="auto"/>
                <w:right w:val="none" w:sz="0" w:space="0" w:color="auto"/>
              </w:divBdr>
              <w:divsChild>
                <w:div w:id="15107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8439">
      <w:bodyDiv w:val="1"/>
      <w:marLeft w:val="0"/>
      <w:marRight w:val="0"/>
      <w:marTop w:val="0"/>
      <w:marBottom w:val="0"/>
      <w:divBdr>
        <w:top w:val="none" w:sz="0" w:space="0" w:color="auto"/>
        <w:left w:val="none" w:sz="0" w:space="0" w:color="auto"/>
        <w:bottom w:val="none" w:sz="0" w:space="0" w:color="auto"/>
        <w:right w:val="none" w:sz="0" w:space="0" w:color="auto"/>
      </w:divBdr>
      <w:divsChild>
        <w:div w:id="1141580291">
          <w:marLeft w:val="0"/>
          <w:marRight w:val="0"/>
          <w:marTop w:val="0"/>
          <w:marBottom w:val="0"/>
          <w:divBdr>
            <w:top w:val="none" w:sz="0" w:space="0" w:color="auto"/>
            <w:left w:val="none" w:sz="0" w:space="0" w:color="auto"/>
            <w:bottom w:val="none" w:sz="0" w:space="0" w:color="auto"/>
            <w:right w:val="none" w:sz="0" w:space="0" w:color="auto"/>
          </w:divBdr>
          <w:divsChild>
            <w:div w:id="1899245133">
              <w:marLeft w:val="0"/>
              <w:marRight w:val="0"/>
              <w:marTop w:val="0"/>
              <w:marBottom w:val="0"/>
              <w:divBdr>
                <w:top w:val="none" w:sz="0" w:space="0" w:color="auto"/>
                <w:left w:val="none" w:sz="0" w:space="0" w:color="auto"/>
                <w:bottom w:val="none" w:sz="0" w:space="0" w:color="auto"/>
                <w:right w:val="none" w:sz="0" w:space="0" w:color="auto"/>
              </w:divBdr>
              <w:divsChild>
                <w:div w:id="1095633043">
                  <w:marLeft w:val="0"/>
                  <w:marRight w:val="0"/>
                  <w:marTop w:val="0"/>
                  <w:marBottom w:val="0"/>
                  <w:divBdr>
                    <w:top w:val="none" w:sz="0" w:space="0" w:color="auto"/>
                    <w:left w:val="none" w:sz="0" w:space="0" w:color="auto"/>
                    <w:bottom w:val="none" w:sz="0" w:space="0" w:color="auto"/>
                    <w:right w:val="none" w:sz="0" w:space="0" w:color="auto"/>
                  </w:divBdr>
                  <w:divsChild>
                    <w:div w:id="6515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90151">
      <w:bodyDiv w:val="1"/>
      <w:marLeft w:val="0"/>
      <w:marRight w:val="0"/>
      <w:marTop w:val="0"/>
      <w:marBottom w:val="0"/>
      <w:divBdr>
        <w:top w:val="none" w:sz="0" w:space="0" w:color="auto"/>
        <w:left w:val="none" w:sz="0" w:space="0" w:color="auto"/>
        <w:bottom w:val="none" w:sz="0" w:space="0" w:color="auto"/>
        <w:right w:val="none" w:sz="0" w:space="0" w:color="auto"/>
      </w:divBdr>
    </w:div>
    <w:div w:id="201722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022347605805943"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aihw.gov.au/reports/cancer/prostate-cancer-in-australia/contents/summary" TargetMode="External"/><Relationship Id="rId3" Type="http://schemas.openxmlformats.org/officeDocument/2006/relationships/hyperlink" Target="https://pkdaustralia.org/wp-content/uploads/2019/05/An-Action-Plan-for-Critical-Change-in-PKD-V1.pdf" TargetMode="External"/><Relationship Id="rId7" Type="http://schemas.openxmlformats.org/officeDocument/2006/relationships/hyperlink" Target="https://www.aihw.gov.au/reports/chronic-kidney-disease/chronic-kidney-disease-compendium/contents/deaths-from-chronic-kidney-disease" TargetMode="External"/><Relationship Id="rId2" Type="http://schemas.openxmlformats.org/officeDocument/2006/relationships/hyperlink" Target="http://www.mbsonline.gov.au/internet/mbsonline/publishing.nsf/Content/Factsheet-HeartHealthCheck" TargetMode="External"/><Relationship Id="rId1" Type="http://schemas.openxmlformats.org/officeDocument/2006/relationships/hyperlink" Target="https://www.abs.gov.au/ausstats/abs@.nsf/mf/4839.0" TargetMode="External"/><Relationship Id="rId6" Type="http://schemas.openxmlformats.org/officeDocument/2006/relationships/hyperlink" Target="https://donatelife.gov.au/sites/default/files/ota_strategic_plan_2018-2022.pdf" TargetMode="External"/><Relationship Id="rId11" Type="http://schemas.openxmlformats.org/officeDocument/2006/relationships/hyperlink" Target="http://www.abs.gov.au/australianhealthsurvey" TargetMode="External"/><Relationship Id="rId5" Type="http://schemas.openxmlformats.org/officeDocument/2006/relationships/hyperlink" Target="https://doi.org/10.1093/ndt/gfr599" TargetMode="External"/><Relationship Id="rId10" Type="http://schemas.openxmlformats.org/officeDocument/2006/relationships/hyperlink" Target="https://cre-ckd.centre.uq.edu.au/CKD.QLD" TargetMode="External"/><Relationship Id="rId4" Type="http://schemas.openxmlformats.org/officeDocument/2006/relationships/hyperlink" Target="https://www.health.gov.au/internet/publications/publishing.nsf/Content/womens-health-policy-toc~womens-health-policy-key~womens-health-policy-key-literacy" TargetMode="External"/><Relationship Id="rId9" Type="http://schemas.openxmlformats.org/officeDocument/2006/relationships/hyperlink" Target="https://www.cansolveckd.ca/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Aus13</b:Tag>
    <b:SourceType>Report</b:SourceType>
    <b:Guid>{98B9C996-6B25-4235-AF67-59CA8DAD0140}</b:Guid>
    <b:Title>Australian Health Survey: Biomedical Results for Chronic Diseases, 2011-12</b:Title>
    <b:Year>2013</b:Year>
    <b:City>Canberra</b:City>
    <b:Publisher>ABS</b:Publisher>
    <b:Author>
      <b:Author>
        <b:Corporate>Australian Bureau of Statistics</b:Corporate>
      </b:Author>
    </b:Author>
    <b:RefOrder>4</b:RefOrder>
  </b:Source>
  <b:Source>
    <b:Tag>Aus12</b:Tag>
    <b:SourceType>Report</b:SourceType>
    <b:Guid>{A2B473FB-5812-4658-9047-7B3914AEDA42}</b:Guid>
    <b:Author>
      <b:Author>
        <b:Corporate>Australian Bureau of Statistics</b:Corporate>
      </b:Author>
    </b:Author>
    <b:Title>Australian Health Survey First Results 2011-2012</b:Title>
    <b:Year>2012</b:Year>
    <b:Publisher>ABS</b:Publisher>
    <b:City>Canberra</b:City>
    <b:RefOrder>5</b:RefOrder>
  </b:Source>
  <b:Source>
    <b:Tag>Bar06</b:Tag>
    <b:SourceType>Report</b:SourceType>
    <b:Guid>{967EC27A-5116-42DE-99FF-CB30A348D74C}</b:Guid>
    <b:Title>AusDiab 2005: The Australian Diabetes, Obesity and Lifestyle Study. </b:Title>
    <b:Year>2006</b:Year>
    <b:Author>
      <b:Author>
        <b:NameList>
          <b:Person>
            <b:Last>Barr ELM</b:Last>
            <b:First>Magliano</b:First>
            <b:Middle>DJ, Zimmet PZ et al</b:Middle>
          </b:Person>
        </b:NameList>
      </b:Author>
    </b:Author>
    <b:Publisher> International Diabetes Institute</b:Publisher>
    <b:RefOrder>6</b:RefOrder>
  </b:Source>
  <b:Source>
    <b:Tag>Reg18</b:Tag>
    <b:SourceType>Report</b:SourceType>
    <b:Guid>{6E03B664-4583-4465-86E7-915BE8AC2DAD}</b:Guid>
    <b:Title>The 41st Annual ANZDATA Report</b:Title>
    <b:Year>2018</b:Year>
    <b:City>Adelaide. Australia. Available at: http://www.anzdata.org.au</b:City>
    <b:Publisher>Australia and New Zealand Dialysis and Transplant Registry</b:Publisher>
    <b:Author>
      <b:Author>
        <b:Corporate>ANZDATA Registry</b:Corporate>
      </b:Author>
    </b:Author>
    <b:URL>www.anzdata</b:URL>
    <b:RefOrder>7</b:RefOrder>
  </b:Source>
  <b:Source>
    <b:Tag>Aus14</b:Tag>
    <b:SourceType>Report</b:SourceType>
    <b:Guid>{BA648529-2690-4F69-BB47-D7C15DAB010D}</b:Guid>
    <b:Author>
      <b:Author>
        <b:Corporate>Australian Institute of Health and Welfare</b:Corporate>
      </b:Author>
    </b:Author>
    <b:Title>Projections of the prevalence of treated end-stage kdiney disease in Australia 2012-2020</b:Title>
    <b:Year>2014</b:Year>
    <b:Publisher>Cat. no. PHE 176 AIHW</b:Publisher>
    <b:City>Canberra</b:City>
    <b:RefOrder>8</b:RefOrder>
  </b:Source>
</b:Sources>
</file>

<file path=customXml/itemProps1.xml><?xml version="1.0" encoding="utf-8"?>
<ds:datastoreItem xmlns:ds="http://schemas.openxmlformats.org/officeDocument/2006/customXml" ds:itemID="{C610C0B4-A32E-4346-9653-8B2E4AC8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10957</Words>
  <Characters>62459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Tinning</dc:creator>
  <cp:keywords/>
  <dc:description/>
  <cp:lastModifiedBy>Lisa Murphy</cp:lastModifiedBy>
  <cp:revision>5</cp:revision>
  <dcterms:created xsi:type="dcterms:W3CDTF">2019-11-09T03:28:00Z</dcterms:created>
  <dcterms:modified xsi:type="dcterms:W3CDTF">2019-11-13T00:52:00Z</dcterms:modified>
</cp:coreProperties>
</file>